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96475"/>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96598"/>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达州市达川区</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赵固镇卫生院部门决算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fldChar w:fldCharType="begin"/>
      </w:r>
      <w:r>
        <w:instrText xml:space="preserve"> PAGEREF _Toc15396614 \h </w:instrText>
      </w:r>
      <w:r>
        <w:fldChar w:fldCharType="separate"/>
      </w:r>
      <w:r>
        <w:t>20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p>
      <w:pPr>
        <w:adjustRightInd w:val="0"/>
        <w:snapToGrid w:val="0"/>
        <w:spacing w:line="600" w:lineRule="atLeast"/>
        <w:ind w:firstLine="704" w:firstLineChars="220"/>
        <w:rPr>
          <w:rFonts w:ascii="仿宋_GB2312" w:eastAsia="仿宋_GB2312"/>
          <w:sz w:val="32"/>
          <w:szCs w:val="32"/>
        </w:rPr>
      </w:pPr>
      <w:r>
        <w:rPr>
          <w:rFonts w:hint="eastAsia" w:ascii="仿宋_GB2312" w:eastAsia="仿宋_GB2312"/>
          <w:sz w:val="32"/>
          <w:szCs w:val="32"/>
        </w:rPr>
        <w:t>我院是一所一级乙等乡镇卫生院，提供以预防保健、基本医疗、健康教育、计划生育、康复为主要内容的综合性服务，全面实施国家基本公共卫生服务和重大公共卫生服务项目，提高农民保健意识。受区卫健局委托承担辖区内公共卫生管理，负责对村级卫生机构的技术指导和对乡村医生的培训。</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adjustRightInd w:val="0"/>
        <w:snapToGrid w:val="0"/>
        <w:spacing w:line="600" w:lineRule="atLeast"/>
        <w:ind w:firstLine="704" w:firstLineChars="220"/>
        <w:rPr>
          <w:rFonts w:ascii="仿宋_GB2312" w:eastAsia="仿宋_GB2312"/>
          <w:sz w:val="32"/>
          <w:szCs w:val="32"/>
        </w:rPr>
      </w:pPr>
      <w:r>
        <w:rPr>
          <w:rFonts w:hint="eastAsia" w:ascii="仿宋_GB2312" w:eastAsia="仿宋_GB2312"/>
          <w:sz w:val="32"/>
          <w:szCs w:val="32"/>
        </w:rPr>
        <w:t>2019年达川区赵固镇卫生院的卫生工作在区委区政府、区卫健局、镇党委政府的正确领导下，在管村镇中心卫生院的指导下，在各村支两委及广大群众的支持帮助下，按照年初的计划，各项卫生工作基本完成，我院始终坚持“以病人为中心，努力提高医疗服务质量为目的”，在结合贯彻落实党的十九大</w:t>
      </w:r>
      <w:bookmarkStart w:id="75" w:name="_GoBack"/>
      <w:bookmarkEnd w:id="75"/>
      <w:r>
        <w:rPr>
          <w:rFonts w:hint="eastAsia" w:ascii="仿宋_GB2312" w:eastAsia="仿宋_GB2312"/>
          <w:sz w:val="32"/>
          <w:szCs w:val="32"/>
        </w:rPr>
        <w:t>精神及</w:t>
      </w:r>
      <w:r>
        <w:rPr>
          <w:rFonts w:hint="eastAsia" w:ascii="仿宋_GB2312" w:eastAsia="仿宋_GB2312"/>
          <w:sz w:val="32"/>
          <w:szCs w:val="32"/>
          <w:lang w:eastAsia="zh-CN"/>
        </w:rPr>
        <w:t>“不忘初心、牢记使命”</w:t>
      </w:r>
      <w:r>
        <w:rPr>
          <w:rFonts w:hint="eastAsia" w:ascii="仿宋_GB2312" w:eastAsia="仿宋_GB2312"/>
          <w:sz w:val="32"/>
          <w:szCs w:val="32"/>
        </w:rPr>
        <w:t>主题教育的同时，抓住卫生计生医疗脱贫攻坚战的挑战机遇，坚持新医改政策的及基本公共卫生及卫生服务模式的转变等新政策。2019年我院完成了对辖区65岁以上老人及重点人群的体检工作等公共卫生服务保障的工作。</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spacing w:line="600" w:lineRule="exact"/>
        <w:ind w:firstLine="640" w:firstLineChars="200"/>
        <w:rPr>
          <w:rFonts w:ascii="仿宋_GB2312" w:hAnsi="仿宋" w:eastAsia="仿宋_GB2312"/>
          <w:sz w:val="32"/>
          <w:szCs w:val="32"/>
        </w:rPr>
      </w:pPr>
      <w:r>
        <w:rPr>
          <w:rFonts w:hint="eastAsia" w:ascii="仿宋_GB2312" w:hAnsi="仿宋_GB2312" w:eastAsia="仿宋_GB2312" w:cs="仿宋_GB2312"/>
          <w:color w:val="000000"/>
          <w:sz w:val="32"/>
          <w:szCs w:val="32"/>
        </w:rPr>
        <w:t>达州市达川区赵固镇卫生院为公益一类事业单位1个。</w:t>
      </w:r>
      <w:r>
        <w:rPr>
          <w:rFonts w:hint="eastAsia" w:ascii="仿宋_GB2312" w:hAnsi="仿宋" w:eastAsia="仿宋_GB2312"/>
          <w:sz w:val="32"/>
          <w:szCs w:val="32"/>
        </w:rPr>
        <w:t>年末实有人数11人（本年调出1人，调入1人，辞职1人）、三支一扶2人、临聘人员2人。</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Fonts w:ascii="黑体" w:hAnsi="黑体" w:eastAsia="黑体"/>
          <w:b w:val="0"/>
          <w:color w:val="000000"/>
        </w:rPr>
      </w:pPr>
      <w:bookmarkStart w:id="22" w:name="_Toc15396602"/>
      <w:bookmarkStart w:id="23" w:name="_Toc15377204"/>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2019年度收、支总计497.86万元。与2018年相比，收、支总计各增加103.82万元，上升26.35%。</w:t>
      </w:r>
      <w:r>
        <w:rPr>
          <w:rFonts w:hint="eastAsia" w:ascii="方正仿宋_GBK" w:hAnsi="方正仿宋_GBK" w:eastAsia="方正仿宋_GBK" w:cs="方正仿宋_GBK"/>
          <w:color w:val="000000" w:themeColor="text1"/>
          <w:sz w:val="32"/>
          <w:szCs w:val="32"/>
          <w14:textFill>
            <w14:solidFill>
              <w14:schemeClr w14:val="tx1"/>
            </w14:solidFill>
          </w14:textFill>
        </w:rPr>
        <w:t>主要变动原因是本年度医疗收入增加，结转资金较上年增加。</w:t>
      </w:r>
    </w:p>
    <w:p>
      <w:pPr>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rPr>
          <w:rFonts w:ascii="方正仿宋_GBK" w:hAnsi="方正仿宋_GBK" w:eastAsia="方正仿宋_GBK" w:cs="方正仿宋_GBK"/>
          <w:color w:val="000000" w:themeColor="text1"/>
          <w:sz w:val="32"/>
          <w:szCs w:val="32"/>
          <w14:textFill>
            <w14:solidFill>
              <w14:schemeClr w14:val="tx1"/>
            </w14:solidFill>
          </w14:textFill>
        </w:rPr>
      </w:pP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（图1：收、支决算总计变动情况图）（柱状图）</w:t>
      </w:r>
    </w:p>
    <w:p>
      <w:pPr>
        <w:spacing w:line="60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23"/>
        <w:numPr>
          <w:ilvl w:val="0"/>
          <w:numId w:val="1"/>
        </w:numPr>
        <w:spacing w:line="600" w:lineRule="exact"/>
        <w:ind w:firstLineChars="0"/>
        <w:outlineLvl w:val="1"/>
        <w:rPr>
          <w:rStyle w:val="25"/>
          <w:rFonts w:ascii="黑体" w:hAnsi="黑体" w:eastAsia="黑体" w:cs="黑体"/>
          <w:b w:val="0"/>
        </w:rPr>
      </w:pPr>
      <w:bookmarkStart w:id="26" w:name="_Toc15377206"/>
      <w:bookmarkStart w:id="27" w:name="_Toc15396604"/>
      <w:r>
        <w:rPr>
          <w:rFonts w:hint="eastAsia" w:ascii="黑体" w:hAnsi="黑体" w:eastAsia="黑体" w:cs="黑体"/>
          <w:color w:val="000000"/>
          <w:sz w:val="32"/>
          <w:szCs w:val="32"/>
        </w:rPr>
        <w:t>收</w:t>
      </w:r>
      <w:r>
        <w:rPr>
          <w:rStyle w:val="25"/>
          <w:rFonts w:hint="eastAsia" w:ascii="黑体" w:hAnsi="黑体" w:eastAsia="黑体" w:cs="黑体"/>
          <w:b w:val="0"/>
        </w:rPr>
        <w:t>入决算情况说明</w:t>
      </w:r>
      <w:bookmarkEnd w:id="26"/>
      <w:bookmarkEnd w:id="27"/>
    </w:p>
    <w:p>
      <w:pPr>
        <w:spacing w:line="600" w:lineRule="exact"/>
        <w:ind w:firstLine="640" w:firstLineChars="200"/>
        <w:outlineLvl w:val="1"/>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本年收入合计429.71万元，其中：一般公共预算财政拨款收入198.71万元，占46.24%；政府性基金预算财政拨款收入0万元，占0%；国有资本经营预算财政拨款收入0万元，占0%；事业收入231万元，占53.76%；经营收入0万元，占0%；附属单位上缴收入0万元，占0%；其他收入0万元，占0%。</w:t>
      </w:r>
    </w:p>
    <w:p>
      <w:pPr>
        <w:ind w:firstLine="640" w:firstLineChars="200"/>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drawing>
          <wp:inline distT="0" distB="0" distL="0" distR="0">
            <wp:extent cx="2828925" cy="1809750"/>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（图2：收入决算结构图）（饼状图）</w:t>
      </w:r>
    </w:p>
    <w:p>
      <w:pPr>
        <w:pStyle w:val="23"/>
        <w:numPr>
          <w:ilvl w:val="0"/>
          <w:numId w:val="1"/>
        </w:numPr>
        <w:spacing w:line="600" w:lineRule="exact"/>
        <w:ind w:firstLineChars="0"/>
        <w:outlineLvl w:val="1"/>
        <w:rPr>
          <w:rStyle w:val="25"/>
          <w:rFonts w:ascii="黑体" w:hAnsi="黑体" w:eastAsia="黑体" w:cs="黑体"/>
          <w:b w:val="0"/>
        </w:rPr>
      </w:pPr>
      <w:bookmarkStart w:id="28" w:name="_Toc15396605"/>
      <w:bookmarkStart w:id="29" w:name="_Toc15377207"/>
      <w:r>
        <w:rPr>
          <w:rFonts w:hint="eastAsia" w:ascii="黑体" w:hAnsi="黑体" w:eastAsia="黑体" w:cs="黑体"/>
          <w:color w:val="000000"/>
          <w:sz w:val="32"/>
          <w:szCs w:val="32"/>
        </w:rPr>
        <w:t>支</w:t>
      </w:r>
      <w:r>
        <w:rPr>
          <w:rStyle w:val="25"/>
          <w:rFonts w:hint="eastAsia" w:ascii="黑体" w:hAnsi="黑体" w:eastAsia="黑体" w:cs="黑体"/>
          <w:b w:val="0"/>
        </w:rPr>
        <w:t>出决算情况说明</w:t>
      </w:r>
      <w:bookmarkEnd w:id="28"/>
      <w:bookmarkEnd w:id="29"/>
    </w:p>
    <w:p>
      <w:pPr>
        <w:spacing w:line="60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2019年本年支出合计413.07万元，其中：基本支出307.46万元，占74.43%；项目支出105.61万元，占25.57%；上缴上级支出0万元，占0%；经营支出0万元，占0%；对附属单位补助支出0万元，占0%。</w:t>
      </w:r>
    </w:p>
    <w:p>
      <w:pPr>
        <w:ind w:firstLine="641"/>
        <w:jc w:val="center"/>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drawing>
          <wp:inline distT="0" distB="0" distL="0" distR="0">
            <wp:extent cx="3048000" cy="19812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5"/>
          <w:rFonts w:ascii="黑体" w:hAnsi="黑体" w:eastAsia="黑体" w:cs="黑体"/>
          <w:b w:val="0"/>
        </w:rPr>
      </w:pPr>
      <w:bookmarkStart w:id="30" w:name="_Toc15396606"/>
      <w:bookmarkStart w:id="31" w:name="_Toc15377208"/>
      <w:r>
        <w:rPr>
          <w:rFonts w:hint="eastAsia" w:ascii="黑体" w:hAnsi="黑体" w:eastAsia="黑体" w:cs="黑体"/>
          <w:color w:val="000000"/>
          <w:sz w:val="32"/>
          <w:szCs w:val="32"/>
        </w:rPr>
        <w:t>四、财</w:t>
      </w:r>
      <w:r>
        <w:rPr>
          <w:rStyle w:val="25"/>
          <w:rFonts w:hint="eastAsia" w:ascii="黑体" w:hAnsi="黑体" w:eastAsia="黑体" w:cs="黑体"/>
          <w:b w:val="0"/>
        </w:rPr>
        <w:t>政拨款收入支出决算总体情况说明</w:t>
      </w:r>
      <w:bookmarkEnd w:id="30"/>
      <w:bookmarkEnd w:id="31"/>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2019年财政拨款收、支总计266.86万元。与2018年相比，财政拨款收、支总计各增加37.59万元，增加16.4%。</w:t>
      </w:r>
      <w:r>
        <w:rPr>
          <w:rFonts w:hint="eastAsia" w:ascii="方正仿宋_GBK" w:hAnsi="方正仿宋_GBK" w:eastAsia="方正仿宋_GBK" w:cs="方正仿宋_GBK"/>
          <w:color w:val="000000" w:themeColor="text1"/>
          <w:sz w:val="32"/>
          <w:szCs w:val="32"/>
          <w14:textFill>
            <w14:solidFill>
              <w14:schemeClr w14:val="tx1"/>
            </w14:solidFill>
          </w14:textFill>
        </w:rPr>
        <w:t>主要变动原因是财政预算和财政应返还额度增加</w:t>
      </w:r>
      <w:r>
        <w:rPr>
          <w:rFonts w:hint="eastAsia" w:ascii="方正仿宋_GBK" w:hAnsi="方正仿宋_GBK" w:eastAsia="方正仿宋_GBK" w:cs="方正仿宋_GBK"/>
          <w:color w:val="000000"/>
          <w:sz w:val="32"/>
          <w:szCs w:val="32"/>
        </w:rPr>
        <w:t>。</w:t>
      </w:r>
    </w:p>
    <w:p>
      <w:pPr>
        <w:ind w:firstLine="640" w:firstLineChars="200"/>
        <w:rPr>
          <w:rFonts w:ascii="方正仿宋_GBK" w:hAnsi="方正仿宋_GBK" w:eastAsia="方正仿宋_GBK" w:cs="方正仿宋_GBK"/>
          <w:color w:val="000000"/>
          <w:sz w:val="32"/>
          <w:szCs w:val="32"/>
        </w:rPr>
      </w:pPr>
    </w:p>
    <w:p>
      <w:pPr>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方正仿宋_GBK" w:hAnsi="方正仿宋_GBK" w:eastAsia="方正仿宋_GBK" w:cs="方正仿宋_GBK"/>
          <w:b/>
          <w:color w:val="00B05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5"/>
          <w:rFonts w:ascii="黑体" w:hAnsi="黑体" w:eastAsia="黑体" w:cs="黑体"/>
          <w:b w:val="0"/>
        </w:rPr>
      </w:pPr>
      <w:bookmarkStart w:id="32" w:name="_Toc15377209"/>
      <w:bookmarkStart w:id="33" w:name="_Toc15396607"/>
      <w:r>
        <w:rPr>
          <w:rFonts w:hint="eastAsia" w:ascii="黑体" w:hAnsi="黑体" w:eastAsia="黑体" w:cs="黑体"/>
          <w:color w:val="000000"/>
          <w:sz w:val="32"/>
          <w:szCs w:val="32"/>
        </w:rPr>
        <w:t>五、</w:t>
      </w:r>
      <w:r>
        <w:rPr>
          <w:rFonts w:hint="eastAsia" w:ascii="黑体" w:hAnsi="黑体" w:eastAsia="黑体" w:cs="黑体"/>
          <w:b/>
          <w:color w:val="000000"/>
          <w:sz w:val="32"/>
          <w:szCs w:val="32"/>
        </w:rPr>
        <w:t>一</w:t>
      </w:r>
      <w:r>
        <w:rPr>
          <w:rStyle w:val="25"/>
          <w:rFonts w:hint="eastAsia" w:ascii="黑体" w:hAnsi="黑体" w:eastAsia="黑体" w:cs="黑体"/>
          <w:b w:val="0"/>
        </w:rPr>
        <w:t>般公共预算财政拨款支出决算情况说明</w:t>
      </w:r>
      <w:bookmarkEnd w:id="32"/>
      <w:bookmarkEnd w:id="33"/>
    </w:p>
    <w:p>
      <w:pPr>
        <w:spacing w:line="600" w:lineRule="exact"/>
        <w:ind w:firstLine="643" w:firstLineChars="200"/>
        <w:outlineLvl w:val="2"/>
        <w:rPr>
          <w:rFonts w:ascii="方正仿宋_GBK" w:hAnsi="方正仿宋_GBK" w:eastAsia="方正仿宋_GBK" w:cs="方正仿宋_GBK"/>
          <w:b/>
          <w:color w:val="000000"/>
          <w:sz w:val="32"/>
          <w:szCs w:val="32"/>
        </w:rPr>
      </w:pPr>
      <w:bookmarkStart w:id="34" w:name="_Toc15377210"/>
      <w:r>
        <w:rPr>
          <w:rFonts w:hint="eastAsia" w:ascii="方正仿宋_GBK" w:hAnsi="方正仿宋_GBK" w:eastAsia="方正仿宋_GBK" w:cs="方正仿宋_GBK"/>
          <w:b/>
          <w:color w:val="000000"/>
          <w:sz w:val="32"/>
          <w:szCs w:val="32"/>
        </w:rPr>
        <w:t>（一）一般公共预算财政拨款支出决算总体情况</w:t>
      </w:r>
      <w:bookmarkEnd w:id="34"/>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2019年一般公共预算财政拨款支出182.07万元，占本年支出合计的44.08%。与2018年相比，一般公共预算财政拨款增加20.95万元，增加13 %。</w:t>
      </w:r>
      <w:r>
        <w:rPr>
          <w:rFonts w:hint="eastAsia" w:ascii="方正仿宋_GBK" w:hAnsi="方正仿宋_GBK" w:eastAsia="方正仿宋_GBK" w:cs="方正仿宋_GBK"/>
          <w:color w:val="000000" w:themeColor="text1"/>
          <w:sz w:val="32"/>
          <w:szCs w:val="32"/>
          <w14:textFill>
            <w14:solidFill>
              <w14:schemeClr w14:val="tx1"/>
            </w14:solidFill>
          </w14:textFill>
        </w:rPr>
        <w:t>主要变动原因是财政拨款增加</w:t>
      </w:r>
      <w:r>
        <w:rPr>
          <w:rFonts w:hint="eastAsia" w:ascii="方正仿宋_GBK" w:hAnsi="方正仿宋_GBK" w:eastAsia="方正仿宋_GBK" w:cs="方正仿宋_GBK"/>
          <w:color w:val="000000"/>
          <w:sz w:val="32"/>
          <w:szCs w:val="32"/>
        </w:rPr>
        <w:t>。</w:t>
      </w:r>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drawing>
          <wp:anchor distT="0" distB="0" distL="114300" distR="114300" simplePos="0" relativeHeight="251659264" behindDoc="0" locked="0" layoutInCell="1" allowOverlap="1">
            <wp:simplePos x="0" y="0"/>
            <wp:positionH relativeFrom="column">
              <wp:posOffset>258445</wp:posOffset>
            </wp:positionH>
            <wp:positionV relativeFrom="paragraph">
              <wp:posOffset>1042670</wp:posOffset>
            </wp:positionV>
            <wp:extent cx="5080000" cy="3810000"/>
            <wp:effectExtent l="4445" t="4445" r="2095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方正仿宋_GBK" w:hAnsi="方正仿宋_GBK" w:eastAsia="方正仿宋_GBK" w:cs="方正仿宋_GBK"/>
          <w:color w:val="000000"/>
          <w:sz w:val="32"/>
          <w:szCs w:val="32"/>
        </w:rPr>
      </w:pPr>
    </w:p>
    <w:p>
      <w:pPr>
        <w:spacing w:line="60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方正仿宋_GBK" w:hAnsi="方正仿宋_GBK" w:eastAsia="方正仿宋_GBK" w:cs="方正仿宋_GBK"/>
          <w:b/>
          <w:color w:val="000000"/>
          <w:sz w:val="32"/>
          <w:szCs w:val="32"/>
        </w:rPr>
      </w:pPr>
      <w:bookmarkStart w:id="35" w:name="_Toc15377211"/>
      <w:r>
        <w:rPr>
          <w:rFonts w:hint="eastAsia" w:ascii="方正仿宋_GBK" w:hAnsi="方正仿宋_GBK" w:eastAsia="方正仿宋_GBK" w:cs="方正仿宋_GBK"/>
          <w:b/>
          <w:color w:val="000000"/>
          <w:sz w:val="32"/>
          <w:szCs w:val="32"/>
        </w:rPr>
        <w:t>（二）一般公共预算财政拨款支出决算结构情况</w:t>
      </w:r>
      <w:bookmarkEnd w:id="35"/>
    </w:p>
    <w:p>
      <w:pPr>
        <w:spacing w:line="600" w:lineRule="exact"/>
        <w:ind w:firstLine="64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sz w:val="32"/>
          <w:szCs w:val="32"/>
        </w:rPr>
        <w:t>2019年一般公共预算财</w:t>
      </w:r>
      <w:r>
        <w:rPr>
          <w:rFonts w:hint="eastAsia" w:ascii="方正仿宋_GBK" w:hAnsi="方正仿宋_GBK" w:eastAsia="方正仿宋_GBK" w:cs="方正仿宋_GBK"/>
          <w:color w:val="000000" w:themeColor="text1"/>
          <w:sz w:val="32"/>
          <w:szCs w:val="32"/>
          <w14:textFill>
            <w14:solidFill>
              <w14:schemeClr w14:val="tx1"/>
            </w14:solidFill>
          </w14:textFill>
        </w:rPr>
        <w:t>政拨款支出</w:t>
      </w:r>
      <w:r>
        <w:rPr>
          <w:rFonts w:hint="eastAsia" w:ascii="方正仿宋_GBK" w:hAnsi="方正仿宋_GBK" w:eastAsia="方正仿宋_GBK" w:cs="方正仿宋_GBK"/>
          <w:color w:val="000000"/>
          <w:sz w:val="32"/>
          <w:szCs w:val="32"/>
        </w:rPr>
        <w:t>182.07</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万元，主要用于以下方面:</w:t>
      </w:r>
      <w:r>
        <w:rPr>
          <w:rFonts w:hint="eastAsia" w:ascii="方正仿宋_GBK" w:hAnsi="方正仿宋_GBK" w:eastAsia="方正仿宋_GBK" w:cs="方正仿宋_GBK"/>
          <w:b/>
          <w:color w:val="000000" w:themeColor="text1"/>
          <w:sz w:val="32"/>
          <w:szCs w:val="32"/>
          <w14:textFill>
            <w14:solidFill>
              <w14:schemeClr w14:val="tx1"/>
            </w14:solidFill>
          </w14:textFill>
        </w:rPr>
        <w:t>教育支出（类）</w:t>
      </w:r>
      <w:r>
        <w:rPr>
          <w:rFonts w:hint="eastAsia" w:ascii="方正仿宋_GBK" w:hAnsi="方正仿宋_GBK" w:eastAsia="方正仿宋_GBK" w:cs="方正仿宋_GBK"/>
          <w:color w:val="000000" w:themeColor="text1"/>
          <w:sz w:val="32"/>
          <w:szCs w:val="32"/>
          <w14:textFill>
            <w14:solidFill>
              <w14:schemeClr w14:val="tx1"/>
            </w14:solidFill>
          </w14:textFill>
        </w:rPr>
        <w:t>0万元，占0%；</w:t>
      </w:r>
      <w:r>
        <w:rPr>
          <w:rFonts w:hint="eastAsia" w:ascii="方正仿宋_GBK" w:hAnsi="方正仿宋_GBK" w:eastAsia="方正仿宋_GBK" w:cs="方正仿宋_GBK"/>
          <w:b/>
          <w:color w:val="000000" w:themeColor="text1"/>
          <w:sz w:val="32"/>
          <w:szCs w:val="32"/>
          <w14:textFill>
            <w14:solidFill>
              <w14:schemeClr w14:val="tx1"/>
            </w14:solidFill>
          </w14:textFill>
        </w:rPr>
        <w:t>科学技术（类）</w:t>
      </w:r>
      <w:r>
        <w:rPr>
          <w:rFonts w:hint="eastAsia" w:ascii="方正仿宋_GBK" w:hAnsi="方正仿宋_GBK" w:eastAsia="方正仿宋_GBK" w:cs="方正仿宋_GBK"/>
          <w:color w:val="000000" w:themeColor="text1"/>
          <w:sz w:val="32"/>
          <w:szCs w:val="32"/>
          <w14:textFill>
            <w14:solidFill>
              <w14:schemeClr w14:val="tx1"/>
            </w14:solidFill>
          </w14:textFill>
        </w:rPr>
        <w:t>支出0万元，占0%；</w:t>
      </w:r>
      <w:r>
        <w:rPr>
          <w:rFonts w:hint="eastAsia" w:ascii="方正仿宋_GBK" w:hAnsi="方正仿宋_GBK" w:eastAsia="方正仿宋_GBK" w:cs="方正仿宋_GBK"/>
          <w:b/>
          <w:color w:val="000000" w:themeColor="text1"/>
          <w:sz w:val="32"/>
          <w:szCs w:val="32"/>
          <w14:textFill>
            <w14:solidFill>
              <w14:schemeClr w14:val="tx1"/>
            </w14:solidFill>
          </w14:textFill>
        </w:rPr>
        <w:t>社会保障和就业（类）</w:t>
      </w:r>
      <w:r>
        <w:rPr>
          <w:rFonts w:hint="eastAsia" w:ascii="方正仿宋_GBK" w:hAnsi="方正仿宋_GBK" w:eastAsia="方正仿宋_GBK" w:cs="方正仿宋_GBK"/>
          <w:color w:val="000000" w:themeColor="text1"/>
          <w:sz w:val="32"/>
          <w:szCs w:val="32"/>
          <w14:textFill>
            <w14:solidFill>
              <w14:schemeClr w14:val="tx1"/>
            </w14:solidFill>
          </w14:textFill>
        </w:rPr>
        <w:t>支出26.43万元，占14.52%；卫生健康支出146.57万元，占80.5%；住房保障支出9.07万元，占4.98%。</w:t>
      </w:r>
    </w:p>
    <w:p>
      <w:pPr>
        <w:jc w:val="center"/>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drawing>
          <wp:inline distT="0" distB="0" distL="0" distR="0">
            <wp:extent cx="3648075" cy="3076575"/>
            <wp:effectExtent l="19050" t="0" r="9525"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（图6：一般公共预算财政拨款支出决算结构）（饼状图）</w:t>
      </w:r>
    </w:p>
    <w:p>
      <w:pPr>
        <w:spacing w:line="600" w:lineRule="exact"/>
        <w:ind w:firstLine="643" w:firstLineChars="200"/>
        <w:outlineLvl w:val="2"/>
        <w:rPr>
          <w:rFonts w:ascii="方正仿宋_GBK" w:hAnsi="方正仿宋_GBK" w:eastAsia="方正仿宋_GBK" w:cs="方正仿宋_GBK"/>
          <w:b/>
          <w:color w:val="000000"/>
          <w:sz w:val="32"/>
          <w:szCs w:val="32"/>
        </w:rPr>
      </w:pPr>
      <w:bookmarkStart w:id="36" w:name="_Toc15377212"/>
      <w:r>
        <w:rPr>
          <w:rFonts w:hint="eastAsia" w:ascii="方正仿宋_GBK" w:hAnsi="方正仿宋_GBK" w:eastAsia="方正仿宋_GBK" w:cs="方正仿宋_GBK"/>
          <w:b/>
          <w:color w:val="000000"/>
          <w:sz w:val="32"/>
          <w:szCs w:val="32"/>
        </w:rPr>
        <w:t>（三）一般公共预算财政拨款支出决算具体情况</w:t>
      </w:r>
      <w:bookmarkEnd w:id="36"/>
    </w:p>
    <w:p>
      <w:pPr>
        <w:spacing w:line="600" w:lineRule="exact"/>
        <w:ind w:firstLine="640" w:firstLineChars="200"/>
        <w:outlineLvl w:val="2"/>
        <w:rPr>
          <w:rFonts w:ascii="方正仿宋_GBK" w:hAnsi="方正仿宋_GBK" w:eastAsia="方正仿宋_GBK" w:cs="方正仿宋_GBK"/>
          <w:color w:val="FF0000"/>
          <w:sz w:val="32"/>
          <w:szCs w:val="32"/>
        </w:rPr>
      </w:pPr>
      <w:bookmarkStart w:id="37" w:name="_Toc15377213"/>
      <w:bookmarkStart w:id="38" w:name="_Toc15378460"/>
      <w:bookmarkStart w:id="39" w:name="_Toc15377444"/>
      <w:r>
        <w:rPr>
          <w:rFonts w:hint="eastAsia" w:ascii="方正仿宋_GBK" w:hAnsi="方正仿宋_GBK" w:eastAsia="方正仿宋_GBK" w:cs="方正仿宋_GBK"/>
          <w:bCs/>
          <w:color w:val="000000" w:themeColor="text1"/>
          <w:sz w:val="32"/>
          <w:szCs w:val="32"/>
          <w14:textFill>
            <w14:solidFill>
              <w14:schemeClr w14:val="tx1"/>
            </w14:solidFill>
          </w14:textFill>
        </w:rPr>
        <w:t>2019年一般公共预算支出决算数为182.07万元，</w:t>
      </w:r>
      <w:r>
        <w:rPr>
          <w:rStyle w:val="14"/>
          <w:rFonts w:hint="eastAsia" w:ascii="方正仿宋_GBK" w:hAnsi="方正仿宋_GBK" w:eastAsia="方正仿宋_GBK" w:cs="方正仿宋_GBK"/>
          <w:b w:val="0"/>
          <w:bCs/>
          <w:color w:val="000000" w:themeColor="text1"/>
          <w:sz w:val="32"/>
          <w:szCs w:val="32"/>
          <w14:textFill>
            <w14:solidFill>
              <w14:schemeClr w14:val="tx1"/>
            </w14:solidFill>
          </w14:textFill>
        </w:rPr>
        <w:t>完成</w:t>
      </w:r>
      <w:r>
        <w:rPr>
          <w:rStyle w:val="14"/>
          <w:rFonts w:hint="eastAsia" w:ascii="方正仿宋_GBK" w:hAnsi="方正仿宋_GBK" w:eastAsia="方正仿宋_GBK" w:cs="方正仿宋_GBK"/>
          <w:b w:val="0"/>
          <w:bCs/>
          <w:color w:val="000000"/>
          <w:sz w:val="32"/>
          <w:szCs w:val="32"/>
        </w:rPr>
        <w:t>预算91.63%。其中：</w:t>
      </w:r>
      <w:bookmarkEnd w:id="37"/>
      <w:bookmarkEnd w:id="38"/>
      <w:bookmarkEnd w:id="39"/>
    </w:p>
    <w:p>
      <w:pPr>
        <w:numPr>
          <w:ilvl w:val="0"/>
          <w:numId w:val="2"/>
        </w:num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color w:val="000000"/>
          <w:sz w:val="32"/>
          <w:szCs w:val="32"/>
        </w:rPr>
        <w:t>一般公共服务支出（201）人力资源事务（20110）其他人力资源事务和社会保障管理事务支出（2011099）：</w:t>
      </w:r>
      <w:r>
        <w:rPr>
          <w:rStyle w:val="14"/>
          <w:rFonts w:hint="eastAsia" w:ascii="方正仿宋_GBK" w:hAnsi="方正仿宋_GBK" w:eastAsia="方正仿宋_GBK" w:cs="方正仿宋_GBK"/>
          <w:b w:val="0"/>
          <w:bCs/>
          <w:color w:val="000000"/>
          <w:sz w:val="32"/>
          <w:szCs w:val="32"/>
        </w:rPr>
        <w:t>支出决算为14.1万元，完成预算100%。</w:t>
      </w:r>
    </w:p>
    <w:p>
      <w:pPr>
        <w:numPr>
          <w:ilvl w:val="0"/>
          <w:numId w:val="2"/>
        </w:num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bCs/>
          <w:color w:val="000000"/>
          <w:sz w:val="32"/>
          <w:szCs w:val="32"/>
        </w:rPr>
        <w:t>社会保障和就业（208）行政事业单位离退休（20805）机关事业单位基本养老保险缴费支出（2080505）:支出决算为10.21万元，完成预算100%。</w:t>
      </w:r>
    </w:p>
    <w:p>
      <w:pPr>
        <w:numPr>
          <w:ilvl w:val="0"/>
          <w:numId w:val="2"/>
        </w:numPr>
        <w:spacing w:line="600" w:lineRule="exact"/>
        <w:ind w:firstLine="640" w:firstLineChars="200"/>
        <w:rPr>
          <w:rStyle w:val="14"/>
          <w:rFonts w:ascii="方正仿宋_GBK" w:hAnsi="方正仿宋_GBK" w:eastAsia="方正仿宋_GBK" w:cs="方正仿宋_GBK"/>
          <w:b w:val="0"/>
          <w:bCs/>
          <w:color w:val="000000" w:themeColor="text1"/>
          <w:sz w:val="32"/>
          <w:szCs w:val="32"/>
          <w14:textFill>
            <w14:solidFill>
              <w14:schemeClr w14:val="tx1"/>
            </w14:solidFill>
          </w14:textFill>
        </w:rPr>
      </w:pPr>
      <w:r>
        <w:rPr>
          <w:rStyle w:val="14"/>
          <w:rFonts w:hint="eastAsia" w:ascii="方正仿宋_GBK" w:hAnsi="方正仿宋_GBK" w:eastAsia="方正仿宋_GBK" w:cs="方正仿宋_GBK"/>
          <w:b w:val="0"/>
          <w:bCs/>
          <w:color w:val="000000" w:themeColor="text1"/>
          <w:sz w:val="32"/>
          <w:szCs w:val="32"/>
          <w14:textFill>
            <w14:solidFill>
              <w14:schemeClr w14:val="tx1"/>
            </w14:solidFill>
          </w14:textFill>
        </w:rPr>
        <w:t>卫生健康支出（210）基层医疗卫生机构（21003）乡镇卫生院（2100302）:支出决算为34.83万元，完成预算67.67%，决算数小于预算数的主要原因下差财政拨款等。</w:t>
      </w:r>
    </w:p>
    <w:p>
      <w:pPr>
        <w:numPr>
          <w:ilvl w:val="0"/>
          <w:numId w:val="2"/>
        </w:num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bCs/>
          <w:color w:val="000000"/>
          <w:sz w:val="32"/>
          <w:szCs w:val="32"/>
        </w:rPr>
        <w:t>卫生健康支出（210）基层医疗卫生机构（21003）其他基层医疗卫生机构支出（2100399）:支出决算为18.59万元，完成预算100%。</w:t>
      </w:r>
    </w:p>
    <w:p>
      <w:pPr>
        <w:numPr>
          <w:ilvl w:val="0"/>
          <w:numId w:val="2"/>
        </w:numPr>
        <w:spacing w:line="600" w:lineRule="exact"/>
        <w:ind w:firstLine="640" w:firstLineChars="200"/>
        <w:rPr>
          <w:rStyle w:val="14"/>
          <w:rFonts w:ascii="方正仿宋_GBK" w:hAnsi="方正仿宋_GBK" w:eastAsia="方正仿宋_GBK" w:cs="方正仿宋_GBK"/>
          <w:b w:val="0"/>
          <w:bCs/>
          <w:color w:val="000000"/>
          <w:sz w:val="32"/>
          <w:szCs w:val="32"/>
        </w:rPr>
      </w:pPr>
      <w:r>
        <w:rPr>
          <w:rStyle w:val="14"/>
          <w:rFonts w:hint="eastAsia" w:ascii="方正仿宋_GBK" w:hAnsi="方正仿宋_GBK" w:eastAsia="方正仿宋_GBK" w:cs="方正仿宋_GBK"/>
          <w:b w:val="0"/>
          <w:bCs/>
          <w:color w:val="000000"/>
          <w:sz w:val="32"/>
          <w:szCs w:val="32"/>
        </w:rPr>
        <w:t>卫生健康支出（210）公共卫生（21004）基本公共卫生服务（2100408）:支出决算为87.02万元，完成预算100%。</w:t>
      </w:r>
    </w:p>
    <w:p>
      <w:pPr>
        <w:spacing w:line="600" w:lineRule="exact"/>
        <w:ind w:firstLine="640" w:firstLineChars="200"/>
        <w:rPr>
          <w:rFonts w:ascii="方正仿宋_GBK" w:hAnsi="方正仿宋_GBK" w:eastAsia="方正仿宋_GBK" w:cs="方正仿宋_GBK"/>
          <w:b/>
          <w:color w:val="000000"/>
          <w:sz w:val="32"/>
          <w:szCs w:val="32"/>
        </w:rPr>
      </w:pPr>
      <w:r>
        <w:rPr>
          <w:rStyle w:val="14"/>
          <w:rFonts w:hint="eastAsia" w:ascii="方正仿宋_GBK" w:hAnsi="方正仿宋_GBK" w:eastAsia="方正仿宋_GBK" w:cs="方正仿宋_GBK"/>
          <w:b w:val="0"/>
          <w:bCs/>
          <w:color w:val="000000"/>
          <w:sz w:val="32"/>
          <w:szCs w:val="32"/>
        </w:rPr>
        <w:t>6、卫生健康支出（210）行政事业单位医疗（21011）事业单位医疗（2101102）:支出决算6.13万元，完成预算100%。</w:t>
      </w:r>
    </w:p>
    <w:p>
      <w:pPr>
        <w:spacing w:line="600" w:lineRule="exact"/>
        <w:ind w:firstLine="640" w:firstLineChars="200"/>
        <w:rPr>
          <w:rFonts w:ascii="方正仿宋_GBK" w:hAnsi="方正仿宋_GBK" w:eastAsia="方正仿宋_GBK" w:cs="方正仿宋_GBK"/>
          <w:b/>
          <w:color w:val="000000"/>
          <w:sz w:val="32"/>
          <w:szCs w:val="32"/>
        </w:rPr>
      </w:pPr>
      <w:r>
        <w:rPr>
          <w:rStyle w:val="14"/>
          <w:rFonts w:hint="eastAsia" w:ascii="方正仿宋_GBK" w:hAnsi="方正仿宋_GBK" w:eastAsia="方正仿宋_GBK" w:cs="方正仿宋_GBK"/>
          <w:b w:val="0"/>
          <w:bCs/>
          <w:color w:val="000000"/>
          <w:sz w:val="32"/>
          <w:szCs w:val="32"/>
        </w:rPr>
        <w:t>7、住房保障支出（221）住房保障改革（22102）住房公积金（2210201）:支出决算为9.07万元，完成预算100%。</w:t>
      </w:r>
    </w:p>
    <w:p>
      <w:pPr>
        <w:tabs>
          <w:tab w:val="right" w:pos="8306"/>
        </w:tabs>
        <w:spacing w:line="600" w:lineRule="exact"/>
        <w:ind w:firstLine="640"/>
        <w:outlineLvl w:val="1"/>
        <w:rPr>
          <w:rStyle w:val="25"/>
          <w:rFonts w:ascii="方正仿宋_GBK" w:hAnsi="方正仿宋_GBK" w:eastAsia="方正仿宋_GBK" w:cs="方正仿宋_GBK"/>
        </w:rPr>
      </w:pPr>
      <w:bookmarkStart w:id="40" w:name="_Toc15396608"/>
      <w:bookmarkStart w:id="41" w:name="_Toc15377214"/>
      <w:r>
        <w:rPr>
          <w:rFonts w:hint="eastAsia" w:ascii="方正仿宋_GBK" w:hAnsi="方正仿宋_GBK" w:eastAsia="方正仿宋_GBK" w:cs="方正仿宋_GBK"/>
          <w:color w:val="000000"/>
          <w:sz w:val="32"/>
          <w:szCs w:val="32"/>
        </w:rPr>
        <w:t>六</w:t>
      </w:r>
      <w:r>
        <w:rPr>
          <w:rFonts w:hint="eastAsia" w:ascii="方正仿宋_GBK" w:hAnsi="方正仿宋_GBK" w:eastAsia="方正仿宋_GBK" w:cs="方正仿宋_GBK"/>
          <w:b/>
          <w:color w:val="000000"/>
          <w:sz w:val="32"/>
          <w:szCs w:val="32"/>
        </w:rPr>
        <w:t>、一</w:t>
      </w:r>
      <w:r>
        <w:rPr>
          <w:rStyle w:val="25"/>
          <w:rFonts w:hint="eastAsia" w:ascii="方正仿宋_GBK" w:hAnsi="方正仿宋_GBK" w:eastAsia="方正仿宋_GBK" w:cs="方正仿宋_GBK"/>
          <w:b w:val="0"/>
        </w:rPr>
        <w:t>般公共预算财政拨款基本支出决算情况说明</w:t>
      </w:r>
      <w:bookmarkEnd w:id="40"/>
      <w:bookmarkEnd w:id="41"/>
      <w:r>
        <w:rPr>
          <w:rStyle w:val="25"/>
          <w:rFonts w:hint="eastAsia" w:ascii="方正仿宋_GBK" w:hAnsi="方正仿宋_GBK" w:eastAsia="方正仿宋_GBK" w:cs="方正仿宋_GBK"/>
          <w:b w:val="0"/>
        </w:rPr>
        <w:tab/>
      </w:r>
    </w:p>
    <w:p>
      <w:pPr>
        <w:spacing w:line="600" w:lineRule="exact"/>
        <w:ind w:firstLine="645"/>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2019年一般公共预算财政拨款基本支出76.46万元，其中：</w:t>
      </w:r>
    </w:p>
    <w:p>
      <w:pPr>
        <w:spacing w:line="600" w:lineRule="exact"/>
        <w:ind w:firstLine="645"/>
        <w:rPr>
          <w:rFonts w:ascii="方正仿宋_GBK" w:hAnsi="方正仿宋_GBK" w:eastAsia="方正仿宋_GBK" w:cs="方正仿宋_GBK"/>
          <w:b/>
          <w:color w:val="FF0000"/>
          <w:sz w:val="32"/>
          <w:szCs w:val="32"/>
        </w:rPr>
      </w:pPr>
      <w:r>
        <w:rPr>
          <w:rFonts w:hint="eastAsia" w:ascii="方正仿宋_GBK" w:hAnsi="方正仿宋_GBK" w:eastAsia="方正仿宋_GBK" w:cs="方正仿宋_GBK"/>
          <w:color w:val="000000"/>
          <w:sz w:val="32"/>
          <w:szCs w:val="32"/>
        </w:rPr>
        <w:t>人员经费76.46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方正仿宋_GBK" w:hAnsi="方正仿宋_GBK" w:eastAsia="方正仿宋_GBK" w:cs="方正仿宋_GBK"/>
          <w:color w:val="000000"/>
          <w:sz w:val="32"/>
          <w:szCs w:val="32"/>
        </w:rPr>
        <w:br w:type="textWrapping"/>
      </w:r>
      <w:r>
        <w:rPr>
          <w:rFonts w:hint="eastAsia" w:ascii="方正仿宋_GBK" w:hAnsi="方正仿宋_GBK" w:eastAsia="方正仿宋_GBK" w:cs="方正仿宋_GBK"/>
          <w:color w:val="000000"/>
          <w:sz w:val="32"/>
          <w:szCs w:val="32"/>
        </w:rPr>
        <w:t>　　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cs="黑体"/>
        </w:rPr>
      </w:pPr>
      <w:bookmarkStart w:id="42" w:name="_Toc15396609"/>
      <w:bookmarkStart w:id="43" w:name="_Toc15377215"/>
      <w:r>
        <w:rPr>
          <w:rFonts w:hint="eastAsia" w:ascii="黑体" w:hAnsi="黑体" w:eastAsia="黑体" w:cs="黑体"/>
          <w:b/>
          <w:bCs/>
          <w:color w:val="000000"/>
          <w:sz w:val="32"/>
          <w:szCs w:val="32"/>
        </w:rPr>
        <w:t>七、</w:t>
      </w:r>
      <w:r>
        <w:rPr>
          <w:rStyle w:val="25"/>
          <w:rFonts w:hint="eastAsia" w:ascii="黑体" w:hAnsi="黑体" w:eastAsia="黑体" w:cs="黑体"/>
        </w:rPr>
        <w:t>“三公”经费财政拨款支出决算情况说明</w:t>
      </w:r>
      <w:bookmarkEnd w:id="42"/>
      <w:bookmarkEnd w:id="43"/>
    </w:p>
    <w:p>
      <w:pPr>
        <w:spacing w:line="600" w:lineRule="exact"/>
        <w:ind w:firstLine="640"/>
        <w:outlineLvl w:val="2"/>
        <w:rPr>
          <w:rFonts w:ascii="方正仿宋_GBK" w:hAnsi="方正仿宋_GBK" w:eastAsia="方正仿宋_GBK" w:cs="方正仿宋_GBK"/>
          <w:b/>
          <w:color w:val="000000"/>
          <w:sz w:val="32"/>
          <w:szCs w:val="32"/>
        </w:rPr>
      </w:pPr>
      <w:bookmarkStart w:id="44" w:name="_Toc15377216"/>
      <w:r>
        <w:rPr>
          <w:rFonts w:hint="eastAsia" w:ascii="方正仿宋_GBK" w:hAnsi="方正仿宋_GBK" w:eastAsia="方正仿宋_GBK" w:cs="方正仿宋_GBK"/>
          <w:b/>
          <w:color w:val="000000"/>
          <w:sz w:val="32"/>
          <w:szCs w:val="32"/>
        </w:rPr>
        <w:t>（一）“三公”经费财政拨款支出决算总体情况说明</w:t>
      </w:r>
      <w:bookmarkEnd w:id="44"/>
    </w:p>
    <w:p>
      <w:pPr>
        <w:spacing w:line="600" w:lineRule="exact"/>
        <w:ind w:firstLine="640"/>
        <w:rPr>
          <w:rFonts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sz w:val="32"/>
          <w:szCs w:val="32"/>
        </w:rPr>
        <w:t>无</w:t>
      </w:r>
    </w:p>
    <w:p>
      <w:pPr>
        <w:spacing w:line="600" w:lineRule="exact"/>
        <w:ind w:firstLine="640"/>
        <w:outlineLvl w:val="2"/>
        <w:rPr>
          <w:rFonts w:ascii="方正仿宋_GBK" w:hAnsi="方正仿宋_GBK" w:eastAsia="方正仿宋_GBK" w:cs="方正仿宋_GBK"/>
          <w:b/>
          <w:color w:val="000000"/>
          <w:sz w:val="32"/>
          <w:szCs w:val="32"/>
        </w:rPr>
      </w:pPr>
      <w:bookmarkStart w:id="45" w:name="_Toc15377217"/>
      <w:r>
        <w:rPr>
          <w:rFonts w:hint="eastAsia" w:ascii="方正仿宋_GBK" w:hAnsi="方正仿宋_GBK" w:eastAsia="方正仿宋_GBK" w:cs="方正仿宋_GBK"/>
          <w:b/>
          <w:color w:val="000000"/>
          <w:sz w:val="32"/>
          <w:szCs w:val="32"/>
        </w:rPr>
        <w:t>（二）“三公”经费财政拨款支出决算具体情况说明</w:t>
      </w:r>
      <w:bookmarkEnd w:id="45"/>
    </w:p>
    <w:p>
      <w:pPr>
        <w:spacing w:line="600" w:lineRule="exact"/>
        <w:ind w:firstLine="640"/>
        <w:outlineLvl w:val="1"/>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无</w:t>
      </w:r>
      <w:bookmarkStart w:id="46" w:name="_Toc15377218"/>
      <w:bookmarkStart w:id="47" w:name="_Toc15396610"/>
    </w:p>
    <w:p>
      <w:pPr>
        <w:spacing w:line="600" w:lineRule="exact"/>
        <w:ind w:firstLine="640"/>
        <w:outlineLvl w:val="1"/>
        <w:rPr>
          <w:rStyle w:val="25"/>
          <w:rFonts w:ascii="黑体" w:hAnsi="黑体" w:eastAsia="黑体" w:cs="黑体"/>
        </w:rPr>
      </w:pPr>
      <w:r>
        <w:rPr>
          <w:rFonts w:hint="eastAsia" w:ascii="黑体" w:hAnsi="黑体" w:eastAsia="黑体" w:cs="黑体"/>
          <w:b/>
          <w:bCs/>
          <w:color w:val="000000"/>
          <w:sz w:val="32"/>
          <w:szCs w:val="32"/>
        </w:rPr>
        <w:t>八、</w:t>
      </w:r>
      <w:r>
        <w:rPr>
          <w:rStyle w:val="25"/>
          <w:rFonts w:hint="eastAsia" w:ascii="黑体" w:hAnsi="黑体" w:eastAsia="黑体" w:cs="黑体"/>
        </w:rPr>
        <w:t>政府性基金预算支出决算情况说明</w:t>
      </w:r>
      <w:bookmarkEnd w:id="46"/>
      <w:bookmarkEnd w:id="47"/>
    </w:p>
    <w:p>
      <w:pPr>
        <w:spacing w:line="60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无</w:t>
      </w:r>
    </w:p>
    <w:p>
      <w:pPr>
        <w:numPr>
          <w:ilvl w:val="0"/>
          <w:numId w:val="3"/>
        </w:numPr>
        <w:spacing w:line="600" w:lineRule="exact"/>
        <w:ind w:firstLine="640"/>
        <w:outlineLvl w:val="1"/>
        <w:rPr>
          <w:rStyle w:val="25"/>
          <w:rFonts w:ascii="黑体" w:hAnsi="黑体" w:eastAsia="黑体" w:cs="黑体"/>
          <w:bCs w:val="0"/>
        </w:rPr>
      </w:pPr>
      <w:bookmarkStart w:id="48" w:name="_Toc15396611"/>
      <w:bookmarkStart w:id="49" w:name="_Toc15377219"/>
      <w:r>
        <w:rPr>
          <w:rStyle w:val="25"/>
          <w:rFonts w:hint="eastAsia" w:ascii="黑体" w:hAnsi="黑体" w:eastAsia="黑体" w:cs="黑体"/>
          <w:bCs w:val="0"/>
        </w:rPr>
        <w:t>国有资本经营预算支出决算情况说明</w:t>
      </w:r>
      <w:bookmarkEnd w:id="48"/>
      <w:bookmarkEnd w:id="49"/>
    </w:p>
    <w:p>
      <w:pPr>
        <w:spacing w:line="60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无</w:t>
      </w:r>
    </w:p>
    <w:p>
      <w:pPr>
        <w:pStyle w:val="23"/>
        <w:numPr>
          <w:ilvl w:val="0"/>
          <w:numId w:val="4"/>
        </w:numPr>
        <w:spacing w:line="580" w:lineRule="exact"/>
        <w:ind w:firstLineChars="0"/>
        <w:rPr>
          <w:rFonts w:ascii="黑体" w:hAnsi="黑体" w:eastAsia="黑体" w:cs="黑体"/>
          <w:bCs/>
          <w:sz w:val="32"/>
          <w:szCs w:val="32"/>
        </w:rPr>
      </w:pPr>
      <w:r>
        <w:rPr>
          <w:rStyle w:val="25"/>
          <w:rFonts w:hint="eastAsia" w:ascii="黑体" w:hAnsi="黑体" w:eastAsia="黑体" w:cs="黑体"/>
          <w:b w:val="0"/>
        </w:rPr>
        <w:t>预算绩效情况说明</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本单位按要求对2019年部门整体支出开展绩效自评，从评价情况来看本单位按要求对 2019年单位整体支出开展绩效自评，从评价情况来看，本单位 2019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5"/>
        </w:numPr>
        <w:spacing w:line="58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项目绩效目标完成情况。</w:t>
      </w:r>
      <w:r>
        <w:rPr>
          <w:rFonts w:hint="eastAsia" w:ascii="方正仿宋_GBK" w:hAnsi="方正仿宋_GBK" w:eastAsia="方正仿宋_GBK" w:cs="方正仿宋_GBK"/>
          <w:b/>
          <w:bCs/>
          <w:sz w:val="32"/>
          <w:szCs w:val="32"/>
        </w:rPr>
        <w:br w:type="textWrapping"/>
      </w:r>
      <w:r>
        <w:rPr>
          <w:rFonts w:hint="eastAsia" w:ascii="方正仿宋_GBK" w:hAnsi="方正仿宋_GBK" w:eastAsia="方正仿宋_GBK" w:cs="方正仿宋_GBK"/>
          <w:sz w:val="32"/>
          <w:szCs w:val="32"/>
        </w:rPr>
        <w:t xml:space="preserve">    本单位在2019年度部门决算中反映“基本公共卫生服务”“基本药物补助”等2个项目绩效目标实际完成情况。</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基本药物补助项目绩效目标完成情况综述。项目全年预算数18.59万元，执行数为18.59万元，完成预算的100%。通过项目实施，保障了2019年我院基本药物采购资金的保障，发现的主要问题：对专项项目推进工作重视度有待加强，对。下一步改进措施：极与财政部门衔接，在单位预算编制中从细从严，切实推进预算。</w:t>
      </w:r>
    </w:p>
    <w:tbl>
      <w:tblPr>
        <w:tblStyle w:val="12"/>
        <w:tblpPr w:leftFromText="180" w:rightFromText="180" w:vertAnchor="text" w:horzAnchor="page" w:tblpX="1267" w:tblpY="-1290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达州市达川区赵固镇卫生院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18.59万元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18.59万元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18.59万元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18.59万元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完成2019年基本药物资金补助18.59万元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完成2019年基本药物资金补助18.59万元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数87.02万元，执行数为87.02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达州市达川区赵固镇卫生院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87.02万元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87.02万元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87.02万元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87.02万元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完成2019年基本公共卫生服务87.02万元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完成2019年基本公共卫生服务87.02万元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完成2019年基本公共卫生服87.02万元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本部门按要求对2019年部门整体支出绩效评价情况开展自评，《四川省达州市达川区赵固镇卫生院2019年部门整体支出绩效评价报告》见附件。本部门未自行组织其他项目绩效评价。</w:t>
      </w: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autoSpaceDE w:val="0"/>
        <w:autoSpaceDN w:val="0"/>
        <w:adjustRightInd w:val="0"/>
        <w:spacing w:line="600" w:lineRule="exact"/>
        <w:ind w:firstLine="640" w:firstLineChars="200"/>
        <w:jc w:val="left"/>
        <w:outlineLvl w:val="2"/>
        <w:rPr>
          <w:rFonts w:ascii="仿宋_GB2312" w:eastAsia="仿宋_GB2312"/>
          <w:color w:val="000000"/>
          <w:sz w:val="32"/>
          <w:szCs w:val="32"/>
        </w:rPr>
      </w:pPr>
      <w:bookmarkStart w:id="53" w:name="_Toc15377223"/>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9年，达川区赵固镇卫生院政府采购支出总额0万元，其中：政府采购货物支出0万元、政府采购工程支出0万元、政府采购服务支出0万元。主要用于办公设备购置等。</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截至2019年12月31日，我院有救护车辆1辆。单价50万元以上通用设备无（套），单价100万元以上专用设备0台。</w:t>
      </w:r>
    </w:p>
    <w:p>
      <w:pPr>
        <w:numPr>
          <w:ilvl w:val="0"/>
          <w:numId w:val="6"/>
        </w:numPr>
        <w:spacing w:line="600" w:lineRule="exact"/>
        <w:ind w:firstLine="663"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财政拨款收入：指单位从同级财政部门取得的财政预算资金。</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事业收入：指事业单位开展专业业务活动及辅助活动取得的收入。如：本单位开展的医疗业务收入等。</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经营收入：指事业单位在专业业务活动及其辅助活动之外开展非独立核算经营活动取得的收入。</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其他收入：指单位取得的除上述收入以外的各项收入。主要是利息收入等。</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结余分配：指事业单位按照事业单位会计制度的规定从非财政补助结余中分配的事业基金和职工福利基金等。</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一般公共服务支出（201）-人力资源事务（20110）-其他人力资源事务支出（2011099）：指反映我单位三支一扶人员经费支出。</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社会保障和就业（208）-行政事业单位离退休（20805）-机关事业单位基本养老保险缴费支出（2080505）：指反映机关事业单位实施养老保险制度由单位缴费的基本养老保险费支出。</w:t>
      </w:r>
    </w:p>
    <w:p>
      <w:pPr>
        <w:pStyle w:val="22"/>
        <w:numPr>
          <w:ilvl w:val="0"/>
          <w:numId w:val="7"/>
        </w:numPr>
        <w:spacing w:line="560" w:lineRule="exact"/>
        <w:ind w:firstLine="640" w:firstLineChars="200"/>
        <w:rPr>
          <w:rFonts w:ascii="仿宋_GB2312" w:eastAsia="仿宋_GB2312"/>
          <w:bCs/>
          <w:sz w:val="32"/>
          <w:szCs w:val="32"/>
        </w:rPr>
      </w:pPr>
      <w:r>
        <w:rPr>
          <w:rFonts w:hint="eastAsia" w:ascii="仿宋_GB2312" w:eastAsia="仿宋_GB2312"/>
          <w:bCs/>
          <w:sz w:val="32"/>
          <w:szCs w:val="32"/>
        </w:rPr>
        <w:t>卫生健康支出(210)-基层医疗卫生机构(21003)-乡镇卫生院(2100302):指用于乡镇卫生院的基本支出。</w:t>
      </w:r>
    </w:p>
    <w:p>
      <w:pPr>
        <w:pStyle w:val="22"/>
        <w:numPr>
          <w:ilvl w:val="0"/>
          <w:numId w:val="7"/>
        </w:numPr>
        <w:spacing w:line="560" w:lineRule="exact"/>
        <w:ind w:firstLine="640" w:firstLineChars="200"/>
        <w:rPr>
          <w:rFonts w:ascii="仿宋_GB2312" w:eastAsia="仿宋_GB2312"/>
          <w:sz w:val="32"/>
          <w:szCs w:val="32"/>
        </w:rPr>
      </w:pPr>
      <w:r>
        <w:rPr>
          <w:rStyle w:val="14"/>
          <w:rFonts w:hint="eastAsia" w:ascii="仿宋_GB2312" w:eastAsia="仿宋_GB2312"/>
          <w:b w:val="0"/>
          <w:bCs/>
          <w:sz w:val="32"/>
          <w:szCs w:val="32"/>
        </w:rPr>
        <w:t>卫生健康支出</w:t>
      </w:r>
      <w:r>
        <w:rPr>
          <w:rFonts w:hint="eastAsia" w:ascii="仿宋_GB2312" w:eastAsia="仿宋_GB2312"/>
          <w:sz w:val="32"/>
          <w:szCs w:val="32"/>
        </w:rPr>
        <w:t>(210) -基层医疗卫生机构(21003)-其他基层医疗卫生机构支出（2100399):指用于基层医疗卫生机构基药零差价的补助支出。</w:t>
      </w:r>
    </w:p>
    <w:p>
      <w:pPr>
        <w:pStyle w:val="22"/>
        <w:numPr>
          <w:ilvl w:val="0"/>
          <w:numId w:val="7"/>
        </w:numPr>
        <w:spacing w:line="560" w:lineRule="exact"/>
        <w:ind w:firstLine="640" w:firstLineChars="200"/>
        <w:rPr>
          <w:rFonts w:ascii="仿宋_GB2312" w:eastAsia="仿宋_GB2312"/>
          <w:sz w:val="32"/>
          <w:szCs w:val="32"/>
        </w:rPr>
      </w:pPr>
      <w:r>
        <w:rPr>
          <w:rStyle w:val="14"/>
          <w:rFonts w:hint="eastAsia" w:ascii="仿宋_GB2312" w:eastAsia="仿宋_GB2312"/>
          <w:b w:val="0"/>
          <w:bCs/>
          <w:sz w:val="32"/>
          <w:szCs w:val="32"/>
        </w:rPr>
        <w:t>卫生健康支出</w:t>
      </w:r>
      <w:r>
        <w:rPr>
          <w:rFonts w:hint="eastAsia" w:ascii="仿宋_GB2312" w:eastAsia="仿宋_GB2312"/>
          <w:sz w:val="32"/>
          <w:szCs w:val="32"/>
        </w:rPr>
        <w:t>(210) -公共卫生（21004）-基本公共卫生服务（2100408）:指用于基本公共卫生服务的支出。</w:t>
      </w:r>
    </w:p>
    <w:p>
      <w:pPr>
        <w:pStyle w:val="22"/>
        <w:numPr>
          <w:ilvl w:val="0"/>
          <w:numId w:val="7"/>
        </w:numPr>
        <w:spacing w:line="560" w:lineRule="exact"/>
        <w:ind w:firstLine="640" w:firstLineChars="200"/>
        <w:rPr>
          <w:rFonts w:ascii="仿宋_GB2312" w:eastAsia="仿宋_GB2312"/>
          <w:sz w:val="32"/>
          <w:szCs w:val="32"/>
        </w:rPr>
      </w:pPr>
      <w:r>
        <w:rPr>
          <w:rStyle w:val="14"/>
          <w:rFonts w:hint="eastAsia" w:ascii="仿宋_GB2312" w:eastAsia="仿宋_GB2312"/>
          <w:b w:val="0"/>
          <w:bCs/>
          <w:sz w:val="32"/>
          <w:szCs w:val="32"/>
        </w:rPr>
        <w:t>卫生健康支出</w:t>
      </w:r>
      <w:r>
        <w:rPr>
          <w:rFonts w:hint="eastAsia" w:ascii="仿宋_GB2312" w:eastAsia="仿宋_GB2312"/>
          <w:sz w:val="32"/>
          <w:szCs w:val="32"/>
        </w:rPr>
        <w:t>(210)-医疗保障（21005）- 事业单位医疗（2100502）:指反映行政事业单位按人力资源和社会保障部、财政部等规定的基本工资和津补贴以及规定比例为职工缴纳的职工医疗保险金。</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住房保障支出(221)-住房改革支出(22102)-住房公积金(2210201):指反映行政事业单位按人力资源和社会保障部、财政部规定的基本工资和津补贴以及规定比例为职工缴纳的住房公积金。</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numPr>
          <w:ilvl w:val="0"/>
          <w:numId w:val="7"/>
        </w:num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ascii="黑体" w:hAnsi="黑体" w:eastAsia="黑体"/>
          <w:color w:val="000000"/>
          <w:sz w:val="44"/>
          <w:szCs w:val="44"/>
        </w:rPr>
      </w:pPr>
      <w:bookmarkStart w:id="57" w:name="_Toc15396614"/>
      <w:bookmarkStart w:id="58"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ind w:firstLine="2640" w:firstLineChars="600"/>
        <w:outlineLvl w:val="0"/>
        <w:rPr>
          <w:rFonts w:ascii="黑体" w:hAnsi="黑体" w:eastAsia="黑体"/>
          <w:color w:val="000000"/>
          <w:sz w:val="44"/>
          <w:szCs w:val="44"/>
        </w:rPr>
      </w:pPr>
    </w:p>
    <w:p>
      <w:pPr>
        <w:spacing w:line="600" w:lineRule="exact"/>
        <w:ind w:firstLine="2640" w:firstLineChars="600"/>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center"/>
        <w:outlineLvl w:val="0"/>
        <w:rPr>
          <w:rStyle w:val="24"/>
        </w:rPr>
      </w:pPr>
    </w:p>
    <w:p>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44"/>
          <w:szCs w:val="44"/>
        </w:rPr>
      </w:pPr>
      <w:r>
        <w:rPr>
          <w:rFonts w:hint="eastAsia" w:ascii="黑体" w:hAnsi="黑体" w:eastAsia="黑体" w:cs="方正小标宋简体"/>
          <w:sz w:val="44"/>
          <w:szCs w:val="44"/>
        </w:rPr>
        <w:t>达州市达川区赵固镇卫生院</w:t>
      </w:r>
    </w:p>
    <w:p>
      <w:pPr>
        <w:spacing w:line="600" w:lineRule="exact"/>
        <w:jc w:val="center"/>
        <w:outlineLvl w:val="0"/>
        <w:rPr>
          <w:rFonts w:ascii="黑体" w:hAnsi="黑体" w:eastAsia="黑体" w:cs="方正小标宋简体"/>
          <w:sz w:val="44"/>
          <w:szCs w:val="44"/>
        </w:rPr>
      </w:pPr>
      <w:r>
        <w:rPr>
          <w:rFonts w:hint="eastAsia" w:ascii="黑体" w:hAnsi="黑体" w:eastAsia="黑体" w:cs="方正小标宋简体"/>
          <w:sz w:val="44"/>
          <w:szCs w:val="44"/>
        </w:rPr>
        <w:t>2019年部门整体支出绩效评价报告</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（一）机构组成</w:t>
      </w:r>
      <w:r>
        <w:rPr>
          <w:rFonts w:hint="eastAsia" w:ascii="方正仿宋_GBK" w:hAnsi="方正仿宋_GBK" w:eastAsia="方正仿宋_GBK" w:cs="方正仿宋_GBK"/>
          <w:sz w:val="32"/>
          <w:szCs w:val="32"/>
        </w:rPr>
        <w:t>。</w:t>
      </w:r>
    </w:p>
    <w:p>
      <w:pPr>
        <w:spacing w:line="5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达州市达川区赵固镇卫生院是一级乙等乡镇卫生院，无其他下属单位。</w:t>
      </w:r>
    </w:p>
    <w:p>
      <w:pPr>
        <w:spacing w:line="58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（二）机构职能。</w:t>
      </w:r>
    </w:p>
    <w:p>
      <w:pPr>
        <w:adjustRightInd w:val="0"/>
        <w:snapToGrid w:val="0"/>
        <w:spacing w:line="60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达州市达川区赵固镇卫生院是一级乙等乡镇卫生院，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我院拥有DR、B超、全自动生化分析仪等辅助设备，现设有内科、外科、中医科、理疗科等科室。能对常见病，多发病做出准确的诊断和治疗。</w:t>
      </w:r>
    </w:p>
    <w:p>
      <w:pPr>
        <w:spacing w:line="58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（三）人员概况</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达州市达川区赵固镇卫生院，年末实有人数11人（本年调出1人，调入1人，辞职1人）、三支一扶2人、临聘人员2人。 </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（一）部门财政资金收入情况</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2019年我院财政拨款收入总计266.86万元，其中一般公共预算财政拨款收入198.71万元，年初财政补助结转和结余68.15万元。</w:t>
      </w:r>
    </w:p>
    <w:p>
      <w:pPr>
        <w:numPr>
          <w:ilvl w:val="0"/>
          <w:numId w:val="8"/>
        </w:numPr>
        <w:spacing w:line="58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部门财政资金支出情况</w:t>
      </w:r>
    </w:p>
    <w:p>
      <w:pPr>
        <w:spacing w:line="58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2019年我院财政拨款支出总计266.86万元，其中一般公共预算财政拨款支出182.07万元，年末财政补助结转和结余84.79万元。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spacing w:line="58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（一）部门预算管理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2019年预算编制工作，按时完成基础库、项目库报送工作，并按时提交部门预算草案。绩效目标是预算编制的前提和基础，按照“费随事定”的原则，2019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方正仿宋_GBK" w:hAnsi="方正仿宋_GBK" w:eastAsia="方正仿宋_GBK" w:cs="方正仿宋_GBK"/>
          <w:sz w:val="32"/>
          <w:szCs w:val="32"/>
        </w:rPr>
      </w:pPr>
      <w:r>
        <w:rPr>
          <w:rFonts w:eastAsia="方正仿宋_GBK"/>
          <w:sz w:val="32"/>
          <w:szCs w:val="32"/>
        </w:rPr>
        <w:t>截止 2019 年 12 月 31 日，我院 2019年财政</w:t>
      </w:r>
      <w:r>
        <w:rPr>
          <w:rFonts w:hint="eastAsia" w:ascii="方正仿宋_GBK" w:hAnsi="方正仿宋_GBK" w:eastAsia="方正仿宋_GBK" w:cs="方正仿宋_GBK"/>
          <w:sz w:val="32"/>
          <w:szCs w:val="32"/>
        </w:rPr>
        <w:t>资金一般公共预算财政拨款执行进度为</w:t>
      </w:r>
      <w:r>
        <w:rPr>
          <w:rFonts w:eastAsia="方正仿宋_GBK"/>
          <w:sz w:val="32"/>
          <w:szCs w:val="32"/>
        </w:rPr>
        <w:t>100%。</w:t>
      </w:r>
    </w:p>
    <w:p>
      <w:pPr>
        <w:spacing w:before="270" w:line="33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（二）专项预算管理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（三）结果应用情况</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严格遵循《预算法》等相关法律法规和财政局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3" w:firstLineChars="200"/>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（一）评价结论</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我单位整体支出绩效评价自查自评结果良好。财务制度较健全，财务管理较规范，全年基本支出保障了部门的正常运行和日程工作的正常开展，全额保障了项目支出工作的开展，履职成效明显，达到了预期绩效目标和预期经济效果。</w:t>
      </w:r>
    </w:p>
    <w:p>
      <w:pPr>
        <w:spacing w:line="58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（二）存在问题</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信息化建设不够完善。预算管理绩效监控的动态调整能力有待进一步提高，把绩效监控结果有效应用到预算执行和调整上。</w:t>
      </w:r>
    </w:p>
    <w:p>
      <w:pPr>
        <w:spacing w:line="58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（三）改进建议</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建议区财政局根据实际需求，重新核定我单位医疗收入和基本支出控制数，提高财政补助经费定额标准，保证正常工作运转。</w:t>
      </w:r>
    </w:p>
    <w:p>
      <w:pPr>
        <w:rPr>
          <w:rFonts w:ascii="方正仿宋_GBK" w:hAnsi="方正仿宋_GBK" w:eastAsia="方正仿宋_GBK" w:cs="方正仿宋_GBK"/>
          <w:sz w:val="32"/>
          <w:szCs w:val="32"/>
        </w:rPr>
      </w:pPr>
    </w:p>
    <w:p>
      <w:pPr>
        <w:spacing w:line="580" w:lineRule="exact"/>
        <w:ind w:firstLine="640" w:firstLineChars="200"/>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p>
    <w:p>
      <w:pPr>
        <w:pStyle w:val="3"/>
        <w:rPr>
          <w:rStyle w:val="24"/>
          <w:rFonts w:ascii="方正仿宋_GBK" w:hAnsi="方正仿宋_GBK" w:eastAsia="方正仿宋_GBK" w:cs="方正仿宋_GBK"/>
          <w:b w:val="0"/>
          <w:bCs w:val="0"/>
          <w:sz w:val="32"/>
          <w:szCs w:val="32"/>
        </w:rPr>
      </w:pPr>
      <w:bookmarkStart w:id="60" w:name="_Toc15396617"/>
      <w:r>
        <w:rPr>
          <w:rStyle w:val="24"/>
          <w:rFonts w:hint="eastAsia" w:ascii="方正仿宋_GBK" w:hAnsi="方正仿宋_GBK" w:eastAsia="方正仿宋_GBK" w:cs="方正仿宋_GBK"/>
          <w:b w:val="0"/>
          <w:bCs w:val="0"/>
          <w:sz w:val="32"/>
          <w:szCs w:val="32"/>
        </w:rPr>
        <w:t>附件2</w:t>
      </w:r>
      <w:bookmarkEnd w:id="60"/>
    </w:p>
    <w:p>
      <w:pPr>
        <w:spacing w:line="580" w:lineRule="exact"/>
        <w:jc w:val="center"/>
        <w:rPr>
          <w:rFonts w:ascii="黑体" w:hAnsi="黑体" w:eastAsia="黑体" w:cs="黑体"/>
          <w:sz w:val="44"/>
          <w:szCs w:val="44"/>
        </w:rPr>
      </w:pPr>
      <w:r>
        <w:rPr>
          <w:rFonts w:hint="eastAsia" w:ascii="黑体" w:hAnsi="黑体" w:eastAsia="黑体" w:cs="黑体"/>
          <w:sz w:val="44"/>
          <w:szCs w:val="44"/>
        </w:rPr>
        <w:t>2019年达川区赵固镇卫生院</w:t>
      </w:r>
    </w:p>
    <w:p>
      <w:pPr>
        <w:spacing w:line="580" w:lineRule="exact"/>
        <w:jc w:val="center"/>
        <w:rPr>
          <w:rFonts w:ascii="黑体" w:hAnsi="黑体" w:eastAsia="黑体" w:cs="黑体"/>
          <w:sz w:val="44"/>
          <w:szCs w:val="44"/>
        </w:rPr>
      </w:pPr>
      <w:r>
        <w:rPr>
          <w:rFonts w:hint="eastAsia" w:ascii="黑体" w:hAnsi="黑体" w:eastAsia="黑体" w:cs="黑体"/>
          <w:sz w:val="44"/>
          <w:szCs w:val="44"/>
        </w:rPr>
        <w:t>项目支出绩效评价报告</w:t>
      </w:r>
    </w:p>
    <w:p>
      <w:pPr>
        <w:spacing w:line="580" w:lineRule="exact"/>
        <w:ind w:firstLine="640" w:firstLineChars="200"/>
        <w:rPr>
          <w:rFonts w:ascii="方正仿宋_GBK" w:hAnsi="方正仿宋_GBK" w:eastAsia="方正仿宋_GBK" w:cs="方正仿宋_GBK"/>
          <w:sz w:val="32"/>
          <w:szCs w:val="32"/>
        </w:rPr>
      </w:pPr>
    </w:p>
    <w:p>
      <w:pPr>
        <w:spacing w:line="600" w:lineRule="exact"/>
        <w:outlineLvl w:val="0"/>
        <w:rPr>
          <w:rFonts w:ascii="黑体" w:hAnsi="黑体" w:eastAsia="黑体" w:cs="黑体"/>
          <w:color w:val="000000"/>
          <w:sz w:val="32"/>
          <w:szCs w:val="32"/>
        </w:rPr>
      </w:pPr>
      <w:bookmarkStart w:id="61" w:name="_Toc15396618"/>
      <w:r>
        <w:rPr>
          <w:rFonts w:hint="eastAsia" w:ascii="黑体" w:hAnsi="黑体" w:eastAsia="黑体" w:cs="黑体"/>
          <w:color w:val="000000"/>
          <w:sz w:val="32"/>
          <w:szCs w:val="32"/>
        </w:rPr>
        <w:t>一、评价工作开展及项目情况</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提高基本公共卫生服务项目均等化水平，推进基本公卫生服务项目开展；巩固基本药物制度，不断提升服务能力和水平，筑牢基层医疗卫生服务网底，实现医改“保基本、强基层、建机制”的目标。开展项目是基本公共卫生服务和基层医疗机构基本药物制度。</w:t>
      </w:r>
    </w:p>
    <w:p>
      <w:pPr>
        <w:spacing w:line="600" w:lineRule="exact"/>
        <w:outlineLvl w:val="0"/>
        <w:rPr>
          <w:rFonts w:ascii="黑体" w:hAnsi="黑体" w:eastAsia="黑体" w:cs="黑体"/>
          <w:color w:val="000000"/>
          <w:sz w:val="32"/>
          <w:szCs w:val="32"/>
        </w:rPr>
      </w:pPr>
      <w:r>
        <w:rPr>
          <w:rFonts w:hint="eastAsia" w:ascii="黑体" w:hAnsi="黑体" w:eastAsia="黑体" w:cs="黑体"/>
          <w:color w:val="000000"/>
          <w:sz w:val="32"/>
          <w:szCs w:val="32"/>
        </w:rPr>
        <w:t>二、项目管理及绩效分析</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（一）项目决策</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1.资金计划及到位。基本公共卫生服务</w:t>
      </w:r>
      <w:r>
        <w:rPr>
          <w:rFonts w:hint="eastAsia" w:ascii="方正仿宋_GBK" w:hAnsi="方正仿宋_GBK" w:eastAsia="方正仿宋_GBK" w:cs="方正仿宋_GBK"/>
          <w:color w:val="000000"/>
          <w:sz w:val="32"/>
          <w:szCs w:val="32"/>
          <w:lang w:eastAsia="zh-CN"/>
        </w:rPr>
        <w:t>下拨</w:t>
      </w:r>
      <w:r>
        <w:rPr>
          <w:rFonts w:hint="eastAsia" w:ascii="方正仿宋_GBK" w:hAnsi="方正仿宋_GBK" w:eastAsia="方正仿宋_GBK" w:cs="方正仿宋_GBK"/>
          <w:color w:val="000000"/>
          <w:sz w:val="32"/>
          <w:szCs w:val="32"/>
        </w:rPr>
        <w:t>资金87.02万元、基层医疗机构基本药物制度</w:t>
      </w:r>
      <w:r>
        <w:rPr>
          <w:rFonts w:hint="eastAsia" w:ascii="方正仿宋_GBK" w:hAnsi="方正仿宋_GBK" w:eastAsia="方正仿宋_GBK" w:cs="方正仿宋_GBK"/>
          <w:color w:val="000000"/>
          <w:sz w:val="32"/>
          <w:szCs w:val="32"/>
          <w:lang w:eastAsia="zh-CN"/>
        </w:rPr>
        <w:t>下拨</w:t>
      </w:r>
      <w:r>
        <w:rPr>
          <w:rFonts w:hint="eastAsia" w:ascii="方正仿宋_GBK" w:hAnsi="方正仿宋_GBK" w:eastAsia="方正仿宋_GBK" w:cs="方正仿宋_GBK"/>
          <w:color w:val="000000"/>
          <w:sz w:val="32"/>
          <w:szCs w:val="32"/>
        </w:rPr>
        <w:t>资金18.59万元。</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2.资金使用。单位根据业务需要购买货物及工作运行开支。</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（二）项目管理</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规范基本公共卫生服务行为，推进基本公卫生服务项目开展，不断提升服务能力和水平，筑牢基层医疗卫生服务网底，实现医改“保基本、强基层、建机制”的目标。通确保基本公共卫生服务和基层医疗机构基本药物制度顺利实施。</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（三）项目绩效</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为广大群众提供公共卫生安全保障，居民满意度、建档立卡贫困户满意度≧90%；基本药物零差率销售率100%，政府办基层医疗卫生机构基本药物制度覆盖率100%。</w:t>
      </w:r>
    </w:p>
    <w:p>
      <w:pPr>
        <w:spacing w:line="600" w:lineRule="exact"/>
        <w:outlineLvl w:val="0"/>
        <w:rPr>
          <w:rFonts w:ascii="黑体" w:hAnsi="黑体" w:eastAsia="黑体" w:cs="黑体"/>
          <w:color w:val="000000"/>
          <w:sz w:val="32"/>
          <w:szCs w:val="32"/>
        </w:rPr>
      </w:pPr>
      <w:r>
        <w:rPr>
          <w:rFonts w:hint="eastAsia" w:ascii="黑体" w:hAnsi="黑体" w:eastAsia="黑体" w:cs="黑体"/>
          <w:color w:val="000000"/>
          <w:sz w:val="32"/>
          <w:szCs w:val="32"/>
        </w:rPr>
        <w:t>三、评价结论及建议</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（一）评价结论。</w:t>
      </w:r>
    </w:p>
    <w:p>
      <w:pPr>
        <w:spacing w:line="600" w:lineRule="exact"/>
        <w:ind w:firstLine="960" w:firstLineChars="3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总体看，我单位预算编制及执行决算较为准确，支出管理较为规范，财务管理制度较完善，项目支出整体绩效较好。项目支出绩效自评得分为85分</w:t>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（二）存在的问题。</w:t>
      </w:r>
    </w:p>
    <w:p>
      <w:pPr>
        <w:spacing w:line="600" w:lineRule="exact"/>
        <w:ind w:left="319" w:leftChars="152"/>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一是预算不够明确和细化。预算执行力度还要进一步加强;二是单位缺少专业的会计人员;</w:t>
      </w:r>
    </w:p>
    <w:p>
      <w:pPr>
        <w:spacing w:line="600" w:lineRule="exact"/>
        <w:ind w:firstLine="320" w:firstLineChars="1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三是各项管理制度还待进一步完善。</w:t>
      </w:r>
      <w:r>
        <w:rPr>
          <w:rFonts w:hint="eastAsia" w:ascii="方正仿宋_GBK" w:hAnsi="方正仿宋_GBK" w:eastAsia="方正仿宋_GBK" w:cs="方正仿宋_GBK"/>
          <w:color w:val="000000"/>
          <w:sz w:val="32"/>
          <w:szCs w:val="32"/>
        </w:rPr>
        <w:tab/>
      </w:r>
    </w:p>
    <w:p>
      <w:pPr>
        <w:spacing w:line="600" w:lineRule="exac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（三）相关建议。</w:t>
      </w:r>
    </w:p>
    <w:p>
      <w:pPr>
        <w:spacing w:line="600" w:lineRule="exact"/>
        <w:ind w:firstLine="640" w:firstLineChars="2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1.建议财政部门加强对财务人员做好各项财务工作的指导和培训，尤其是加强《政府会计制度》等新的会计制度学习和培训，规范部门预算收支核算。</w:t>
      </w:r>
    </w:p>
    <w:p>
      <w:pPr>
        <w:spacing w:line="600" w:lineRule="exact"/>
        <w:ind w:firstLine="640" w:firstLineChars="2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2.进一步完善和落实相关管理制度，加强内部控制管理制度学习，严格遵照相关制度贯彻落实到位，做到精细化管理。</w:t>
      </w:r>
    </w:p>
    <w:p>
      <w:pPr>
        <w:spacing w:line="600" w:lineRule="exact"/>
        <w:ind w:firstLine="640" w:firstLineChars="2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3、进一步完善和落实相关管理制度，加强内部控制管理制度学习，严格遵照相关制度贯彻落实到位，做到精细化管理。</w:t>
      </w:r>
    </w:p>
    <w:p>
      <w:pPr>
        <w:spacing w:line="600" w:lineRule="exact"/>
        <w:jc w:val="center"/>
        <w:outlineLvl w:val="0"/>
        <w:rPr>
          <w:rFonts w:ascii="方正仿宋_GBK" w:hAnsi="方正仿宋_GBK" w:eastAsia="方正仿宋_GBK" w:cs="方正仿宋_GBK"/>
          <w:color w:val="000000"/>
          <w:sz w:val="32"/>
          <w:szCs w:val="32"/>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6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14:textFill>
            <w14:solidFill>
              <w14:schemeClr w14:val="tx1"/>
            </w14:solidFill>
          </w14:textFill>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行楷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1BA8B6F6"/>
    <w:multiLevelType w:val="singleLevel"/>
    <w:tmpl w:val="1BA8B6F6"/>
    <w:lvl w:ilvl="0" w:tentative="0">
      <w:start w:val="2"/>
      <w:numFmt w:val="chineseCounting"/>
      <w:suff w:val="nothing"/>
      <w:lvlText w:val="（%1）"/>
      <w:lvlJc w:val="left"/>
      <w:rPr>
        <w:rFonts w:hint="eastAsia"/>
      </w:rPr>
    </w:lvl>
  </w:abstractNum>
  <w:abstractNum w:abstractNumId="6">
    <w:nsid w:val="3B655C1D"/>
    <w:multiLevelType w:val="singleLevel"/>
    <w:tmpl w:val="3B655C1D"/>
    <w:lvl w:ilvl="0" w:tentative="0">
      <w:start w:val="1"/>
      <w:numFmt w:val="decimal"/>
      <w:suff w:val="nothing"/>
      <w:lvlText w:val="%1、"/>
      <w:lvlJc w:val="left"/>
    </w:lvl>
  </w:abstractNum>
  <w:abstractNum w:abstractNumId="7">
    <w:nsid w:val="50BB89FE"/>
    <w:multiLevelType w:val="singleLevel"/>
    <w:tmpl w:val="50BB89FE"/>
    <w:lvl w:ilvl="0" w:tentative="0">
      <w:start w:val="1"/>
      <w:numFmt w:val="decimal"/>
      <w:suff w:val="nothing"/>
      <w:lvlText w:val="%1、"/>
      <w:lvlJc w:val="left"/>
    </w:lvl>
  </w:abstractNum>
  <w:num w:numId="1">
    <w:abstractNumId w:val="3"/>
  </w:num>
  <w:num w:numId="2">
    <w:abstractNumId w:val="7"/>
  </w:num>
  <w:num w:numId="3">
    <w:abstractNumId w:val="0"/>
  </w:num>
  <w:num w:numId="4">
    <w:abstractNumId w:val="4"/>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NjJlMDAxZWM3ODlhMjQ3MTc0NWE5ODU2MDA2MzQifQ=="/>
  </w:docVars>
  <w:rsids>
    <w:rsidRoot w:val="00F1361C"/>
    <w:rsid w:val="000013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D68CB"/>
    <w:rsid w:val="000E6613"/>
    <w:rsid w:val="000E7119"/>
    <w:rsid w:val="00114E9B"/>
    <w:rsid w:val="0014729F"/>
    <w:rsid w:val="00157BAB"/>
    <w:rsid w:val="001654D1"/>
    <w:rsid w:val="0018106D"/>
    <w:rsid w:val="001877A7"/>
    <w:rsid w:val="00191536"/>
    <w:rsid w:val="00196687"/>
    <w:rsid w:val="001C0962"/>
    <w:rsid w:val="001C270A"/>
    <w:rsid w:val="001D7531"/>
    <w:rsid w:val="001E737D"/>
    <w:rsid w:val="001F0592"/>
    <w:rsid w:val="001F7506"/>
    <w:rsid w:val="002006CD"/>
    <w:rsid w:val="00202B36"/>
    <w:rsid w:val="00204B7A"/>
    <w:rsid w:val="0021101A"/>
    <w:rsid w:val="00220536"/>
    <w:rsid w:val="00235629"/>
    <w:rsid w:val="00235C5C"/>
    <w:rsid w:val="00260293"/>
    <w:rsid w:val="00260C38"/>
    <w:rsid w:val="002616C0"/>
    <w:rsid w:val="002662AA"/>
    <w:rsid w:val="00280496"/>
    <w:rsid w:val="002913F9"/>
    <w:rsid w:val="00295495"/>
    <w:rsid w:val="002B2613"/>
    <w:rsid w:val="002C279C"/>
    <w:rsid w:val="002F1818"/>
    <w:rsid w:val="002F567B"/>
    <w:rsid w:val="003127E5"/>
    <w:rsid w:val="003216A9"/>
    <w:rsid w:val="0037013F"/>
    <w:rsid w:val="00380C92"/>
    <w:rsid w:val="003A484F"/>
    <w:rsid w:val="003B0BE0"/>
    <w:rsid w:val="003B0C1B"/>
    <w:rsid w:val="003B688C"/>
    <w:rsid w:val="003C0291"/>
    <w:rsid w:val="003C39AE"/>
    <w:rsid w:val="003C5C08"/>
    <w:rsid w:val="003C7B60"/>
    <w:rsid w:val="003C7EA9"/>
    <w:rsid w:val="003D1FB2"/>
    <w:rsid w:val="003D26C4"/>
    <w:rsid w:val="003D66DA"/>
    <w:rsid w:val="003E1310"/>
    <w:rsid w:val="003E6F55"/>
    <w:rsid w:val="004025EB"/>
    <w:rsid w:val="00404478"/>
    <w:rsid w:val="00406254"/>
    <w:rsid w:val="00417EB2"/>
    <w:rsid w:val="004223DE"/>
    <w:rsid w:val="00434489"/>
    <w:rsid w:val="00436A68"/>
    <w:rsid w:val="00437085"/>
    <w:rsid w:val="00443880"/>
    <w:rsid w:val="004464F4"/>
    <w:rsid w:val="00471401"/>
    <w:rsid w:val="00473F31"/>
    <w:rsid w:val="0048263A"/>
    <w:rsid w:val="00487E5D"/>
    <w:rsid w:val="004A4947"/>
    <w:rsid w:val="004A711F"/>
    <w:rsid w:val="004B199D"/>
    <w:rsid w:val="004B4690"/>
    <w:rsid w:val="004E0A2D"/>
    <w:rsid w:val="004E206B"/>
    <w:rsid w:val="004E6DF7"/>
    <w:rsid w:val="004F0FBD"/>
    <w:rsid w:val="00505A47"/>
    <w:rsid w:val="00512FDA"/>
    <w:rsid w:val="005135DC"/>
    <w:rsid w:val="00520DA0"/>
    <w:rsid w:val="005664BB"/>
    <w:rsid w:val="0057481D"/>
    <w:rsid w:val="0058486E"/>
    <w:rsid w:val="005D1C8B"/>
    <w:rsid w:val="005D5CED"/>
    <w:rsid w:val="005F1A4C"/>
    <w:rsid w:val="005F42CC"/>
    <w:rsid w:val="00605688"/>
    <w:rsid w:val="006070AF"/>
    <w:rsid w:val="00607E6C"/>
    <w:rsid w:val="006101B1"/>
    <w:rsid w:val="0061312B"/>
    <w:rsid w:val="00614E44"/>
    <w:rsid w:val="00620C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D0CC7"/>
    <w:rsid w:val="006D788E"/>
    <w:rsid w:val="006F020C"/>
    <w:rsid w:val="007127B7"/>
    <w:rsid w:val="007317F0"/>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4697B"/>
    <w:rsid w:val="00850625"/>
    <w:rsid w:val="00853718"/>
    <w:rsid w:val="00855221"/>
    <w:rsid w:val="00860645"/>
    <w:rsid w:val="00871F71"/>
    <w:rsid w:val="00875525"/>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165A"/>
    <w:rsid w:val="00946945"/>
    <w:rsid w:val="00951248"/>
    <w:rsid w:val="009512B6"/>
    <w:rsid w:val="0095152F"/>
    <w:rsid w:val="00954C49"/>
    <w:rsid w:val="0097099F"/>
    <w:rsid w:val="00971997"/>
    <w:rsid w:val="00971FFC"/>
    <w:rsid w:val="0098660A"/>
    <w:rsid w:val="009931C3"/>
    <w:rsid w:val="00994F8D"/>
    <w:rsid w:val="009B2C43"/>
    <w:rsid w:val="009B4EAE"/>
    <w:rsid w:val="009B5924"/>
    <w:rsid w:val="009B7573"/>
    <w:rsid w:val="009C22F4"/>
    <w:rsid w:val="009C2E98"/>
    <w:rsid w:val="009D2DF0"/>
    <w:rsid w:val="009D3447"/>
    <w:rsid w:val="009D416D"/>
    <w:rsid w:val="009D4711"/>
    <w:rsid w:val="009F1185"/>
    <w:rsid w:val="009F18CD"/>
    <w:rsid w:val="009F2A13"/>
    <w:rsid w:val="009F3E84"/>
    <w:rsid w:val="00A04EB0"/>
    <w:rsid w:val="00A13CC1"/>
    <w:rsid w:val="00A16847"/>
    <w:rsid w:val="00A237D8"/>
    <w:rsid w:val="00A268C4"/>
    <w:rsid w:val="00A307CD"/>
    <w:rsid w:val="00A40A00"/>
    <w:rsid w:val="00A4142F"/>
    <w:rsid w:val="00A56DF2"/>
    <w:rsid w:val="00A67AB5"/>
    <w:rsid w:val="00A84CDF"/>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25551"/>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2B2"/>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04CF8"/>
    <w:rsid w:val="00D13C8A"/>
    <w:rsid w:val="00D20620"/>
    <w:rsid w:val="00D26091"/>
    <w:rsid w:val="00D34E7C"/>
    <w:rsid w:val="00D35489"/>
    <w:rsid w:val="00D51276"/>
    <w:rsid w:val="00D7035F"/>
    <w:rsid w:val="00DA65AC"/>
    <w:rsid w:val="00DB1913"/>
    <w:rsid w:val="00DB4C7C"/>
    <w:rsid w:val="00DC410D"/>
    <w:rsid w:val="00DC4BCB"/>
    <w:rsid w:val="00DC68CA"/>
    <w:rsid w:val="00DC7CBA"/>
    <w:rsid w:val="00DD73B7"/>
    <w:rsid w:val="00DE3790"/>
    <w:rsid w:val="00DF28BC"/>
    <w:rsid w:val="00DF34B9"/>
    <w:rsid w:val="00E0005E"/>
    <w:rsid w:val="00E01053"/>
    <w:rsid w:val="00E07ACF"/>
    <w:rsid w:val="00E331A1"/>
    <w:rsid w:val="00E33202"/>
    <w:rsid w:val="00E336A9"/>
    <w:rsid w:val="00E47155"/>
    <w:rsid w:val="00E50624"/>
    <w:rsid w:val="00E568DF"/>
    <w:rsid w:val="00E641D4"/>
    <w:rsid w:val="00E64269"/>
    <w:rsid w:val="00E82267"/>
    <w:rsid w:val="00EA010F"/>
    <w:rsid w:val="00EA692F"/>
    <w:rsid w:val="00ED1B63"/>
    <w:rsid w:val="00ED3C1F"/>
    <w:rsid w:val="00ED4085"/>
    <w:rsid w:val="00ED420E"/>
    <w:rsid w:val="00EE2F57"/>
    <w:rsid w:val="00EF4C34"/>
    <w:rsid w:val="00EF77C6"/>
    <w:rsid w:val="00F05438"/>
    <w:rsid w:val="00F1361C"/>
    <w:rsid w:val="00F160C7"/>
    <w:rsid w:val="00F36D8F"/>
    <w:rsid w:val="00F417B1"/>
    <w:rsid w:val="00F602DF"/>
    <w:rsid w:val="00F72DB4"/>
    <w:rsid w:val="00F81FD9"/>
    <w:rsid w:val="00F841AA"/>
    <w:rsid w:val="00FA23E8"/>
    <w:rsid w:val="00FD3CC1"/>
    <w:rsid w:val="00FF1E02"/>
    <w:rsid w:val="00FF30B4"/>
    <w:rsid w:val="00FF51C4"/>
    <w:rsid w:val="04CB2BAB"/>
    <w:rsid w:val="06245911"/>
    <w:rsid w:val="0914014D"/>
    <w:rsid w:val="0B3D6E35"/>
    <w:rsid w:val="0B8E42E0"/>
    <w:rsid w:val="0F203250"/>
    <w:rsid w:val="10C055FF"/>
    <w:rsid w:val="129475B5"/>
    <w:rsid w:val="12A56F1F"/>
    <w:rsid w:val="1479187F"/>
    <w:rsid w:val="15B57A25"/>
    <w:rsid w:val="161E1756"/>
    <w:rsid w:val="16BB723D"/>
    <w:rsid w:val="18C87E33"/>
    <w:rsid w:val="18CD62CB"/>
    <w:rsid w:val="193767E0"/>
    <w:rsid w:val="1A0C166F"/>
    <w:rsid w:val="1B152EBF"/>
    <w:rsid w:val="1B347271"/>
    <w:rsid w:val="1F674249"/>
    <w:rsid w:val="2001501C"/>
    <w:rsid w:val="240371BF"/>
    <w:rsid w:val="2498531D"/>
    <w:rsid w:val="27652490"/>
    <w:rsid w:val="28497FE7"/>
    <w:rsid w:val="28BE32A8"/>
    <w:rsid w:val="29FD04D3"/>
    <w:rsid w:val="2B2202D7"/>
    <w:rsid w:val="301A00AB"/>
    <w:rsid w:val="319F7F4E"/>
    <w:rsid w:val="33DF1A10"/>
    <w:rsid w:val="348A17C2"/>
    <w:rsid w:val="355D4258"/>
    <w:rsid w:val="35E449D0"/>
    <w:rsid w:val="368B3701"/>
    <w:rsid w:val="3DA239B2"/>
    <w:rsid w:val="3F7C2752"/>
    <w:rsid w:val="40AF62EF"/>
    <w:rsid w:val="442A5266"/>
    <w:rsid w:val="4501089F"/>
    <w:rsid w:val="46665BB7"/>
    <w:rsid w:val="47392CF0"/>
    <w:rsid w:val="51EE7E1D"/>
    <w:rsid w:val="52A43312"/>
    <w:rsid w:val="541911E3"/>
    <w:rsid w:val="54886475"/>
    <w:rsid w:val="560C09F8"/>
    <w:rsid w:val="58322352"/>
    <w:rsid w:val="59965262"/>
    <w:rsid w:val="59F862DC"/>
    <w:rsid w:val="5AB256F4"/>
    <w:rsid w:val="5B057A6F"/>
    <w:rsid w:val="5E07021D"/>
    <w:rsid w:val="60BA01F4"/>
    <w:rsid w:val="630764DC"/>
    <w:rsid w:val="63C0418D"/>
    <w:rsid w:val="65D90754"/>
    <w:rsid w:val="67F6275F"/>
    <w:rsid w:val="68050993"/>
    <w:rsid w:val="68F610D9"/>
    <w:rsid w:val="696E3F81"/>
    <w:rsid w:val="6CD977E3"/>
    <w:rsid w:val="6E584175"/>
    <w:rsid w:val="71F22977"/>
    <w:rsid w:val="776968E5"/>
    <w:rsid w:val="797B21F1"/>
    <w:rsid w:val="7E9E42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autoRedefine/>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5"/>
          <c:y val="0.122"/>
          <c:w val="0.905175000000001"/>
          <c:h val="0.716566666666667"/>
        </c:manualLayout>
      </c:layout>
      <c:barChart>
        <c:barDir val="col"/>
        <c:grouping val="clustered"/>
        <c:varyColors val="0"/>
        <c:ser>
          <c:idx val="0"/>
          <c:order val="0"/>
          <c:tx>
            <c:strRef>
              <c:f>Sheet1!$B$1</c:f>
              <c:strCache>
                <c:ptCount val="1"/>
                <c:pt idx="0">
                  <c:v>年度收、支总计（单位：万元）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394.04</c:v>
                </c:pt>
              </c:numCache>
            </c:numRef>
          </c:val>
        </c:ser>
        <c:ser>
          <c:idx val="1"/>
          <c:order val="1"/>
          <c:tx>
            <c:strRef>
              <c:f>Sheet1!$C$1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Sheet1!$C$2:$C$5</c15:sqref>
                  </c15:fullRef>
                </c:ext>
              </c:extLst>
              <c:f>Sheet1!$C$2:$C$3</c:f>
              <c:numCache>
                <c:formatCode>General</c:formatCode>
                <c:ptCount val="2"/>
                <c:pt idx="1">
                  <c:v>497.86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Sheet1!$D$2:$D$5</c15:sqref>
                  </c15:fullRef>
                </c:ext>
              </c:extLst>
              <c:f>Sheet1!$D$2:$D$3</c:f>
              <c:numCache>
                <c:formatCode>General</c:formatCode>
                <c:ptCount val="2"/>
              </c:numCache>
            </c:numRef>
          </c:val>
        </c:ser>
        <c:dLbls>
          <c:showLegendKey val="0"/>
          <c:showVal val="0"/>
          <c:showCatName val="0"/>
          <c:showSerName val="0"/>
          <c:showPercent val="0"/>
          <c:showBubbleSize val="0"/>
        </c:dLbls>
        <c:gapWidth val="500"/>
        <c:overlap val="100"/>
        <c:axId val="88695552"/>
        <c:axId val="88697088"/>
      </c:barChart>
      <c:catAx>
        <c:axId val="8869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97088"/>
        <c:crosses val="autoZero"/>
        <c:auto val="1"/>
        <c:lblAlgn val="ctr"/>
        <c:lblOffset val="100"/>
        <c:noMultiLvlLbl val="0"/>
      </c:catAx>
      <c:valAx>
        <c:axId val="88697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95552"/>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2"/>
                <c:pt idx="0">
                  <c:v>事业收入</c:v>
                </c:pt>
                <c:pt idx="1">
                  <c:v>一般公共预算财政拨款收入</c:v>
                </c:pt>
              </c:strCache>
            </c:strRef>
          </c:cat>
          <c:val>
            <c:numRef>
              <c:f>Sheet1!$B$2:$B$5</c:f>
              <c:numCache>
                <c:formatCode>General</c:formatCode>
                <c:ptCount val="4"/>
                <c:pt idx="0">
                  <c:v>53.76</c:v>
                </c:pt>
                <c:pt idx="1">
                  <c:v>46.24</c:v>
                </c:pt>
              </c:numCache>
            </c:numRef>
          </c:val>
        </c:ser>
        <c:dLbls>
          <c:showLegendKey val="0"/>
          <c:showVal val="1"/>
          <c:showCatName val="0"/>
          <c:showSerName val="0"/>
          <c:showPercent val="0"/>
          <c:showBubbleSize val="0"/>
          <c:showLeaderLines val="1"/>
        </c:dLbls>
        <c:firstSliceAng val="0"/>
      </c:pieChart>
    </c:plotArea>
    <c:legend>
      <c:legendPos val="r"/>
      <c:legendEntry>
        <c:idx val="2"/>
        <c:delete val="1"/>
      </c:legendEntry>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2"/>
                <c:pt idx="0">
                  <c:v>基本支出</c:v>
                </c:pt>
                <c:pt idx="1">
                  <c:v>项目支出</c:v>
                </c:pt>
              </c:strCache>
            </c:strRef>
          </c:cat>
          <c:val>
            <c:numRef>
              <c:f>Sheet1!$B$2:$B$5</c:f>
              <c:numCache>
                <c:formatCode>0.00%</c:formatCode>
                <c:ptCount val="4"/>
                <c:pt idx="0">
                  <c:v>0.7443</c:v>
                </c:pt>
                <c:pt idx="1">
                  <c:v>0.2557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0854462479452288"/>
          <c:y val="0.0458308346131656"/>
          <c:w val="0.87606473642998"/>
          <c:h val="0.815961255617042"/>
        </c:manualLayout>
      </c:layout>
      <c:barChart>
        <c:barDir val="col"/>
        <c:grouping val="clustered"/>
        <c:varyColors val="0"/>
        <c:ser>
          <c:idx val="0"/>
          <c:order val="0"/>
          <c:tx>
            <c:strRef>
              <c:f>Sheet1!$B$1</c:f>
              <c:strCache>
                <c:ptCount val="1"/>
                <c:pt idx="0">
                  <c:v>财政拨款收、支总计（单位：万元）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pt idx="0">
                  <c:v>2018</c:v>
                </c:pt>
                <c:pt idx="1">
                  <c:v>2019</c:v>
                </c:pt>
              </c:numCache>
            </c:numRef>
          </c:cat>
          <c:val>
            <c:numRef>
              <c:f>Sheet1!$B$2:$B$5</c:f>
              <c:numCache>
                <c:formatCode>General</c:formatCode>
                <c:ptCount val="4"/>
                <c:pt idx="0">
                  <c:v>229.27</c:v>
                </c:pt>
              </c:numCache>
            </c:numRef>
          </c:val>
        </c:ser>
        <c:ser>
          <c:idx val="1"/>
          <c:order val="1"/>
          <c:tx>
            <c:strRef>
              <c:f>Sheet1!$C$1</c:f>
              <c:strCache>
                <c:ptCount val="1"/>
                <c:pt idx="0">
                  <c:v>列1</c:v>
                </c:pt>
              </c:strCache>
            </c:strRef>
          </c:tx>
          <c:invertIfNegative val="0"/>
          <c:dPt>
            <c:idx val="1"/>
            <c:invertIfNegative val="0"/>
            <c:bubble3D val="0"/>
            <c:spPr>
              <a:solidFill>
                <a:schemeClr val="accent1">
                  <a:lumMod val="75000"/>
                </a:schemeClr>
              </a:solidFill>
            </c:spPr>
          </c:dPt>
          <c:dLbls>
            <c:dLbl>
              <c:idx val="0"/>
              <c:delete val="1"/>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pt idx="0">
                  <c:v>2018</c:v>
                </c:pt>
                <c:pt idx="1">
                  <c:v>2019</c:v>
                </c:pt>
              </c:numCache>
            </c:numRef>
          </c:cat>
          <c:val>
            <c:numRef>
              <c:f>Sheet1!$C$2:$C$5</c:f>
              <c:numCache>
                <c:formatCode>General</c:formatCode>
                <c:ptCount val="4"/>
                <c:pt idx="1">
                  <c:v>266.86</c:v>
                </c:pt>
              </c:numCache>
            </c:numRef>
          </c:val>
        </c:ser>
        <c:ser>
          <c:idx val="2"/>
          <c:order val="2"/>
          <c:tx>
            <c:strRef>
              <c:f>Sheet1!$D$1</c:f>
              <c:strCache>
                <c:ptCount val="1"/>
                <c:pt idx="0">
                  <c:v>列2</c:v>
                </c:pt>
              </c:strCache>
            </c:strRef>
          </c:tx>
          <c:invertIfNegative val="0"/>
          <c:dLbls>
            <c:delete val="1"/>
          </c:dLbls>
          <c:cat>
            <c:numRef>
              <c:f>Sheet1!$A$2:$A$5</c:f>
              <c:numCache>
                <c:formatCode>General</c:formatCode>
                <c:ptCount val="4"/>
                <c:pt idx="0">
                  <c:v>2018</c:v>
                </c:pt>
                <c:pt idx="1">
                  <c:v>2019</c:v>
                </c:pt>
              </c:numCache>
            </c:numRef>
          </c:cat>
          <c:val>
            <c:numRef>
              <c:f>Sheet1!$D$2:$D$5</c:f>
              <c:numCache>
                <c:formatCode>General</c:formatCode>
                <c:ptCount val="4"/>
              </c:numCache>
            </c:numRef>
          </c:val>
        </c:ser>
        <c:dLbls>
          <c:showLegendKey val="0"/>
          <c:showVal val="0"/>
          <c:showCatName val="0"/>
          <c:showSerName val="0"/>
          <c:showPercent val="0"/>
          <c:showBubbleSize val="0"/>
        </c:dLbls>
        <c:gapWidth val="280"/>
        <c:overlap val="100"/>
        <c:axId val="100025088"/>
        <c:axId val="100026624"/>
      </c:barChart>
      <c:catAx>
        <c:axId val="10002508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026624"/>
        <c:crosses val="autoZero"/>
        <c:auto val="1"/>
        <c:lblAlgn val="ctr"/>
        <c:lblOffset val="100"/>
        <c:noMultiLvlLbl val="0"/>
      </c:catAx>
      <c:valAx>
        <c:axId val="1000266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025088"/>
        <c:crosses val="autoZero"/>
        <c:crossBetween val="between"/>
      </c:valAx>
    </c:plotArea>
    <c:legend>
      <c:legendPos val="r"/>
      <c:legendEntry>
        <c:idx val="1"/>
        <c:delete val="1"/>
      </c:legendEntry>
      <c:legendEntry>
        <c:idx val="2"/>
        <c:delete val="1"/>
      </c:legendEntry>
      <c:layout>
        <c:manualLayout>
          <c:xMode val="edge"/>
          <c:yMode val="edge"/>
          <c:x val="0.684602725285393"/>
          <c:y val="0.43773806911907"/>
          <c:w val="0.305765683094093"/>
          <c:h val="0.1245235367250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c:spPr>
  <c:txPr>
    <a:bodyPr/>
    <a:lstStyle/>
    <a:p>
      <a:pPr>
        <a:defRPr lang="zh-CN" i="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Sheet1!$B$2:$B$5</c15:sqref>
                  </c15:fullRef>
                </c:ext>
              </c:extLst>
              <c:f>Sheet1!$B$2:$B$3</c:f>
              <c:numCache>
                <c:formatCode>General</c:formatCode>
                <c:ptCount val="2"/>
                <c:pt idx="0">
                  <c:v>161.12</c:v>
                </c:pt>
              </c:numCache>
            </c:numRef>
          </c:val>
        </c:ser>
        <c:ser>
          <c:idx val="1"/>
          <c:order val="1"/>
          <c:tx>
            <c:strRef>
              <c:f>Sheet1!$C$1</c:f>
              <c:strCache>
                <c:ptCount val="1"/>
                <c:pt idx="0">
                  <c:v>系列 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Sheet1!$C$2:$C$5</c15:sqref>
                  </c15:fullRef>
                </c:ext>
              </c:extLst>
              <c:f>Sheet1!$C$2:$C$3</c:f>
              <c:numCache>
                <c:formatCode>General</c:formatCode>
                <c:ptCount val="2"/>
                <c:pt idx="1">
                  <c:v>182.07</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extLst>
                <c:ext xmlns:c15="http://schemas.microsoft.com/office/drawing/2012/chart" uri="{02D57815-91ED-43cb-92C2-25804820EDAC}">
                  <c15:fullRef>
                    <c15:sqref>Sheet1!$A$2:$A$5</c15:sqref>
                  </c15:fullRef>
                </c:ext>
              </c:extLst>
              <c:f>Sheet1!$A$2:$A$3</c:f>
              <c:numCache>
                <c:formatCode>General</c:formatCode>
                <c:ptCount val="2"/>
                <c:pt idx="0">
                  <c:v>2018</c:v>
                </c:pt>
                <c:pt idx="1">
                  <c:v>2019</c:v>
                </c:pt>
              </c:numCache>
            </c:numRef>
          </c:cat>
          <c:val>
            <c:numRef>
              <c:extLst>
                <c:ext xmlns:c15="http://schemas.microsoft.com/office/drawing/2012/chart" uri="{02D57815-91ED-43cb-92C2-25804820EDAC}">
                  <c15:fullRef>
                    <c15:sqref>Sheet1!$D$2:$D$5</c15:sqref>
                  </c15:fullRef>
                </c:ext>
              </c:extLst>
              <c:f>Sheet1!$D$2:$D$3</c:f>
              <c:numCache>
                <c:formatCode>General</c:formatCode>
                <c:ptCount val="2"/>
              </c:numCache>
            </c:numRef>
          </c:val>
        </c:ser>
        <c:dLbls>
          <c:showLegendKey val="0"/>
          <c:showVal val="0"/>
          <c:showCatName val="0"/>
          <c:showSerName val="0"/>
          <c:showPercent val="0"/>
          <c:showBubbleSize val="0"/>
        </c:dLbls>
        <c:gapWidth val="500"/>
        <c:overlap val="100"/>
        <c:axId val="100177024"/>
        <c:axId val="100178560"/>
      </c:barChart>
      <c:catAx>
        <c:axId val="10017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78560"/>
        <c:crosses val="autoZero"/>
        <c:auto val="1"/>
        <c:lblAlgn val="ctr"/>
        <c:lblOffset val="100"/>
        <c:noMultiLvlLbl val="0"/>
      </c:catAx>
      <c:valAx>
        <c:axId val="10017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77024"/>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卫生健康支出</c:v>
                </c:pt>
                <c:pt idx="1">
                  <c:v>社会保障和就业</c:v>
                </c:pt>
                <c:pt idx="2">
                  <c:v>住房保障支出</c:v>
                </c:pt>
                <c:pt idx="3">
                  <c:v>第四季度</c:v>
                </c:pt>
              </c:strCache>
            </c:strRef>
          </c:cat>
          <c:val>
            <c:numRef>
              <c:f>Sheet1!$B$2:$B$5</c:f>
              <c:numCache>
                <c:formatCode>General</c:formatCode>
                <c:ptCount val="4"/>
                <c:pt idx="0">
                  <c:v>80.5</c:v>
                </c:pt>
                <c:pt idx="1">
                  <c:v>14.52</c:v>
                </c:pt>
                <c:pt idx="2">
                  <c:v>4.98</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FAF0-CBEA-4EB5-A6A2-5DEBC3C5961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8249</Words>
  <Characters>3040</Characters>
  <Lines>25</Lines>
  <Paragraphs>22</Paragraphs>
  <TotalTime>10</TotalTime>
  <ScaleCrop>false</ScaleCrop>
  <LinksUpToDate>false</LinksUpToDate>
  <CharactersWithSpaces>11267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2019-09-15T12:53:00Z</dcterms:created>
  <dc:creator>张彬茜</dc:creator>
  <cp:lastModifiedBy>匿名</cp:lastModifiedBy>
  <cp:lastPrinted>2020-09-16T04:06:00Z</cp:lastPrinted>
  <dcterms:modified xsi:type="dcterms:W3CDTF">2024-01-17T08:11:34Z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5A0A75004A304E11979DF3530488CCBA</vt:lpwstr>
  </property>
</Properties>
</file>