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contextualSpacing/>
        <w:rPr>
          <w:rFonts w:ascii="黑体" w:hAnsi="黑体" w:eastAsia="黑体" w:cs="黑体"/>
          <w:color w:val="000000" w:themeColor="text1"/>
          <w:szCs w:val="32"/>
          <w14:textFill>
            <w14:solidFill>
              <w14:schemeClr w14:val="tx1"/>
            </w14:solidFill>
          </w14:textFill>
        </w:rPr>
      </w:pPr>
    </w:p>
    <w:p>
      <w:pPr>
        <w:widowControl/>
        <w:spacing w:line="640" w:lineRule="exact"/>
        <w:contextualSpacing/>
        <w:jc w:val="center"/>
        <w:rPr>
          <w:rFonts w:ascii="方正小标宋_GBK" w:hAnsi="方正小标宋_GBK" w:eastAsia="方正小标宋_GBK" w:cs="方正小标宋_GBK"/>
          <w:bCs/>
          <w:color w:val="000000" w:themeColor="text1"/>
          <w:sz w:val="44"/>
          <w:szCs w:val="44"/>
          <w:shd w:val="clear" w:color="auto" w:fill="FFFFFF"/>
          <w14:textFill>
            <w14:solidFill>
              <w14:schemeClr w14:val="tx1"/>
            </w14:solidFill>
          </w14:textFill>
        </w:rPr>
      </w:pPr>
      <w:r>
        <w:rPr>
          <w:rFonts w:hint="eastAsia" w:ascii="方正小标宋_GBK" w:hAnsi="方正小标宋_GBK" w:eastAsia="方正小标宋_GBK" w:cs="方正小标宋_GBK"/>
          <w:bCs/>
          <w:color w:val="000000" w:themeColor="text1"/>
          <w:sz w:val="44"/>
          <w:szCs w:val="44"/>
          <w:shd w:val="clear" w:color="auto" w:fill="FFFFFF"/>
          <w14:textFill>
            <w14:solidFill>
              <w14:schemeClr w14:val="tx1"/>
            </w14:solidFill>
          </w14:textFill>
        </w:rPr>
        <w:t>达川区石梯镇中心小学</w:t>
      </w:r>
    </w:p>
    <w:p>
      <w:pPr>
        <w:widowControl/>
        <w:spacing w:line="640" w:lineRule="exact"/>
        <w:contextualSpacing/>
        <w:jc w:val="center"/>
        <w:rPr>
          <w:rFonts w:ascii="方正小标宋_GBK" w:hAnsi="方正小标宋_GBK" w:eastAsia="方正小标宋_GBK" w:cs="方正小标宋_GBK"/>
          <w:bCs/>
          <w:color w:val="000000" w:themeColor="text1"/>
          <w:sz w:val="44"/>
          <w:szCs w:val="44"/>
          <w:shd w:val="clear" w:color="auto" w:fill="FFFFFF"/>
          <w14:textFill>
            <w14:solidFill>
              <w14:schemeClr w14:val="tx1"/>
            </w14:solidFill>
          </w14:textFill>
        </w:rPr>
      </w:pPr>
      <w:r>
        <w:rPr>
          <w:rFonts w:hint="eastAsia" w:ascii="方正小标宋_GBK" w:hAnsi="方正小标宋_GBK" w:eastAsia="方正小标宋_GBK" w:cs="方正小标宋_GBK"/>
          <w:bCs/>
          <w:color w:val="000000" w:themeColor="text1"/>
          <w:sz w:val="44"/>
          <w:szCs w:val="44"/>
          <w:shd w:val="clear" w:color="auto" w:fill="FFFFFF"/>
          <w14:textFill>
            <w14:solidFill>
              <w14:schemeClr w14:val="tx1"/>
            </w14:solidFill>
          </w14:textFill>
        </w:rPr>
        <w:t>2023年单位整体支出绩效评价报告</w:t>
      </w:r>
    </w:p>
    <w:p>
      <w:pPr>
        <w:tabs>
          <w:tab w:val="left" w:pos="3885"/>
        </w:tabs>
        <w:snapToGrid w:val="0"/>
        <w:spacing w:line="600" w:lineRule="exact"/>
        <w:rPr>
          <w:rFonts w:eastAsia="仿宋"/>
          <w:color w:val="000000" w:themeColor="text1"/>
          <w:kern w:val="0"/>
          <w:szCs w:val="32"/>
          <w14:textFill>
            <w14:solidFill>
              <w14:schemeClr w14:val="tx1"/>
            </w14:solidFill>
          </w14:textFill>
        </w:rPr>
      </w:pPr>
    </w:p>
    <w:p>
      <w:pPr>
        <w:tabs>
          <w:tab w:val="left" w:pos="3885"/>
        </w:tabs>
        <w:snapToGrid w:val="0"/>
        <w:spacing w:line="578" w:lineRule="exact"/>
        <w:rPr>
          <w:rFonts w:ascii="方正仿宋_GBK" w:hAnsi="方正仿宋_GBK" w:eastAsia="方正仿宋_GBK" w:cs="方正仿宋_GBK"/>
          <w:color w:val="000000" w:themeColor="text1"/>
          <w:kern w:val="0"/>
          <w:szCs w:val="32"/>
          <w14:textFill>
            <w14:solidFill>
              <w14:schemeClr w14:val="tx1"/>
            </w14:solidFill>
          </w14:textFill>
        </w:rPr>
      </w:pPr>
      <w:r>
        <w:rPr>
          <w:rFonts w:hint="eastAsia" w:ascii="方正仿宋_GBK" w:hAnsi="方正仿宋_GBK" w:eastAsia="方正仿宋_GBK" w:cs="方正仿宋_GBK"/>
          <w:color w:val="000000" w:themeColor="text1"/>
          <w:kern w:val="0"/>
          <w:szCs w:val="32"/>
          <w14:textFill>
            <w14:solidFill>
              <w14:schemeClr w14:val="tx1"/>
            </w14:solidFill>
          </w14:textFill>
        </w:rPr>
        <w:t>达州市达川区财政局：</w:t>
      </w:r>
    </w:p>
    <w:p>
      <w:pPr>
        <w:tabs>
          <w:tab w:val="left" w:pos="3885"/>
        </w:tabs>
        <w:snapToGrid w:val="0"/>
        <w:spacing w:line="578" w:lineRule="exact"/>
        <w:ind w:firstLine="640" w:firstLineChars="200"/>
        <w:rPr>
          <w:rFonts w:ascii="方正仿宋_GBK" w:hAnsi="方正仿宋_GBK" w:eastAsia="方正仿宋_GBK" w:cs="方正仿宋_GBK"/>
          <w:color w:val="000000" w:themeColor="text1"/>
          <w:kern w:val="0"/>
          <w:szCs w:val="32"/>
          <w14:textFill>
            <w14:solidFill>
              <w14:schemeClr w14:val="tx1"/>
            </w14:solidFill>
          </w14:textFill>
        </w:rPr>
      </w:pPr>
      <w:r>
        <w:rPr>
          <w:rFonts w:hint="eastAsia" w:ascii="方正仿宋_GBK" w:hAnsi="方正仿宋_GBK" w:eastAsia="方正仿宋_GBK" w:cs="方正仿宋_GBK"/>
          <w:color w:val="000000" w:themeColor="text1"/>
          <w:kern w:val="0"/>
          <w:szCs w:val="32"/>
          <w14:textFill>
            <w14:solidFill>
              <w14:schemeClr w14:val="tx1"/>
            </w14:solidFill>
          </w14:textFill>
        </w:rPr>
        <w:t xml:space="preserve"> 按照达州市达川区财政局《关于开展2023年单位、政策和项目支出绩效评价工作的通知》（达川财绩效〔2023〕9号）文件要求，现将本单位2023年开展单位整体支出绩效评价情况报告如下：</w:t>
      </w:r>
    </w:p>
    <w:p>
      <w:pPr>
        <w:widowControl/>
        <w:adjustRightInd w:val="0"/>
        <w:snapToGrid w:val="0"/>
        <w:spacing w:line="578" w:lineRule="exact"/>
        <w:ind w:firstLine="640" w:firstLineChars="200"/>
        <w:contextualSpacing/>
        <w:jc w:val="left"/>
        <w:rPr>
          <w:rFonts w:ascii="方正黑体_GBK" w:hAnsi="方正黑体_GBK" w:eastAsia="方正黑体_GBK" w:cs="方正黑体_GBK"/>
          <w:color w:val="000000" w:themeColor="text1"/>
          <w:kern w:val="0"/>
          <w:szCs w:val="32"/>
          <w:shd w:val="clear" w:color="auto" w:fill="FFFFFF"/>
          <w:lang w:val="zh-CN"/>
          <w14:textFill>
            <w14:solidFill>
              <w14:schemeClr w14:val="tx1"/>
            </w14:solidFill>
          </w14:textFill>
        </w:rPr>
      </w:pPr>
      <w:r>
        <w:rPr>
          <w:rFonts w:hint="eastAsia" w:ascii="方正黑体_GBK" w:hAnsi="方正黑体_GBK" w:eastAsia="方正黑体_GBK" w:cs="方正黑体_GBK"/>
          <w:color w:val="000000" w:themeColor="text1"/>
          <w:kern w:val="0"/>
          <w:szCs w:val="32"/>
          <w:shd w:val="clear" w:color="auto" w:fill="FFFFFF"/>
          <w14:textFill>
            <w14:solidFill>
              <w14:schemeClr w14:val="tx1"/>
            </w14:solidFill>
          </w14:textFill>
        </w:rPr>
        <w:t>一、</w:t>
      </w:r>
      <w:r>
        <w:rPr>
          <w:rFonts w:hint="eastAsia" w:ascii="方正黑体_GBK" w:hAnsi="方正黑体_GBK" w:eastAsia="方正黑体_GBK" w:cs="方正黑体_GBK"/>
          <w:color w:val="000000" w:themeColor="text1"/>
          <w:kern w:val="0"/>
          <w:szCs w:val="32"/>
          <w:shd w:val="clear" w:color="auto" w:fill="FFFFFF"/>
          <w:lang w:val="zh-CN"/>
          <w14:textFill>
            <w14:solidFill>
              <w14:schemeClr w14:val="tx1"/>
            </w14:solidFill>
          </w14:textFill>
        </w:rPr>
        <w:t>单位概况</w:t>
      </w:r>
    </w:p>
    <w:p>
      <w:pPr>
        <w:widowControl/>
        <w:adjustRightInd w:val="0"/>
        <w:snapToGrid w:val="0"/>
        <w:spacing w:line="578" w:lineRule="exact"/>
        <w:ind w:firstLine="640" w:firstLineChars="200"/>
        <w:contextualSpacing/>
        <w:jc w:val="left"/>
        <w:rPr>
          <w:rFonts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（一）机构组成。</w:t>
      </w:r>
    </w:p>
    <w:p>
      <w:pPr>
        <w:tabs>
          <w:tab w:val="left" w:pos="3885"/>
        </w:tabs>
        <w:snapToGrid w:val="0"/>
        <w:spacing w:line="578" w:lineRule="exact"/>
        <w:ind w:firstLine="640" w:firstLineChars="200"/>
        <w:rPr>
          <w:rFonts w:ascii="方正仿宋_GBK" w:hAnsi="方正仿宋_GBK" w:eastAsia="方正仿宋_GBK" w:cs="方正仿宋_GBK"/>
          <w:color w:val="000000" w:themeColor="text1"/>
          <w:szCs w:val="32"/>
          <w14:textFill>
            <w14:solidFill>
              <w14:schemeClr w14:val="tx1"/>
            </w14:solidFill>
          </w14:textFill>
        </w:rPr>
      </w:pPr>
      <w:bookmarkStart w:id="0" w:name="_Hlk109805614"/>
      <w:r>
        <w:rPr>
          <w:rFonts w:hint="eastAsia" w:ascii="方正仿宋_GBK" w:hAnsi="方正仿宋_GBK" w:eastAsia="方正仿宋_GBK" w:cs="方正仿宋_GBK"/>
          <w:color w:val="000000" w:themeColor="text1"/>
          <w:kern w:val="0"/>
          <w:szCs w:val="32"/>
          <w14:textFill>
            <w14:solidFill>
              <w14:schemeClr w14:val="tx1"/>
            </w14:solidFill>
          </w14:textFill>
        </w:rPr>
        <w:t>达州市达川区</w:t>
      </w:r>
      <w:bookmarkEnd w:id="0"/>
      <w:r>
        <w:rPr>
          <w:rFonts w:hint="eastAsia" w:ascii="方正仿宋_GBK" w:hAnsi="方正仿宋_GBK" w:eastAsia="方正仿宋_GBK" w:cs="方正仿宋_GBK"/>
          <w:color w:val="000000" w:themeColor="text1"/>
          <w:kern w:val="0"/>
          <w:szCs w:val="32"/>
          <w14:textFill>
            <w14:solidFill>
              <w14:schemeClr w14:val="tx1"/>
            </w14:solidFill>
          </w14:textFill>
        </w:rPr>
        <w:t>石梯镇中心小学是达川区二级预算单位。</w:t>
      </w:r>
      <w:bookmarkStart w:id="1" w:name="_Hlk109805662"/>
      <w:r>
        <w:rPr>
          <w:rFonts w:hint="eastAsia" w:ascii="方正仿宋_GBK" w:hAnsi="方正仿宋_GBK" w:eastAsia="方正仿宋_GBK" w:cs="方正仿宋_GBK"/>
          <w:color w:val="000000" w:themeColor="text1"/>
          <w:kern w:val="0"/>
          <w:szCs w:val="32"/>
          <w14:textFill>
            <w14:solidFill>
              <w14:schemeClr w14:val="tx1"/>
            </w14:solidFill>
          </w14:textFill>
        </w:rPr>
        <w:t>隶属于达州市达川区教育局主管，属公益一类事业单位，内设机构9个，分别是校务办、党建办、教务处、安全办、后勤处、体卫艺、政教处、女工委、少先队。</w:t>
      </w:r>
    </w:p>
    <w:bookmarkEnd w:id="1"/>
    <w:p>
      <w:pPr>
        <w:widowControl/>
        <w:numPr>
          <w:ilvl w:val="0"/>
          <w:numId w:val="1"/>
        </w:numPr>
        <w:adjustRightInd w:val="0"/>
        <w:snapToGrid w:val="0"/>
        <w:spacing w:line="578" w:lineRule="exact"/>
        <w:ind w:firstLine="640" w:firstLineChars="200"/>
        <w:contextualSpacing/>
        <w:jc w:val="left"/>
        <w:rPr>
          <w:rFonts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机构职能。</w:t>
      </w:r>
    </w:p>
    <w:p>
      <w:pPr>
        <w:spacing w:line="578" w:lineRule="exact"/>
        <w:ind w:firstLine="627" w:firstLineChars="196"/>
        <w:rPr>
          <w:rFonts w:ascii="方正仿宋_GBK" w:hAnsi="方正仿宋_GBK" w:eastAsia="方正仿宋_GBK" w:cs="方正仿宋_GBK"/>
          <w:color w:val="000000" w:themeColor="text1"/>
          <w:kern w:val="0"/>
          <w:szCs w:val="32"/>
          <w:highlight w:val="yellow"/>
          <w14:textFill>
            <w14:solidFill>
              <w14:schemeClr w14:val="tx1"/>
            </w14:solidFill>
          </w14:textFill>
        </w:rPr>
      </w:pPr>
      <w:r>
        <w:rPr>
          <w:rFonts w:hint="eastAsia" w:ascii="方正仿宋_GBK" w:hAnsi="方正仿宋_GBK" w:eastAsia="方正仿宋_GBK" w:cs="方正仿宋_GBK"/>
          <w:color w:val="000000" w:themeColor="text1"/>
          <w:kern w:val="0"/>
          <w:szCs w:val="32"/>
          <w14:textFill>
            <w14:solidFill>
              <w14:schemeClr w14:val="tx1"/>
            </w14:solidFill>
          </w14:textFill>
        </w:rPr>
        <w:t>根据达州市达川区石梯镇中心小学三定方案，我</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单位</w:t>
      </w:r>
      <w:r>
        <w:rPr>
          <w:rFonts w:hint="eastAsia" w:ascii="方正仿宋_GBK" w:hAnsi="方正仿宋_GBK" w:eastAsia="方正仿宋_GBK" w:cs="方正仿宋_GBK"/>
          <w:color w:val="000000" w:themeColor="text1"/>
          <w:kern w:val="0"/>
          <w:szCs w:val="32"/>
          <w14:textFill>
            <w14:solidFill>
              <w14:schemeClr w14:val="tx1"/>
            </w14:solidFill>
          </w14:textFill>
        </w:rPr>
        <w:t>的主要职能职责为：对适龄儿童实施小学教育，提升他们的综合素质。</w:t>
      </w:r>
    </w:p>
    <w:p>
      <w:pPr>
        <w:widowControl/>
        <w:numPr>
          <w:ilvl w:val="0"/>
          <w:numId w:val="1"/>
        </w:numPr>
        <w:adjustRightInd w:val="0"/>
        <w:snapToGrid w:val="0"/>
        <w:spacing w:line="578" w:lineRule="exact"/>
        <w:ind w:firstLine="640" w:firstLineChars="200"/>
        <w:contextualSpacing/>
        <w:jc w:val="left"/>
        <w:rPr>
          <w:rFonts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人员概况。</w:t>
      </w:r>
    </w:p>
    <w:p>
      <w:pPr>
        <w:spacing w:line="578" w:lineRule="exact"/>
        <w:ind w:firstLine="640" w:firstLineChars="200"/>
        <w:rPr>
          <w:rFonts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szCs w:val="32"/>
          <w14:textFill>
            <w14:solidFill>
              <w14:schemeClr w14:val="tx1"/>
            </w14:solidFill>
          </w14:textFill>
        </w:rPr>
        <w:t>根据人社局等相关编制批复文件，核定我</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单位</w:t>
      </w:r>
      <w:r>
        <w:rPr>
          <w:rFonts w:hint="eastAsia" w:ascii="方正仿宋_GBK" w:hAnsi="方正仿宋_GBK" w:eastAsia="方正仿宋_GBK" w:cs="方正仿宋_GBK"/>
          <w:color w:val="000000" w:themeColor="text1"/>
          <w:szCs w:val="32"/>
          <w14:textFill>
            <w14:solidFill>
              <w14:schemeClr w14:val="tx1"/>
            </w14:solidFill>
          </w14:textFill>
        </w:rPr>
        <w:t>参照公务员法管理的事业编制</w:t>
      </w:r>
      <w:r>
        <w:rPr>
          <w:rFonts w:ascii="方正仿宋_GBK" w:hAnsi="方正仿宋_GBK" w:eastAsia="方正仿宋_GBK" w:cs="方正仿宋_GBK"/>
          <w:color w:val="000000" w:themeColor="text1"/>
          <w:szCs w:val="32"/>
          <w14:textFill>
            <w14:solidFill>
              <w14:schemeClr w14:val="tx1"/>
            </w14:solidFill>
          </w14:textFill>
        </w:rPr>
        <w:t>62</w:t>
      </w:r>
      <w:r>
        <w:rPr>
          <w:rFonts w:hint="eastAsia" w:ascii="方正仿宋_GBK" w:hAnsi="方正仿宋_GBK" w:eastAsia="方正仿宋_GBK" w:cs="方正仿宋_GBK"/>
          <w:color w:val="000000" w:themeColor="text1"/>
          <w:szCs w:val="32"/>
          <w14:textFill>
            <w14:solidFill>
              <w14:schemeClr w14:val="tx1"/>
            </w14:solidFill>
          </w14:textFill>
        </w:rPr>
        <w:t>名，其中事业编制</w:t>
      </w:r>
      <w:r>
        <w:rPr>
          <w:rFonts w:ascii="方正仿宋_GBK" w:hAnsi="方正仿宋_GBK" w:eastAsia="方正仿宋_GBK" w:cs="方正仿宋_GBK"/>
          <w:color w:val="000000" w:themeColor="text1"/>
          <w:szCs w:val="32"/>
          <w14:textFill>
            <w14:solidFill>
              <w14:schemeClr w14:val="tx1"/>
            </w14:solidFill>
          </w14:textFill>
        </w:rPr>
        <w:t>62</w:t>
      </w:r>
      <w:r>
        <w:rPr>
          <w:rFonts w:hint="eastAsia" w:ascii="方正仿宋_GBK" w:hAnsi="方正仿宋_GBK" w:eastAsia="方正仿宋_GBK" w:cs="方正仿宋_GBK"/>
          <w:color w:val="000000" w:themeColor="text1"/>
          <w:szCs w:val="32"/>
          <w14:textFill>
            <w14:solidFill>
              <w14:schemeClr w14:val="tx1"/>
            </w14:solidFill>
          </w14:textFill>
        </w:rPr>
        <w:t>名；</w:t>
      </w:r>
      <w:bookmarkStart w:id="2" w:name="_Hlk109807352"/>
      <w:r>
        <w:rPr>
          <w:rFonts w:hint="eastAsia" w:ascii="方正仿宋_GBK" w:hAnsi="方正仿宋_GBK" w:eastAsia="方正仿宋_GBK" w:cs="方正仿宋_GBK"/>
          <w:color w:val="000000" w:themeColor="text1"/>
          <w:szCs w:val="32"/>
          <w14:textFill>
            <w14:solidFill>
              <w14:schemeClr w14:val="tx1"/>
            </w14:solidFill>
          </w14:textFill>
        </w:rPr>
        <w:t>截至2022年年末实有在职人员</w:t>
      </w:r>
      <w:r>
        <w:rPr>
          <w:rFonts w:ascii="方正仿宋_GBK" w:hAnsi="方正仿宋_GBK" w:eastAsia="方正仿宋_GBK" w:cs="方正仿宋_GBK"/>
          <w:color w:val="000000" w:themeColor="text1"/>
          <w:szCs w:val="32"/>
          <w14:textFill>
            <w14:solidFill>
              <w14:schemeClr w14:val="tx1"/>
            </w14:solidFill>
          </w14:textFill>
        </w:rPr>
        <w:t>73</w:t>
      </w:r>
      <w:r>
        <w:rPr>
          <w:rFonts w:hint="eastAsia" w:ascii="方正仿宋_GBK" w:hAnsi="方正仿宋_GBK" w:eastAsia="方正仿宋_GBK" w:cs="方正仿宋_GBK"/>
          <w:color w:val="000000" w:themeColor="text1"/>
          <w:szCs w:val="32"/>
          <w14:textFill>
            <w14:solidFill>
              <w14:schemeClr w14:val="tx1"/>
            </w14:solidFill>
          </w14:textFill>
        </w:rPr>
        <w:t>人，其中：事业编制</w:t>
      </w:r>
      <w:r>
        <w:rPr>
          <w:rFonts w:ascii="方正仿宋_GBK" w:hAnsi="方正仿宋_GBK" w:eastAsia="方正仿宋_GBK" w:cs="方正仿宋_GBK"/>
          <w:color w:val="000000" w:themeColor="text1"/>
          <w:szCs w:val="32"/>
          <w14:textFill>
            <w14:solidFill>
              <w14:schemeClr w14:val="tx1"/>
            </w14:solidFill>
          </w14:textFill>
        </w:rPr>
        <w:t>67</w:t>
      </w:r>
      <w:r>
        <w:rPr>
          <w:rFonts w:hint="eastAsia" w:ascii="方正仿宋_GBK" w:hAnsi="方正仿宋_GBK" w:eastAsia="方正仿宋_GBK" w:cs="方正仿宋_GBK"/>
          <w:color w:val="000000" w:themeColor="text1"/>
          <w:szCs w:val="32"/>
          <w14:textFill>
            <w14:solidFill>
              <w14:schemeClr w14:val="tx1"/>
            </w14:solidFill>
          </w14:textFill>
        </w:rPr>
        <w:t>人</w:t>
      </w:r>
      <w:bookmarkEnd w:id="2"/>
      <w:r>
        <w:rPr>
          <w:rFonts w:hint="eastAsia" w:ascii="方正仿宋_GBK" w:hAnsi="方正仿宋_GBK" w:eastAsia="方正仿宋_GBK" w:cs="方正仿宋_GBK"/>
          <w:color w:val="000000" w:themeColor="text1"/>
          <w:szCs w:val="32"/>
          <w14:textFill>
            <w14:solidFill>
              <w14:schemeClr w14:val="tx1"/>
            </w14:solidFill>
          </w14:textFill>
        </w:rPr>
        <w:t>，特岗6人，</w:t>
      </w:r>
      <w:r>
        <w:rPr>
          <w:rFonts w:hint="eastAsia" w:ascii="方正仿宋_GBK" w:hAnsi="方正仿宋_GBK" w:eastAsia="方正仿宋_GBK" w:cs="方正仿宋_GBK"/>
          <w:bCs/>
          <w:color w:val="000000" w:themeColor="text1"/>
          <w:kern w:val="0"/>
          <w:szCs w:val="32"/>
          <w14:textFill>
            <w14:solidFill>
              <w14:schemeClr w14:val="tx1"/>
            </w14:solidFill>
          </w14:textFill>
        </w:rPr>
        <w:t>退休人员为</w:t>
      </w:r>
      <w:r>
        <w:rPr>
          <w:rFonts w:ascii="方正仿宋_GBK" w:hAnsi="方正仿宋_GBK" w:eastAsia="方正仿宋_GBK" w:cs="方正仿宋_GBK"/>
          <w:bCs/>
          <w:color w:val="000000" w:themeColor="text1"/>
          <w:kern w:val="0"/>
          <w:szCs w:val="32"/>
          <w14:textFill>
            <w14:solidFill>
              <w14:schemeClr w14:val="tx1"/>
            </w14:solidFill>
          </w14:textFill>
        </w:rPr>
        <w:t>53</w:t>
      </w:r>
      <w:r>
        <w:rPr>
          <w:rFonts w:hint="eastAsia" w:ascii="方正仿宋_GBK" w:hAnsi="方正仿宋_GBK" w:eastAsia="方正仿宋_GBK" w:cs="方正仿宋_GBK"/>
          <w:bCs/>
          <w:color w:val="000000" w:themeColor="text1"/>
          <w:kern w:val="0"/>
          <w:szCs w:val="32"/>
          <w14:textFill>
            <w14:solidFill>
              <w14:schemeClr w14:val="tx1"/>
            </w14:solidFill>
          </w14:textFill>
        </w:rPr>
        <w:t>人。</w:t>
      </w:r>
    </w:p>
    <w:p>
      <w:pPr>
        <w:widowControl/>
        <w:adjustRightInd w:val="0"/>
        <w:snapToGrid w:val="0"/>
        <w:spacing w:line="578" w:lineRule="exact"/>
        <w:ind w:firstLine="640" w:firstLineChars="200"/>
        <w:contextualSpacing/>
        <w:jc w:val="left"/>
        <w:rPr>
          <w:rFonts w:ascii="方正黑体_GBK" w:hAnsi="方正黑体_GBK" w:eastAsia="方正黑体_GBK" w:cs="方正黑体_GBK"/>
          <w:color w:val="000000" w:themeColor="text1"/>
          <w:kern w:val="0"/>
          <w:szCs w:val="32"/>
          <w:shd w:val="clear" w:color="auto" w:fill="FFFFFF"/>
          <w14:textFill>
            <w14:solidFill>
              <w14:schemeClr w14:val="tx1"/>
            </w14:solidFill>
          </w14:textFill>
        </w:rPr>
      </w:pPr>
      <w:r>
        <w:rPr>
          <w:rFonts w:hint="eastAsia" w:ascii="方正黑体_GBK" w:hAnsi="方正黑体_GBK" w:eastAsia="方正黑体_GBK" w:cs="方正黑体_GBK"/>
          <w:color w:val="000000" w:themeColor="text1"/>
          <w:kern w:val="0"/>
          <w:szCs w:val="32"/>
          <w:shd w:val="clear" w:color="auto" w:fill="FFFFFF"/>
          <w14:textFill>
            <w14:solidFill>
              <w14:schemeClr w14:val="tx1"/>
            </w14:solidFill>
          </w14:textFill>
        </w:rPr>
        <w:t>二、部门财政资金收支情况</w:t>
      </w:r>
      <w:bookmarkStart w:id="4" w:name="_GoBack"/>
      <w:bookmarkEnd w:id="4"/>
    </w:p>
    <w:p>
      <w:pPr>
        <w:widowControl/>
        <w:adjustRightInd w:val="0"/>
        <w:snapToGrid w:val="0"/>
        <w:spacing w:line="578" w:lineRule="exact"/>
        <w:ind w:firstLine="640" w:firstLineChars="200"/>
        <w:contextualSpacing/>
        <w:jc w:val="left"/>
        <w:rPr>
          <w:rFonts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（一）部门财政资金收入情况。</w:t>
      </w:r>
    </w:p>
    <w:p>
      <w:pPr>
        <w:spacing w:line="578" w:lineRule="exact"/>
        <w:ind w:firstLine="640" w:firstLineChars="200"/>
        <w:rPr>
          <w:rFonts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bCs/>
          <w:color w:val="000000" w:themeColor="text1"/>
          <w:kern w:val="0"/>
          <w:szCs w:val="32"/>
          <w14:textFill>
            <w14:solidFill>
              <w14:schemeClr w14:val="tx1"/>
            </w14:solidFill>
          </w14:textFill>
        </w:rPr>
        <w:t>2022年年初预算收入</w:t>
      </w:r>
      <w:r>
        <w:rPr>
          <w:rFonts w:ascii="方正仿宋_GBK" w:hAnsi="方正仿宋_GBK" w:eastAsia="方正仿宋_GBK" w:cs="方正仿宋_GBK"/>
          <w:bCs/>
          <w:color w:val="000000" w:themeColor="text1"/>
          <w:kern w:val="0"/>
          <w:szCs w:val="32"/>
          <w14:textFill>
            <w14:solidFill>
              <w14:schemeClr w14:val="tx1"/>
            </w14:solidFill>
          </w14:textFill>
        </w:rPr>
        <w:t>992.59</w:t>
      </w:r>
      <w:r>
        <w:rPr>
          <w:rFonts w:hint="eastAsia" w:ascii="方正仿宋_GBK" w:hAnsi="方正仿宋_GBK" w:eastAsia="方正仿宋_GBK" w:cs="方正仿宋_GBK"/>
          <w:bCs/>
          <w:color w:val="000000" w:themeColor="text1"/>
          <w:kern w:val="0"/>
          <w:szCs w:val="32"/>
          <w14:textFill>
            <w14:solidFill>
              <w14:schemeClr w14:val="tx1"/>
            </w14:solidFill>
          </w14:textFill>
        </w:rPr>
        <w:t>万元。</w:t>
      </w:r>
    </w:p>
    <w:p>
      <w:pPr>
        <w:widowControl/>
        <w:numPr>
          <w:ilvl w:val="0"/>
          <w:numId w:val="2"/>
        </w:numPr>
        <w:adjustRightInd w:val="0"/>
        <w:snapToGrid w:val="0"/>
        <w:spacing w:line="578" w:lineRule="exact"/>
        <w:ind w:firstLine="640"/>
        <w:contextualSpacing/>
        <w:jc w:val="left"/>
        <w:rPr>
          <w:rFonts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部门财政资金支出情况。</w:t>
      </w:r>
    </w:p>
    <w:p>
      <w:pPr>
        <w:widowControl/>
        <w:adjustRightInd w:val="0"/>
        <w:snapToGrid w:val="0"/>
        <w:spacing w:line="578" w:lineRule="exact"/>
        <w:ind w:firstLine="640" w:firstLineChars="200"/>
        <w:contextualSpacing/>
        <w:jc w:val="left"/>
        <w:rPr>
          <w:rFonts w:ascii="方正仿宋_GBK" w:hAnsi="方正仿宋_GBK" w:eastAsia="方正仿宋_GBK" w:cs="方正仿宋_GBK"/>
          <w:bCs/>
          <w:color w:val="000000" w:themeColor="text1"/>
          <w:kern w:val="0"/>
          <w:szCs w:val="32"/>
          <w14:textFill>
            <w14:solidFill>
              <w14:schemeClr w14:val="tx1"/>
            </w14:solidFill>
          </w14:textFill>
        </w:rPr>
      </w:pPr>
      <w:r>
        <w:rPr>
          <w:rFonts w:hint="eastAsia" w:ascii="方正仿宋_GBK" w:hAnsi="方正仿宋_GBK" w:eastAsia="方正仿宋_GBK" w:cs="方正仿宋_GBK"/>
          <w:bCs/>
          <w:color w:val="000000" w:themeColor="text1"/>
          <w:kern w:val="0"/>
          <w:szCs w:val="32"/>
          <w14:textFill>
            <w14:solidFill>
              <w14:schemeClr w14:val="tx1"/>
            </w14:solidFill>
          </w14:textFill>
        </w:rPr>
        <w:t>2022年决算总支出</w:t>
      </w:r>
      <w:r>
        <w:rPr>
          <w:rFonts w:ascii="方正仿宋_GBK" w:hAnsi="方正仿宋_GBK" w:eastAsia="方正仿宋_GBK" w:cs="方正仿宋_GBK"/>
          <w:bCs/>
          <w:color w:val="000000" w:themeColor="text1"/>
          <w:kern w:val="0"/>
          <w:szCs w:val="32"/>
          <w14:textFill>
            <w14:solidFill>
              <w14:schemeClr w14:val="tx1"/>
            </w14:solidFill>
          </w14:textFill>
        </w:rPr>
        <w:t>1068.53</w:t>
      </w:r>
      <w:r>
        <w:rPr>
          <w:rFonts w:hint="eastAsia" w:ascii="方正仿宋_GBK" w:hAnsi="方正仿宋_GBK" w:eastAsia="方正仿宋_GBK" w:cs="方正仿宋_GBK"/>
          <w:bCs/>
          <w:color w:val="000000" w:themeColor="text1"/>
          <w:kern w:val="0"/>
          <w:szCs w:val="32"/>
          <w14:textFill>
            <w14:solidFill>
              <w14:schemeClr w14:val="tx1"/>
            </w14:solidFill>
          </w14:textFill>
        </w:rPr>
        <w:t>万元，基本支出</w:t>
      </w:r>
      <w:r>
        <w:rPr>
          <w:rFonts w:ascii="方正仿宋_GBK" w:hAnsi="方正仿宋_GBK" w:eastAsia="方正仿宋_GBK" w:cs="方正仿宋_GBK"/>
          <w:bCs/>
          <w:color w:val="000000" w:themeColor="text1"/>
          <w:kern w:val="0"/>
          <w:szCs w:val="32"/>
          <w14:textFill>
            <w14:solidFill>
              <w14:schemeClr w14:val="tx1"/>
            </w14:solidFill>
          </w14:textFill>
        </w:rPr>
        <w:t>973.85</w:t>
      </w:r>
      <w:r>
        <w:rPr>
          <w:rFonts w:hint="eastAsia" w:ascii="方正仿宋_GBK" w:hAnsi="方正仿宋_GBK" w:eastAsia="方正仿宋_GBK" w:cs="方正仿宋_GBK"/>
          <w:bCs/>
          <w:color w:val="000000" w:themeColor="text1"/>
          <w:kern w:val="0"/>
          <w:szCs w:val="32"/>
          <w14:textFill>
            <w14:solidFill>
              <w14:schemeClr w14:val="tx1"/>
            </w14:solidFill>
          </w14:textFill>
        </w:rPr>
        <w:t>万元（人员经费支出</w:t>
      </w:r>
      <w:r>
        <w:rPr>
          <w:rFonts w:ascii="方正仿宋_GBK" w:hAnsi="方正仿宋_GBK" w:eastAsia="方正仿宋_GBK" w:cs="方正仿宋_GBK"/>
          <w:bCs/>
          <w:color w:val="000000" w:themeColor="text1"/>
          <w:kern w:val="0"/>
          <w:szCs w:val="32"/>
          <w14:textFill>
            <w14:solidFill>
              <w14:schemeClr w14:val="tx1"/>
            </w14:solidFill>
          </w14:textFill>
        </w:rPr>
        <w:t>865.01</w:t>
      </w:r>
      <w:r>
        <w:rPr>
          <w:rFonts w:hint="eastAsia" w:ascii="方正仿宋_GBK" w:hAnsi="方正仿宋_GBK" w:eastAsia="方正仿宋_GBK" w:cs="方正仿宋_GBK"/>
          <w:bCs/>
          <w:color w:val="000000" w:themeColor="text1"/>
          <w:kern w:val="0"/>
          <w:szCs w:val="32"/>
          <w14:textFill>
            <w14:solidFill>
              <w14:schemeClr w14:val="tx1"/>
            </w14:solidFill>
          </w14:textFill>
        </w:rPr>
        <w:t>万元，公用经费支出</w:t>
      </w:r>
      <w:r>
        <w:rPr>
          <w:rFonts w:ascii="方正仿宋_GBK" w:hAnsi="方正仿宋_GBK" w:eastAsia="方正仿宋_GBK" w:cs="方正仿宋_GBK"/>
          <w:bCs/>
          <w:color w:val="000000" w:themeColor="text1"/>
          <w:kern w:val="0"/>
          <w:szCs w:val="32"/>
          <w14:textFill>
            <w14:solidFill>
              <w14:schemeClr w14:val="tx1"/>
            </w14:solidFill>
          </w14:textFill>
        </w:rPr>
        <w:t>108.84</w:t>
      </w:r>
      <w:r>
        <w:rPr>
          <w:rFonts w:hint="eastAsia" w:ascii="方正仿宋_GBK" w:hAnsi="方正仿宋_GBK" w:eastAsia="方正仿宋_GBK" w:cs="方正仿宋_GBK"/>
          <w:bCs/>
          <w:color w:val="000000" w:themeColor="text1"/>
          <w:kern w:val="0"/>
          <w:szCs w:val="32"/>
          <w14:textFill>
            <w14:solidFill>
              <w14:schemeClr w14:val="tx1"/>
            </w14:solidFill>
          </w14:textFill>
        </w:rPr>
        <w:t>万元），项目支出</w:t>
      </w:r>
      <w:r>
        <w:rPr>
          <w:rFonts w:ascii="方正仿宋_GBK" w:hAnsi="方正仿宋_GBK" w:eastAsia="方正仿宋_GBK" w:cs="方正仿宋_GBK"/>
          <w:bCs/>
          <w:color w:val="000000" w:themeColor="text1"/>
          <w:kern w:val="0"/>
          <w:szCs w:val="32"/>
          <w14:textFill>
            <w14:solidFill>
              <w14:schemeClr w14:val="tx1"/>
            </w14:solidFill>
          </w14:textFill>
        </w:rPr>
        <w:t>94.68</w:t>
      </w:r>
      <w:r>
        <w:rPr>
          <w:rFonts w:hint="eastAsia" w:ascii="方正仿宋_GBK" w:hAnsi="方正仿宋_GBK" w:eastAsia="方正仿宋_GBK" w:cs="方正仿宋_GBK"/>
          <w:bCs/>
          <w:color w:val="000000" w:themeColor="text1"/>
          <w:kern w:val="0"/>
          <w:szCs w:val="32"/>
          <w14:textFill>
            <w14:solidFill>
              <w14:schemeClr w14:val="tx1"/>
            </w14:solidFill>
          </w14:textFill>
        </w:rPr>
        <w:t>万元。</w:t>
      </w:r>
    </w:p>
    <w:p>
      <w:pPr>
        <w:widowControl/>
        <w:adjustRightInd w:val="0"/>
        <w:snapToGrid w:val="0"/>
        <w:spacing w:line="578" w:lineRule="exact"/>
        <w:ind w:firstLine="640" w:firstLineChars="200"/>
        <w:contextualSpacing/>
        <w:jc w:val="left"/>
        <w:rPr>
          <w:rFonts w:ascii="方正仿宋_GBK" w:hAnsi="方正仿宋_GBK" w:eastAsia="方正仿宋_GBK" w:cs="方正仿宋_GBK"/>
          <w:bCs/>
          <w:color w:val="000000" w:themeColor="text1"/>
          <w:kern w:val="0"/>
          <w:szCs w:val="32"/>
          <w14:textFill>
            <w14:solidFill>
              <w14:schemeClr w14:val="tx1"/>
            </w14:solidFill>
          </w14:textFill>
        </w:rPr>
      </w:pPr>
      <w:r>
        <w:rPr>
          <w:rFonts w:hint="eastAsia" w:ascii="方正仿宋_GBK" w:hAnsi="方正仿宋_GBK" w:eastAsia="方正仿宋_GBK" w:cs="方正仿宋_GBK"/>
          <w:bCs/>
          <w:color w:val="000000" w:themeColor="text1"/>
          <w:kern w:val="0"/>
          <w:szCs w:val="32"/>
          <w14:textFill>
            <w14:solidFill>
              <w14:schemeClr w14:val="tx1"/>
            </w14:solidFill>
          </w14:textFill>
        </w:rPr>
        <w:t>达川区石梯镇中心小学无下属单位，2022年无下属单位支出。</w:t>
      </w:r>
    </w:p>
    <w:p>
      <w:pPr>
        <w:widowControl/>
        <w:adjustRightInd w:val="0"/>
        <w:snapToGrid w:val="0"/>
        <w:spacing w:line="578" w:lineRule="exact"/>
        <w:ind w:firstLine="640" w:firstLineChars="200"/>
        <w:contextualSpacing/>
        <w:jc w:val="left"/>
        <w:rPr>
          <w:rFonts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（三）部门财政收入结转结余情况</w:t>
      </w:r>
    </w:p>
    <w:p>
      <w:pPr>
        <w:spacing w:line="578" w:lineRule="exact"/>
        <w:ind w:firstLine="640" w:firstLineChars="200"/>
        <w:rPr>
          <w:rFonts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bCs/>
          <w:color w:val="000000" w:themeColor="text1"/>
          <w:kern w:val="0"/>
          <w:szCs w:val="32"/>
          <w14:textFill>
            <w14:solidFill>
              <w14:schemeClr w14:val="tx1"/>
            </w14:solidFill>
          </w14:textFill>
        </w:rPr>
        <w:t>2022年年末财政拨款结转和结余</w:t>
      </w:r>
      <w:r>
        <w:rPr>
          <w:rFonts w:ascii="方正仿宋_GBK" w:hAnsi="方正仿宋_GBK" w:eastAsia="方正仿宋_GBK" w:cs="方正仿宋_GBK"/>
          <w:bCs/>
          <w:color w:val="000000" w:themeColor="text1"/>
          <w:kern w:val="0"/>
          <w:szCs w:val="32"/>
          <w14:textFill>
            <w14:solidFill>
              <w14:schemeClr w14:val="tx1"/>
            </w14:solidFill>
          </w14:textFill>
        </w:rPr>
        <w:t>272.21</w:t>
      </w:r>
      <w:r>
        <w:rPr>
          <w:rFonts w:hint="eastAsia" w:ascii="方正仿宋_GBK" w:hAnsi="方正仿宋_GBK" w:eastAsia="方正仿宋_GBK" w:cs="方正仿宋_GBK"/>
          <w:bCs/>
          <w:color w:val="000000" w:themeColor="text1"/>
          <w:kern w:val="0"/>
          <w:szCs w:val="32"/>
          <w14:textFill>
            <w14:solidFill>
              <w14:schemeClr w14:val="tx1"/>
            </w14:solidFill>
          </w14:textFill>
        </w:rPr>
        <w:t>万元。</w:t>
      </w:r>
    </w:p>
    <w:p>
      <w:pPr>
        <w:widowControl/>
        <w:numPr>
          <w:ilvl w:val="0"/>
          <w:numId w:val="3"/>
        </w:numPr>
        <w:adjustRightInd w:val="0"/>
        <w:snapToGrid w:val="0"/>
        <w:spacing w:line="578" w:lineRule="exact"/>
        <w:ind w:firstLine="640" w:firstLineChars="200"/>
        <w:contextualSpacing/>
        <w:jc w:val="left"/>
        <w:rPr>
          <w:rFonts w:ascii="方正黑体_GBK" w:hAnsi="方正黑体_GBK" w:eastAsia="方正黑体_GBK" w:cs="方正黑体_GBK"/>
          <w:color w:val="000000" w:themeColor="text1"/>
          <w:kern w:val="0"/>
          <w:szCs w:val="32"/>
          <w:shd w:val="clear" w:color="auto" w:fill="FFFFFF"/>
          <w14:textFill>
            <w14:solidFill>
              <w14:schemeClr w14:val="tx1"/>
            </w14:solidFill>
          </w14:textFill>
        </w:rPr>
      </w:pPr>
      <w:r>
        <w:rPr>
          <w:rFonts w:hint="eastAsia" w:ascii="方正黑体_GBK" w:hAnsi="方正黑体_GBK" w:eastAsia="方正黑体_GBK" w:cs="方正黑体_GBK"/>
          <w:color w:val="000000" w:themeColor="text1"/>
          <w:kern w:val="0"/>
          <w:szCs w:val="32"/>
          <w:shd w:val="clear" w:color="auto" w:fill="FFFFFF"/>
          <w14:textFill>
            <w14:solidFill>
              <w14:schemeClr w14:val="tx1"/>
            </w14:solidFill>
          </w14:textFill>
        </w:rPr>
        <w:t>部门整体预算绩效管理情况</w:t>
      </w:r>
    </w:p>
    <w:p>
      <w:pPr>
        <w:widowControl/>
        <w:adjustRightInd w:val="0"/>
        <w:snapToGrid w:val="0"/>
        <w:spacing w:line="578" w:lineRule="exact"/>
        <w:ind w:firstLine="640" w:firstLineChars="200"/>
        <w:contextualSpacing/>
        <w:jc w:val="left"/>
        <w:rPr>
          <w:rFonts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（一）总体工作情况</w:t>
      </w:r>
    </w:p>
    <w:p>
      <w:pPr>
        <w:widowControl/>
        <w:adjustRightInd w:val="0"/>
        <w:snapToGrid w:val="0"/>
        <w:spacing w:line="578" w:lineRule="exact"/>
        <w:ind w:firstLine="640" w:firstLineChars="200"/>
        <w:contextualSpacing/>
        <w:jc w:val="left"/>
        <w:rPr>
          <w:rFonts w:ascii="方正仿宋_GBK" w:hAnsi="方正仿宋_GBK" w:eastAsia="方正仿宋_GBK" w:cs="方正仿宋_GBK"/>
          <w:color w:val="000000" w:themeColor="text1"/>
          <w:kern w:val="0"/>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202</w:t>
      </w:r>
      <w:r>
        <w:rPr>
          <w:rFonts w:hint="eastAsia" w:ascii="方正仿宋_GBK" w:hAnsi="方正仿宋_GBK" w:eastAsia="方正仿宋_GBK" w:cs="方正仿宋_GBK"/>
          <w:color w:val="000000" w:themeColor="text1"/>
          <w:kern w:val="0"/>
          <w:szCs w:val="32"/>
          <w:shd w:val="clear" w:color="auto" w:fill="FFFFFF"/>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年，我单位设定的总体工作目标为：在达川区教育局的领导下，贯彻落实党的二十大精神，坚持党建工作与学校发展同步推进，坚持作风建设与教师思想共同成长，加强校园文化建设，优化育人环境，深耕细作，抓好教育教研工作，促进老师专业成长，安全后勤齐抓共管，建设平安和谐校园。</w:t>
      </w:r>
      <w:r>
        <w:rPr>
          <w:rFonts w:hint="eastAsia" w:ascii="方正仿宋_GBK" w:hAnsi="方正仿宋_GBK" w:eastAsia="方正仿宋_GBK" w:cs="方正仿宋_GBK"/>
          <w:color w:val="000000" w:themeColor="text1"/>
          <w:kern w:val="0"/>
          <w:szCs w:val="32"/>
          <w:shd w:val="clear" w:color="auto" w:fill="FFFFFF"/>
          <w14:textFill>
            <w14:solidFill>
              <w14:schemeClr w14:val="tx1"/>
            </w14:solidFill>
          </w14:textFill>
        </w:rPr>
        <w:t>2022年年终各项工作任务均全面完成，完成质量较高。</w:t>
      </w:r>
    </w:p>
    <w:p>
      <w:pPr>
        <w:widowControl/>
        <w:adjustRightInd w:val="0"/>
        <w:snapToGrid w:val="0"/>
        <w:spacing w:line="578" w:lineRule="exact"/>
        <w:ind w:firstLine="640" w:firstLineChars="200"/>
        <w:contextualSpacing/>
        <w:jc w:val="left"/>
        <w:rPr>
          <w:rFonts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（二）部门预算管理情况</w:t>
      </w:r>
    </w:p>
    <w:p>
      <w:pPr>
        <w:widowControl/>
        <w:adjustRightInd w:val="0"/>
        <w:snapToGrid w:val="0"/>
        <w:spacing w:line="578" w:lineRule="exact"/>
        <w:ind w:firstLine="640" w:firstLineChars="200"/>
        <w:contextualSpacing/>
        <w:jc w:val="left"/>
        <w:rPr>
          <w:rFonts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202</w:t>
      </w:r>
      <w:r>
        <w:rPr>
          <w:rFonts w:hint="eastAsia" w:ascii="方正仿宋_GBK" w:hAnsi="方正仿宋_GBK" w:eastAsia="方正仿宋_GBK" w:cs="方正仿宋_GBK"/>
          <w:color w:val="000000" w:themeColor="text1"/>
          <w:kern w:val="0"/>
          <w:szCs w:val="32"/>
          <w:shd w:val="clear" w:color="auto" w:fill="FFFFFF"/>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年，我单位的部门预算管理工作有序开展，现结合整体支出绩效评价指标体系，将主要情况总结如下：</w:t>
      </w:r>
    </w:p>
    <w:p>
      <w:pPr>
        <w:widowControl/>
        <w:adjustRightInd w:val="0"/>
        <w:snapToGrid w:val="0"/>
        <w:spacing w:line="578" w:lineRule="exact"/>
        <w:ind w:firstLine="640" w:firstLineChars="200"/>
        <w:contextualSpacing/>
        <w:jc w:val="left"/>
        <w:rPr>
          <w:rFonts w:ascii="方正仿宋_GBK" w:hAnsi="方正仿宋_GBK" w:eastAsia="方正仿宋_GBK" w:cs="方正仿宋_GBK"/>
          <w:color w:val="000000" w:themeColor="text1"/>
          <w:kern w:val="0"/>
          <w:szCs w:val="32"/>
          <w:highlight w:val="yellow"/>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1.在“目标制定”方面，我单位严格按照绩效目标制定的相关规定，结合本单位部门预算项目的实际情况，完整、合理地制定各项目的绩效目标，无要素遗漏，绩效指标基本做到细化量化。部门绩效目标纳入单位党组会集体决策范围。该项指标分值为5分，自评得分</w:t>
      </w:r>
      <w:r>
        <w:rPr>
          <w:rFonts w:hint="eastAsia" w:ascii="方正仿宋_GBK" w:hAnsi="方正仿宋_GBK" w:eastAsia="方正仿宋_GBK" w:cs="方正仿宋_GBK"/>
          <w:color w:val="000000" w:themeColor="text1"/>
          <w:kern w:val="0"/>
          <w:szCs w:val="32"/>
          <w:shd w:val="clear" w:color="auto" w:fill="FFFFFF"/>
          <w14:textFill>
            <w14:solidFill>
              <w14:schemeClr w14:val="tx1"/>
            </w14:solidFill>
          </w14:textFill>
        </w:rPr>
        <w:t>5</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w:t>
      </w:r>
    </w:p>
    <w:p>
      <w:pPr>
        <w:widowControl/>
        <w:adjustRightInd w:val="0"/>
        <w:snapToGrid w:val="0"/>
        <w:spacing w:line="578" w:lineRule="exact"/>
        <w:ind w:firstLine="640" w:firstLineChars="200"/>
        <w:contextualSpacing/>
        <w:jc w:val="left"/>
        <w:rPr>
          <w:rFonts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2.在“目标实现”方面，我单位202</w:t>
      </w:r>
      <w:r>
        <w:rPr>
          <w:rFonts w:hint="eastAsia" w:ascii="方正仿宋_GBK" w:hAnsi="方正仿宋_GBK" w:eastAsia="方正仿宋_GBK" w:cs="方正仿宋_GBK"/>
          <w:color w:val="000000" w:themeColor="text1"/>
          <w:kern w:val="0"/>
          <w:szCs w:val="32"/>
          <w:shd w:val="clear" w:color="auto" w:fill="FFFFFF"/>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年共</w:t>
      </w:r>
      <w:r>
        <w:rPr>
          <w:rFonts w:hint="eastAsia" w:ascii="方正仿宋_GBK" w:hAnsi="方正仿宋_GBK" w:eastAsia="方正仿宋_GBK" w:cs="方正仿宋_GBK"/>
          <w:color w:val="000000" w:themeColor="text1"/>
          <w:kern w:val="0"/>
          <w:szCs w:val="32"/>
          <w:shd w:val="clear" w:color="auto" w:fill="FFFFFF"/>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个部门预算项目，均属于特定目标类项目。部门所有纳入绩效目标管理的部门预算项目中涉及数量指标共计</w:t>
      </w:r>
      <w:r>
        <w:rPr>
          <w:rFonts w:hint="eastAsia" w:ascii="方正仿宋_GBK" w:hAnsi="方正仿宋_GBK" w:eastAsia="方正仿宋_GBK" w:cs="方正仿宋_GBK"/>
          <w:color w:val="000000" w:themeColor="text1"/>
          <w:kern w:val="0"/>
          <w:szCs w:val="32"/>
          <w:shd w:val="clear" w:color="auto" w:fill="FFFFFF"/>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个，已完成数量为</w:t>
      </w:r>
      <w:r>
        <w:rPr>
          <w:rFonts w:hint="eastAsia" w:ascii="方正仿宋_GBK" w:hAnsi="方正仿宋_GBK" w:eastAsia="方正仿宋_GBK" w:cs="方正仿宋_GBK"/>
          <w:color w:val="000000" w:themeColor="text1"/>
          <w:kern w:val="0"/>
          <w:szCs w:val="32"/>
          <w:shd w:val="clear" w:color="auto" w:fill="FFFFFF"/>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个。该项指标分值为10分，自评得分</w:t>
      </w:r>
      <w:r>
        <w:rPr>
          <w:rFonts w:hint="eastAsia" w:ascii="方正仿宋_GBK" w:hAnsi="方正仿宋_GBK" w:eastAsia="方正仿宋_GBK" w:cs="方正仿宋_GBK"/>
          <w:color w:val="000000" w:themeColor="text1"/>
          <w:kern w:val="0"/>
          <w:szCs w:val="32"/>
          <w:shd w:val="clear" w:color="auto" w:fill="FFFFFF"/>
          <w14:textFill>
            <w14:solidFill>
              <w14:schemeClr w14:val="tx1"/>
            </w14:solidFill>
          </w14:textFill>
        </w:rPr>
        <w:t>10</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w:t>
      </w:r>
    </w:p>
    <w:p>
      <w:pPr>
        <w:widowControl/>
        <w:adjustRightInd w:val="0"/>
        <w:snapToGrid w:val="0"/>
        <w:spacing w:line="578" w:lineRule="exact"/>
        <w:ind w:firstLine="640" w:firstLineChars="200"/>
        <w:contextualSpacing/>
        <w:jc w:val="left"/>
        <w:rPr>
          <w:rFonts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3.在“支出控制”方面，我单位202</w:t>
      </w:r>
      <w:r>
        <w:rPr>
          <w:rFonts w:hint="eastAsia" w:ascii="方正仿宋_GBK" w:hAnsi="方正仿宋_GBK" w:eastAsia="方正仿宋_GBK" w:cs="方正仿宋_GBK"/>
          <w:color w:val="000000" w:themeColor="text1"/>
          <w:kern w:val="0"/>
          <w:szCs w:val="32"/>
          <w:shd w:val="clear" w:color="auto" w:fill="FFFFFF"/>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年日常公用经费、项目支出中“办公费、印刷费、水费、电费、邮电费、物业管理费等”年初预算额</w:t>
      </w:r>
      <w:r>
        <w:rPr>
          <w:rFonts w:ascii="方正仿宋_GBK" w:hAnsi="方正仿宋_GBK" w:eastAsia="方正仿宋_GBK" w:cs="方正仿宋_GBK"/>
          <w:color w:val="000000" w:themeColor="text1"/>
          <w:kern w:val="0"/>
          <w:szCs w:val="32"/>
          <w:shd w:val="clear" w:color="auto" w:fill="FFFFFF"/>
          <w14:textFill>
            <w14:solidFill>
              <w14:schemeClr w14:val="tx1"/>
            </w14:solidFill>
          </w14:textFill>
        </w:rPr>
        <w:t>78.63</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万元，年末决算数</w:t>
      </w:r>
      <w:r>
        <w:rPr>
          <w:rFonts w:ascii="方正仿宋_GBK" w:hAnsi="方正仿宋_GBK" w:eastAsia="方正仿宋_GBK" w:cs="方正仿宋_GBK"/>
          <w:color w:val="000000" w:themeColor="text1"/>
          <w:kern w:val="0"/>
          <w:szCs w:val="32"/>
          <w:shd w:val="clear" w:color="auto" w:fill="FFFFFF"/>
          <w14:textFill>
            <w14:solidFill>
              <w14:schemeClr w14:val="tx1"/>
            </w14:solidFill>
          </w14:textFill>
        </w:rPr>
        <w:t>95.18</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万元，偏差度</w:t>
      </w:r>
      <w:r>
        <w:rPr>
          <w:rFonts w:ascii="方正仿宋_GBK" w:hAnsi="方正仿宋_GBK" w:eastAsia="方正仿宋_GBK" w:cs="方正仿宋_GBK"/>
          <w:color w:val="000000" w:themeColor="text1"/>
          <w:kern w:val="0"/>
          <w:szCs w:val="32"/>
          <w:shd w:val="clear" w:color="auto" w:fill="FFFFFF"/>
          <w14:textFill>
            <w14:solidFill>
              <w14:schemeClr w14:val="tx1"/>
            </w14:solidFill>
          </w14:textFill>
        </w:rPr>
        <w:t>21</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%。该项指标分值为</w:t>
      </w:r>
      <w:r>
        <w:rPr>
          <w:rFonts w:hint="eastAsia" w:ascii="方正仿宋_GBK" w:hAnsi="方正仿宋_GBK" w:eastAsia="方正仿宋_GBK" w:cs="方正仿宋_GBK"/>
          <w:color w:val="000000" w:themeColor="text1"/>
          <w:kern w:val="0"/>
          <w:szCs w:val="32"/>
          <w:shd w:val="clear" w:color="auto" w:fill="FFFFFF"/>
          <w14:textFill>
            <w14:solidFill>
              <w14:schemeClr w14:val="tx1"/>
            </w14:solidFill>
          </w14:textFill>
        </w:rPr>
        <w:t>1</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w:t>
      </w:r>
    </w:p>
    <w:p>
      <w:pPr>
        <w:widowControl/>
        <w:adjustRightInd w:val="0"/>
        <w:snapToGrid w:val="0"/>
        <w:spacing w:line="578" w:lineRule="exact"/>
        <w:ind w:firstLine="640" w:firstLineChars="200"/>
        <w:contextualSpacing/>
        <w:jc w:val="left"/>
        <w:rPr>
          <w:rFonts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4.在“及时处置”方面，当部门绩效监控调整取消额（</w:t>
      </w:r>
      <w:r>
        <w:rPr>
          <w:rFonts w:hint="eastAsia" w:ascii="方正仿宋_GBK" w:hAnsi="方正仿宋_GBK" w:eastAsia="方正仿宋_GBK" w:cs="方正仿宋_GBK"/>
          <w:color w:val="000000" w:themeColor="text1"/>
          <w:kern w:val="0"/>
          <w:szCs w:val="32"/>
          <w:shd w:val="clear" w:color="auto" w:fill="FFFFFF"/>
          <w14:textFill>
            <w14:solidFill>
              <w14:schemeClr w14:val="tx1"/>
            </w14:solidFill>
          </w14:textFill>
        </w:rPr>
        <w:t>0</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万元）和结余注销额（</w:t>
      </w:r>
      <w:r>
        <w:rPr>
          <w:rFonts w:hint="eastAsia" w:ascii="方正仿宋_GBK" w:hAnsi="方正仿宋_GBK" w:eastAsia="方正仿宋_GBK" w:cs="方正仿宋_GBK"/>
          <w:color w:val="000000" w:themeColor="text1"/>
          <w:kern w:val="0"/>
          <w:szCs w:val="32"/>
          <w:shd w:val="clear" w:color="auto" w:fill="FFFFFF"/>
          <w14:textFill>
            <w14:solidFill>
              <w14:schemeClr w14:val="tx1"/>
            </w14:solidFill>
          </w14:textFill>
        </w:rPr>
        <w:t>0</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万元）均不为零时，该项指标分值为4分，指标自评得分4分。</w:t>
      </w:r>
    </w:p>
    <w:p>
      <w:pPr>
        <w:widowControl/>
        <w:adjustRightInd w:val="0"/>
        <w:snapToGrid w:val="0"/>
        <w:spacing w:line="578" w:lineRule="exact"/>
        <w:ind w:firstLine="640" w:firstLineChars="200"/>
        <w:contextualSpacing/>
        <w:jc w:val="left"/>
        <w:rPr>
          <w:rFonts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5.在“执行进度”方面，根据系统提取数据显示，我单位202</w:t>
      </w:r>
      <w:r>
        <w:rPr>
          <w:rFonts w:hint="eastAsia" w:ascii="方正仿宋_GBK" w:hAnsi="方正仿宋_GBK" w:eastAsia="方正仿宋_GBK" w:cs="方正仿宋_GBK"/>
          <w:color w:val="000000" w:themeColor="text1"/>
          <w:kern w:val="0"/>
          <w:szCs w:val="32"/>
          <w:shd w:val="clear" w:color="auto" w:fill="FFFFFF"/>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年6月、9月、11月执行进度分别为</w:t>
      </w:r>
      <w:r>
        <w:rPr>
          <w:rFonts w:hint="eastAsia" w:ascii="方正仿宋_GBK" w:hAnsi="方正仿宋_GBK" w:eastAsia="方正仿宋_GBK" w:cs="方正仿宋_GBK"/>
          <w:color w:val="000000" w:themeColor="text1"/>
          <w:kern w:val="0"/>
          <w:szCs w:val="32"/>
          <w:shd w:val="clear" w:color="auto" w:fill="FFFFFF"/>
          <w14:textFill>
            <w14:solidFill>
              <w14:schemeClr w14:val="tx1"/>
            </w14:solidFill>
          </w14:textFill>
        </w:rPr>
        <w:t>4</w:t>
      </w:r>
      <w:r>
        <w:rPr>
          <w:rFonts w:ascii="方正仿宋_GBK" w:hAnsi="方正仿宋_GBK" w:eastAsia="方正仿宋_GBK" w:cs="方正仿宋_GBK"/>
          <w:color w:val="000000" w:themeColor="text1"/>
          <w:kern w:val="0"/>
          <w:szCs w:val="32"/>
          <w:shd w:val="clear" w:color="auto" w:fill="FFFFFF"/>
          <w14:textFill>
            <w14:solidFill>
              <w14:schemeClr w14:val="tx1"/>
            </w14:solidFill>
          </w14:textFill>
        </w:rPr>
        <w:t>5</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w:t>
      </w:r>
      <w:r>
        <w:rPr>
          <w:rFonts w:ascii="方正仿宋_GBK" w:hAnsi="方正仿宋_GBK" w:eastAsia="方正仿宋_GBK" w:cs="方正仿宋_GBK"/>
          <w:color w:val="000000" w:themeColor="text1"/>
          <w:kern w:val="0"/>
          <w:szCs w:val="32"/>
          <w:shd w:val="clear" w:color="auto" w:fill="FFFFFF"/>
          <w14:textFill>
            <w14:solidFill>
              <w14:schemeClr w14:val="tx1"/>
            </w14:solidFill>
          </w14:textFill>
        </w:rPr>
        <w:t>57</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 xml:space="preserve">%、 </w:t>
      </w:r>
      <w:r>
        <w:rPr>
          <w:rFonts w:hint="eastAsia" w:ascii="方正仿宋_GBK" w:hAnsi="方正仿宋_GBK" w:eastAsia="方正仿宋_GBK" w:cs="方正仿宋_GBK"/>
          <w:color w:val="000000" w:themeColor="text1"/>
          <w:kern w:val="0"/>
          <w:szCs w:val="32"/>
          <w:shd w:val="clear" w:color="auto" w:fill="FFFFFF"/>
          <w14:textFill>
            <w14:solidFill>
              <w14:schemeClr w14:val="tx1"/>
            </w14:solidFill>
          </w14:textFill>
        </w:rPr>
        <w:t>80</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 该项指标分值为4分，按其实际进度占目标进度的比重计算得分</w:t>
      </w:r>
      <w:r>
        <w:rPr>
          <w:rFonts w:hint="eastAsia" w:ascii="方正仿宋_GBK" w:hAnsi="方正仿宋_GBK" w:eastAsia="方正仿宋_GBK" w:cs="方正仿宋_GBK"/>
          <w:color w:val="000000" w:themeColor="text1"/>
          <w:kern w:val="0"/>
          <w:szCs w:val="32"/>
          <w:shd w:val="clear" w:color="auto" w:fill="FFFFFF"/>
          <w14:textFill>
            <w14:solidFill>
              <w14:schemeClr w14:val="tx1"/>
            </w14:solidFill>
          </w14:textFill>
        </w:rPr>
        <w:t>1</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w:t>
      </w:r>
    </w:p>
    <w:p>
      <w:pPr>
        <w:widowControl/>
        <w:adjustRightInd w:val="0"/>
        <w:snapToGrid w:val="0"/>
        <w:spacing w:line="578" w:lineRule="exact"/>
        <w:ind w:firstLine="640" w:firstLineChars="200"/>
        <w:contextualSpacing/>
        <w:jc w:val="left"/>
        <w:rPr>
          <w:rFonts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6.在“预算完成”方面，部门预算项目年末预算执行进度</w:t>
      </w:r>
      <w:r>
        <w:rPr>
          <w:rFonts w:hint="eastAsia" w:ascii="方正仿宋_GBK" w:hAnsi="方正仿宋_GBK" w:eastAsia="方正仿宋_GBK" w:cs="方正仿宋_GBK"/>
          <w:color w:val="000000" w:themeColor="text1"/>
          <w:kern w:val="0"/>
          <w:szCs w:val="32"/>
          <w:shd w:val="clear" w:color="auto" w:fill="FFFFFF"/>
          <w14:textFill>
            <w14:solidFill>
              <w14:schemeClr w14:val="tx1"/>
            </w14:solidFill>
          </w14:textFill>
        </w:rPr>
        <w:t>100</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%。该项指标分值为5分，按照实际进度量化计算得分</w:t>
      </w:r>
      <w:r>
        <w:rPr>
          <w:rFonts w:hint="eastAsia" w:ascii="方正仿宋_GBK" w:hAnsi="方正仿宋_GBK" w:eastAsia="方正仿宋_GBK" w:cs="方正仿宋_GBK"/>
          <w:color w:val="000000" w:themeColor="text1"/>
          <w:kern w:val="0"/>
          <w:szCs w:val="32"/>
          <w:shd w:val="clear" w:color="auto" w:fill="FFFFFF"/>
          <w14:textFill>
            <w14:solidFill>
              <w14:schemeClr w14:val="tx1"/>
            </w14:solidFill>
          </w14:textFill>
        </w:rPr>
        <w:t>5</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w:t>
      </w:r>
    </w:p>
    <w:p>
      <w:pPr>
        <w:widowControl/>
        <w:adjustRightInd w:val="0"/>
        <w:snapToGrid w:val="0"/>
        <w:spacing w:line="578" w:lineRule="exact"/>
        <w:ind w:firstLine="640" w:firstLineChars="200"/>
        <w:contextualSpacing/>
        <w:jc w:val="left"/>
        <w:rPr>
          <w:rFonts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7.在“资金结余率”方面，我部门单位部门预算项目共</w:t>
      </w:r>
      <w:r>
        <w:rPr>
          <w:rFonts w:ascii="方正仿宋_GBK" w:hAnsi="方正仿宋_GBK" w:eastAsia="方正仿宋_GBK" w:cs="方正仿宋_GBK"/>
          <w:color w:val="000000" w:themeColor="text1"/>
          <w:kern w:val="0"/>
          <w:szCs w:val="32"/>
          <w:shd w:val="clear" w:color="auto" w:fill="FFFFFF"/>
          <w14:textFill>
            <w14:solidFill>
              <w14:schemeClr w14:val="tx1"/>
            </w14:solidFill>
          </w14:textFill>
        </w:rPr>
        <w:t>3</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项，资金余率小于</w:t>
      </w:r>
      <w:r>
        <w:rPr>
          <w:rFonts w:hint="eastAsia" w:ascii="方正仿宋_GBK" w:hAnsi="方正仿宋_GBK" w:eastAsia="方正仿宋_GBK" w:cs="方正仿宋_GBK"/>
          <w:color w:val="000000" w:themeColor="text1"/>
          <w:kern w:val="0"/>
          <w:szCs w:val="32"/>
          <w:shd w:val="clear" w:color="auto" w:fill="FFFFFF"/>
          <w14:textFill>
            <w14:solidFill>
              <w14:schemeClr w14:val="tx1"/>
            </w14:solidFill>
          </w14:textFill>
        </w:rPr>
        <w:t>0.1</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的项目数</w:t>
      </w:r>
      <w:r>
        <w:rPr>
          <w:rFonts w:ascii="方正仿宋_GBK" w:hAnsi="方正仿宋_GBK" w:eastAsia="方正仿宋_GBK" w:cs="方正仿宋_GBK"/>
          <w:color w:val="000000" w:themeColor="text1"/>
          <w:kern w:val="0"/>
          <w:szCs w:val="32"/>
          <w:shd w:val="clear" w:color="auto" w:fill="FFFFFF"/>
          <w14:textFill>
            <w14:solidFill>
              <w14:schemeClr w14:val="tx1"/>
            </w14:solidFill>
          </w14:textFill>
        </w:rPr>
        <w:t>3</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项。该项指标分值为8分，按照相应量化计算得分</w:t>
      </w:r>
      <w:r>
        <w:rPr>
          <w:rFonts w:hint="eastAsia" w:ascii="方正仿宋_GBK" w:hAnsi="方正仿宋_GBK" w:eastAsia="方正仿宋_GBK" w:cs="方正仿宋_GBK"/>
          <w:color w:val="000000" w:themeColor="text1"/>
          <w:kern w:val="0"/>
          <w:szCs w:val="32"/>
          <w:shd w:val="clear" w:color="auto" w:fill="FFFFFF"/>
          <w14:textFill>
            <w14:solidFill>
              <w14:schemeClr w14:val="tx1"/>
            </w14:solidFill>
          </w14:textFill>
        </w:rPr>
        <w:t>8</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w:t>
      </w:r>
    </w:p>
    <w:p>
      <w:pPr>
        <w:widowControl/>
        <w:adjustRightInd w:val="0"/>
        <w:snapToGrid w:val="0"/>
        <w:spacing w:line="578" w:lineRule="exact"/>
        <w:ind w:firstLine="640" w:firstLineChars="200"/>
        <w:contextualSpacing/>
        <w:jc w:val="left"/>
        <w:rPr>
          <w:rFonts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8.在违规记录上，我单位202</w:t>
      </w:r>
      <w:r>
        <w:rPr>
          <w:rFonts w:hint="eastAsia" w:ascii="方正仿宋_GBK" w:hAnsi="方正仿宋_GBK" w:eastAsia="方正仿宋_GBK" w:cs="方正仿宋_GBK"/>
          <w:color w:val="000000" w:themeColor="text1"/>
          <w:kern w:val="0"/>
          <w:szCs w:val="32"/>
          <w:shd w:val="clear" w:color="auto" w:fill="FFFFFF"/>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年没有出现部门预算管理方面违纪违规问题。该项指标分值为2分，自评得分2分。</w:t>
      </w:r>
      <w:bookmarkStart w:id="3" w:name="_Toc110955069"/>
    </w:p>
    <w:p>
      <w:pPr>
        <w:spacing w:line="578" w:lineRule="exact"/>
        <w:ind w:firstLine="643" w:firstLineChars="200"/>
        <w:outlineLvl w:val="2"/>
        <w:rPr>
          <w:rFonts w:ascii="方正楷体_GBK" w:hAnsi="方正楷体_GBK" w:eastAsia="方正楷体_GBK" w:cs="方正楷体_GBK"/>
          <w:b/>
          <w:bCs/>
          <w:color w:val="000000" w:themeColor="text1"/>
          <w:kern w:val="0"/>
          <w:szCs w:val="32"/>
          <w:highlight w:val="yellow"/>
          <w14:textFill>
            <w14:solidFill>
              <w14:schemeClr w14:val="tx1"/>
            </w14:solidFill>
          </w14:textFill>
        </w:rPr>
      </w:pPr>
      <w:r>
        <w:rPr>
          <w:rFonts w:hint="eastAsia" w:ascii="方正楷体_GBK" w:hAnsi="方正楷体_GBK" w:eastAsia="方正楷体_GBK" w:cs="方正楷体_GBK"/>
          <w:b/>
          <w:bCs/>
          <w:color w:val="000000" w:themeColor="text1"/>
          <w:kern w:val="0"/>
          <w:szCs w:val="32"/>
          <w14:textFill>
            <w14:solidFill>
              <w14:schemeClr w14:val="tx1"/>
            </w14:solidFill>
          </w14:textFill>
        </w:rPr>
        <w:t>（三）专项预算管理</w:t>
      </w:r>
      <w:bookmarkEnd w:id="3"/>
    </w:p>
    <w:p>
      <w:pPr>
        <w:keepLines/>
        <w:tabs>
          <w:tab w:val="left" w:pos="676"/>
        </w:tabs>
        <w:spacing w:line="578" w:lineRule="exact"/>
        <w:ind w:right="1120" w:firstLine="640" w:firstLineChars="200"/>
        <w:rPr>
          <w:rFonts w:ascii="方正楷体_GBK" w:hAnsi="方正楷体_GBK" w:eastAsia="方正楷体_GBK" w:cs="方正楷体_GBK"/>
          <w:color w:val="000000" w:themeColor="text1"/>
          <w:szCs w:val="32"/>
          <w14:textFill>
            <w14:solidFill>
              <w14:schemeClr w14:val="tx1"/>
            </w14:solidFill>
          </w14:textFill>
        </w:rPr>
      </w:pPr>
      <w:r>
        <w:rPr>
          <w:rFonts w:hint="eastAsia" w:ascii="方正楷体_GBK" w:hAnsi="方正楷体_GBK" w:eastAsia="方正楷体_GBK" w:cs="方正楷体_GBK"/>
          <w:color w:val="000000" w:themeColor="text1"/>
          <w:szCs w:val="32"/>
          <w14:textFill>
            <w14:solidFill>
              <w14:schemeClr w14:val="tx1"/>
            </w14:solidFill>
          </w14:textFill>
        </w:rPr>
        <w:t>1.专项绩效的预算情况</w:t>
      </w:r>
    </w:p>
    <w:p>
      <w:pPr>
        <w:spacing w:line="578" w:lineRule="exact"/>
        <w:ind w:firstLine="640" w:firstLineChars="200"/>
        <w:rPr>
          <w:rFonts w:ascii="方正仿宋_GBK" w:hAnsi="方正仿宋_GBK" w:eastAsia="方正仿宋_GBK" w:cs="方正仿宋_GBK"/>
          <w:bCs/>
          <w:color w:val="000000" w:themeColor="text1"/>
          <w:kern w:val="0"/>
          <w:szCs w:val="32"/>
          <w14:textFill>
            <w14:solidFill>
              <w14:schemeClr w14:val="tx1"/>
            </w14:solidFill>
          </w14:textFill>
        </w:rPr>
      </w:pPr>
      <w:r>
        <w:rPr>
          <w:rFonts w:hint="eastAsia" w:ascii="方正仿宋_GBK" w:hAnsi="方正仿宋_GBK" w:eastAsia="方正仿宋_GBK" w:cs="方正仿宋_GBK"/>
          <w:bCs/>
          <w:color w:val="000000" w:themeColor="text1"/>
          <w:kern w:val="0"/>
          <w:szCs w:val="32"/>
          <w14:textFill>
            <w14:solidFill>
              <w14:schemeClr w14:val="tx1"/>
            </w14:solidFill>
          </w14:textFill>
        </w:rPr>
        <w:t>2022年度共有</w:t>
      </w:r>
      <w:r>
        <w:rPr>
          <w:rFonts w:ascii="方正仿宋_GBK" w:hAnsi="方正仿宋_GBK" w:eastAsia="方正仿宋_GBK" w:cs="方正仿宋_GBK"/>
          <w:bCs/>
          <w:color w:val="000000" w:themeColor="text1"/>
          <w:kern w:val="0"/>
          <w:szCs w:val="32"/>
          <w14:textFill>
            <w14:solidFill>
              <w14:schemeClr w14:val="tx1"/>
            </w14:solidFill>
          </w14:textFill>
        </w:rPr>
        <w:t>3</w:t>
      </w:r>
      <w:r>
        <w:rPr>
          <w:rFonts w:hint="eastAsia" w:ascii="方正仿宋_GBK" w:hAnsi="方正仿宋_GBK" w:eastAsia="方正仿宋_GBK" w:cs="方正仿宋_GBK"/>
          <w:bCs/>
          <w:color w:val="000000" w:themeColor="text1"/>
          <w:kern w:val="0"/>
          <w:szCs w:val="32"/>
          <w14:textFill>
            <w14:solidFill>
              <w14:schemeClr w14:val="tx1"/>
            </w14:solidFill>
          </w14:textFill>
        </w:rPr>
        <w:t>个项目，主要专项绩效预算情况为：</w:t>
      </w:r>
    </w:p>
    <w:p>
      <w:pPr>
        <w:spacing w:line="578" w:lineRule="exact"/>
        <w:ind w:firstLine="640" w:firstLineChars="200"/>
        <w:rPr>
          <w:rFonts w:ascii="方正仿宋_GBK" w:hAnsi="方正仿宋_GBK" w:eastAsia="方正仿宋_GBK" w:cs="方正仿宋_GBK"/>
          <w:bCs/>
          <w:color w:val="000000" w:themeColor="text1"/>
          <w:kern w:val="0"/>
          <w:szCs w:val="32"/>
          <w14:textFill>
            <w14:solidFill>
              <w14:schemeClr w14:val="tx1"/>
            </w14:solidFill>
          </w14:textFill>
        </w:rPr>
      </w:pPr>
      <w:r>
        <w:rPr>
          <w:rFonts w:hint="eastAsia" w:ascii="方正仿宋_GBK" w:hAnsi="方正仿宋_GBK" w:eastAsia="方正仿宋_GBK" w:cs="方正仿宋_GBK"/>
          <w:bCs/>
          <w:color w:val="000000" w:themeColor="text1"/>
          <w:kern w:val="0"/>
          <w:szCs w:val="32"/>
          <w14:textFill>
            <w14:solidFill>
              <w14:schemeClr w14:val="tx1"/>
            </w14:solidFill>
          </w14:textFill>
        </w:rPr>
        <w:t>（1）营养餐专项项目</w:t>
      </w:r>
      <w:r>
        <w:rPr>
          <w:rFonts w:ascii="方正仿宋_GBK" w:hAnsi="方正仿宋_GBK" w:eastAsia="方正仿宋_GBK" w:cs="方正仿宋_GBK"/>
          <w:bCs/>
          <w:color w:val="000000" w:themeColor="text1"/>
          <w:kern w:val="0"/>
          <w:szCs w:val="32"/>
          <w14:textFill>
            <w14:solidFill>
              <w14:schemeClr w14:val="tx1"/>
            </w14:solidFill>
          </w14:textFill>
        </w:rPr>
        <w:t>87.875</w:t>
      </w:r>
      <w:r>
        <w:rPr>
          <w:rFonts w:hint="eastAsia" w:ascii="方正仿宋_GBK" w:hAnsi="方正仿宋_GBK" w:eastAsia="方正仿宋_GBK" w:cs="方正仿宋_GBK"/>
          <w:bCs/>
          <w:color w:val="000000" w:themeColor="text1"/>
          <w:kern w:val="0"/>
          <w:szCs w:val="32"/>
          <w14:textFill>
            <w14:solidFill>
              <w14:schemeClr w14:val="tx1"/>
            </w14:solidFill>
          </w14:textFill>
        </w:rPr>
        <w:t>万元，全年目标为2022年内计划发放营养餐改善计划补助资金8</w:t>
      </w:r>
      <w:r>
        <w:rPr>
          <w:rFonts w:ascii="方正仿宋_GBK" w:hAnsi="方正仿宋_GBK" w:eastAsia="方正仿宋_GBK" w:cs="方正仿宋_GBK"/>
          <w:bCs/>
          <w:color w:val="000000" w:themeColor="text1"/>
          <w:kern w:val="0"/>
          <w:szCs w:val="32"/>
          <w14:textFill>
            <w14:solidFill>
              <w14:schemeClr w14:val="tx1"/>
            </w14:solidFill>
          </w14:textFill>
        </w:rPr>
        <w:t>7.875</w:t>
      </w:r>
      <w:r>
        <w:rPr>
          <w:rFonts w:hint="eastAsia" w:ascii="方正仿宋_GBK" w:hAnsi="方正仿宋_GBK" w:eastAsia="方正仿宋_GBK" w:cs="方正仿宋_GBK"/>
          <w:bCs/>
          <w:color w:val="000000" w:themeColor="text1"/>
          <w:kern w:val="0"/>
          <w:szCs w:val="32"/>
          <w14:textFill>
            <w14:solidFill>
              <w14:schemeClr w14:val="tx1"/>
            </w14:solidFill>
          </w14:textFill>
        </w:rPr>
        <w:t>万元，涉及补助学生人数</w:t>
      </w:r>
      <w:r>
        <w:rPr>
          <w:rFonts w:ascii="方正仿宋_GBK" w:hAnsi="方正仿宋_GBK" w:eastAsia="方正仿宋_GBK" w:cs="方正仿宋_GBK"/>
          <w:bCs/>
          <w:color w:val="000000" w:themeColor="text1"/>
          <w:kern w:val="0"/>
          <w:szCs w:val="32"/>
          <w14:textFill>
            <w14:solidFill>
              <w14:schemeClr w14:val="tx1"/>
            </w14:solidFill>
          </w14:textFill>
        </w:rPr>
        <w:t>925</w:t>
      </w:r>
      <w:r>
        <w:rPr>
          <w:rFonts w:hint="eastAsia" w:ascii="方正仿宋_GBK" w:hAnsi="方正仿宋_GBK" w:eastAsia="方正仿宋_GBK" w:cs="方正仿宋_GBK"/>
          <w:bCs/>
          <w:color w:val="000000" w:themeColor="text1"/>
          <w:kern w:val="0"/>
          <w:szCs w:val="32"/>
          <w14:textFill>
            <w14:solidFill>
              <w14:schemeClr w14:val="tx1"/>
            </w14:solidFill>
          </w14:textFill>
        </w:rPr>
        <w:t>名，目的是改善农村义务教育学生的营养状况，提高农村义务教育学生的健康水平，促进城乡义务教育健康持续发展。2022年实际完成</w:t>
      </w:r>
      <w:r>
        <w:rPr>
          <w:rFonts w:ascii="方正仿宋_GBK" w:hAnsi="方正仿宋_GBK" w:eastAsia="方正仿宋_GBK" w:cs="方正仿宋_GBK"/>
          <w:bCs/>
          <w:color w:val="000000" w:themeColor="text1"/>
          <w:kern w:val="0"/>
          <w:szCs w:val="32"/>
          <w14:textFill>
            <w14:solidFill>
              <w14:schemeClr w14:val="tx1"/>
            </w14:solidFill>
          </w14:textFill>
        </w:rPr>
        <w:t>87.875</w:t>
      </w:r>
      <w:r>
        <w:rPr>
          <w:rFonts w:hint="eastAsia" w:ascii="方正仿宋_GBK" w:hAnsi="方正仿宋_GBK" w:eastAsia="方正仿宋_GBK" w:cs="方正仿宋_GBK"/>
          <w:bCs/>
          <w:color w:val="000000" w:themeColor="text1"/>
          <w:kern w:val="0"/>
          <w:szCs w:val="32"/>
          <w14:textFill>
            <w14:solidFill>
              <w14:schemeClr w14:val="tx1"/>
            </w14:solidFill>
          </w14:textFill>
        </w:rPr>
        <w:t>万元工作任务，已完成100%；</w:t>
      </w:r>
    </w:p>
    <w:p>
      <w:pPr>
        <w:spacing w:line="578" w:lineRule="exact"/>
        <w:ind w:firstLine="640" w:firstLineChars="200"/>
        <w:rPr>
          <w:rFonts w:ascii="方正仿宋_GBK" w:hAnsi="方正仿宋_GBK" w:eastAsia="方正仿宋_GBK" w:cs="方正仿宋_GBK"/>
          <w:bCs/>
          <w:color w:val="000000" w:themeColor="text1"/>
          <w:kern w:val="0"/>
          <w:szCs w:val="32"/>
          <w14:textFill>
            <w14:solidFill>
              <w14:schemeClr w14:val="tx1"/>
            </w14:solidFill>
          </w14:textFill>
        </w:rPr>
      </w:pPr>
      <w:r>
        <w:rPr>
          <w:rFonts w:hint="eastAsia" w:ascii="方正仿宋_GBK" w:hAnsi="方正仿宋_GBK" w:eastAsia="方正仿宋_GBK" w:cs="方正仿宋_GBK"/>
          <w:bCs/>
          <w:color w:val="000000" w:themeColor="text1"/>
          <w:kern w:val="0"/>
          <w:szCs w:val="32"/>
          <w14:textFill>
            <w14:solidFill>
              <w14:schemeClr w14:val="tx1"/>
            </w14:solidFill>
          </w14:textFill>
        </w:rPr>
        <w:t>（2）购买安保服务专项项目</w:t>
      </w:r>
      <w:r>
        <w:rPr>
          <w:rFonts w:ascii="方正仿宋_GBK" w:hAnsi="方正仿宋_GBK" w:eastAsia="方正仿宋_GBK" w:cs="方正仿宋_GBK"/>
          <w:bCs/>
          <w:color w:val="000000" w:themeColor="text1"/>
          <w:kern w:val="0"/>
          <w:szCs w:val="32"/>
          <w14:textFill>
            <w14:solidFill>
              <w14:schemeClr w14:val="tx1"/>
            </w14:solidFill>
          </w14:textFill>
        </w:rPr>
        <w:t>6</w:t>
      </w:r>
      <w:r>
        <w:rPr>
          <w:rFonts w:hint="eastAsia" w:ascii="方正仿宋_GBK" w:hAnsi="方正仿宋_GBK" w:eastAsia="方正仿宋_GBK" w:cs="方正仿宋_GBK"/>
          <w:bCs/>
          <w:color w:val="000000" w:themeColor="text1"/>
          <w:kern w:val="0"/>
          <w:szCs w:val="32"/>
          <w14:textFill>
            <w14:solidFill>
              <w14:schemeClr w14:val="tx1"/>
            </w14:solidFill>
          </w14:textFill>
        </w:rPr>
        <w:t>.00万元，全年目标为2022年内计划发放学校物业管理服务费</w:t>
      </w:r>
      <w:r>
        <w:rPr>
          <w:rFonts w:ascii="方正仿宋_GBK" w:hAnsi="方正仿宋_GBK" w:eastAsia="方正仿宋_GBK" w:cs="方正仿宋_GBK"/>
          <w:bCs/>
          <w:color w:val="000000" w:themeColor="text1"/>
          <w:kern w:val="0"/>
          <w:szCs w:val="32"/>
          <w14:textFill>
            <w14:solidFill>
              <w14:schemeClr w14:val="tx1"/>
            </w14:solidFill>
          </w14:textFill>
        </w:rPr>
        <w:t>6</w:t>
      </w:r>
      <w:r>
        <w:rPr>
          <w:rFonts w:hint="eastAsia" w:ascii="方正仿宋_GBK" w:hAnsi="方正仿宋_GBK" w:eastAsia="方正仿宋_GBK" w:cs="方正仿宋_GBK"/>
          <w:bCs/>
          <w:color w:val="000000" w:themeColor="text1"/>
          <w:kern w:val="0"/>
          <w:szCs w:val="32"/>
          <w14:textFill>
            <w14:solidFill>
              <w14:schemeClr w14:val="tx1"/>
            </w14:solidFill>
          </w14:textFill>
        </w:rPr>
        <w:t>.00万元，涉及补助学生人数</w:t>
      </w:r>
      <w:r>
        <w:rPr>
          <w:rFonts w:ascii="方正仿宋_GBK" w:hAnsi="方正仿宋_GBK" w:eastAsia="方正仿宋_GBK" w:cs="方正仿宋_GBK"/>
          <w:bCs/>
          <w:color w:val="000000" w:themeColor="text1"/>
          <w:kern w:val="0"/>
          <w:szCs w:val="32"/>
          <w14:textFill>
            <w14:solidFill>
              <w14:schemeClr w14:val="tx1"/>
            </w14:solidFill>
          </w14:textFill>
        </w:rPr>
        <w:t>4</w:t>
      </w:r>
      <w:r>
        <w:rPr>
          <w:rFonts w:hint="eastAsia" w:ascii="方正仿宋_GBK" w:hAnsi="方正仿宋_GBK" w:eastAsia="方正仿宋_GBK" w:cs="方正仿宋_GBK"/>
          <w:bCs/>
          <w:color w:val="000000" w:themeColor="text1"/>
          <w:kern w:val="0"/>
          <w:szCs w:val="32"/>
          <w14:textFill>
            <w14:solidFill>
              <w14:schemeClr w14:val="tx1"/>
            </w14:solidFill>
          </w14:textFill>
        </w:rPr>
        <w:t>名，目的是维护学校正常教育教学秩序，保障学校及师生的人身、财产安全。2022年实际完成</w:t>
      </w:r>
      <w:r>
        <w:rPr>
          <w:rFonts w:ascii="方正仿宋_GBK" w:hAnsi="方正仿宋_GBK" w:eastAsia="方正仿宋_GBK" w:cs="方正仿宋_GBK"/>
          <w:bCs/>
          <w:color w:val="000000" w:themeColor="text1"/>
          <w:kern w:val="0"/>
          <w:szCs w:val="32"/>
          <w14:textFill>
            <w14:solidFill>
              <w14:schemeClr w14:val="tx1"/>
            </w14:solidFill>
          </w14:textFill>
        </w:rPr>
        <w:t>6</w:t>
      </w:r>
      <w:r>
        <w:rPr>
          <w:rFonts w:hint="eastAsia" w:ascii="方正仿宋_GBK" w:hAnsi="方正仿宋_GBK" w:eastAsia="方正仿宋_GBK" w:cs="方正仿宋_GBK"/>
          <w:bCs/>
          <w:color w:val="000000" w:themeColor="text1"/>
          <w:kern w:val="0"/>
          <w:szCs w:val="32"/>
          <w14:textFill>
            <w14:solidFill>
              <w14:schemeClr w14:val="tx1"/>
            </w14:solidFill>
          </w14:textFill>
        </w:rPr>
        <w:t>.00万元工作任务，已完成100%；</w:t>
      </w:r>
    </w:p>
    <w:p>
      <w:pPr>
        <w:spacing w:line="578" w:lineRule="exact"/>
        <w:ind w:firstLine="640" w:firstLineChars="200"/>
        <w:rPr>
          <w:rFonts w:ascii="方正仿宋_GBK" w:hAnsi="方正仿宋_GBK" w:eastAsia="方正仿宋_GBK" w:cs="方正仿宋_GBK"/>
          <w:bCs/>
          <w:color w:val="000000" w:themeColor="text1"/>
          <w:kern w:val="0"/>
          <w:szCs w:val="32"/>
          <w14:textFill>
            <w14:solidFill>
              <w14:schemeClr w14:val="tx1"/>
            </w14:solidFill>
          </w14:textFill>
        </w:rPr>
      </w:pPr>
      <w:r>
        <w:rPr>
          <w:rFonts w:hint="eastAsia" w:ascii="方正仿宋_GBK" w:hAnsi="方正仿宋_GBK" w:eastAsia="方正仿宋_GBK" w:cs="方正仿宋_GBK"/>
          <w:bCs/>
          <w:color w:val="000000" w:themeColor="text1"/>
          <w:kern w:val="0"/>
          <w:szCs w:val="32"/>
          <w14:textFill>
            <w14:solidFill>
              <w14:schemeClr w14:val="tx1"/>
            </w14:solidFill>
          </w14:textFill>
        </w:rPr>
        <w:t>（</w:t>
      </w:r>
      <w:r>
        <w:rPr>
          <w:rFonts w:ascii="方正仿宋_GBK" w:hAnsi="方正仿宋_GBK" w:eastAsia="方正仿宋_GBK" w:cs="方正仿宋_GBK"/>
          <w:bCs/>
          <w:color w:val="000000" w:themeColor="text1"/>
          <w:kern w:val="0"/>
          <w:szCs w:val="32"/>
          <w14:textFill>
            <w14:solidFill>
              <w14:schemeClr w14:val="tx1"/>
            </w14:solidFill>
          </w14:textFill>
        </w:rPr>
        <w:t>3</w:t>
      </w:r>
      <w:r>
        <w:rPr>
          <w:rFonts w:hint="eastAsia" w:ascii="方正仿宋_GBK" w:hAnsi="方正仿宋_GBK" w:eastAsia="方正仿宋_GBK" w:cs="方正仿宋_GBK"/>
          <w:bCs/>
          <w:color w:val="000000" w:themeColor="text1"/>
          <w:kern w:val="0"/>
          <w:szCs w:val="32"/>
          <w14:textFill>
            <w14:solidFill>
              <w14:schemeClr w14:val="tx1"/>
            </w14:solidFill>
          </w14:textFill>
        </w:rPr>
        <w:t>）食堂购买服务专项项目</w:t>
      </w:r>
      <w:r>
        <w:rPr>
          <w:rFonts w:ascii="方正仿宋_GBK" w:hAnsi="方正仿宋_GBK" w:eastAsia="方正仿宋_GBK" w:cs="方正仿宋_GBK"/>
          <w:bCs/>
          <w:color w:val="000000" w:themeColor="text1"/>
          <w:kern w:val="0"/>
          <w:szCs w:val="32"/>
          <w14:textFill>
            <w14:solidFill>
              <w14:schemeClr w14:val="tx1"/>
            </w14:solidFill>
          </w14:textFill>
        </w:rPr>
        <w:t>0.8</w:t>
      </w:r>
      <w:r>
        <w:rPr>
          <w:rFonts w:hint="eastAsia" w:ascii="方正仿宋_GBK" w:hAnsi="方正仿宋_GBK" w:eastAsia="方正仿宋_GBK" w:cs="方正仿宋_GBK"/>
          <w:bCs/>
          <w:color w:val="000000" w:themeColor="text1"/>
          <w:kern w:val="0"/>
          <w:szCs w:val="32"/>
          <w14:textFill>
            <w14:solidFill>
              <w14:schemeClr w14:val="tx1"/>
            </w14:solidFill>
          </w14:textFill>
        </w:rPr>
        <w:t>万元，全年目标为2022年内计划支付食堂购买服务费</w:t>
      </w:r>
      <w:r>
        <w:rPr>
          <w:rFonts w:ascii="方正仿宋_GBK" w:hAnsi="方正仿宋_GBK" w:eastAsia="方正仿宋_GBK" w:cs="方正仿宋_GBK"/>
          <w:bCs/>
          <w:color w:val="000000" w:themeColor="text1"/>
          <w:kern w:val="0"/>
          <w:szCs w:val="32"/>
          <w14:textFill>
            <w14:solidFill>
              <w14:schemeClr w14:val="tx1"/>
            </w14:solidFill>
          </w14:textFill>
        </w:rPr>
        <w:t>0.8</w:t>
      </w:r>
      <w:r>
        <w:rPr>
          <w:rFonts w:hint="eastAsia" w:ascii="方正仿宋_GBK" w:hAnsi="方正仿宋_GBK" w:eastAsia="方正仿宋_GBK" w:cs="方正仿宋_GBK"/>
          <w:bCs/>
          <w:color w:val="000000" w:themeColor="text1"/>
          <w:kern w:val="0"/>
          <w:szCs w:val="32"/>
          <w14:textFill>
            <w14:solidFill>
              <w14:schemeClr w14:val="tx1"/>
            </w14:solidFill>
          </w14:textFill>
        </w:rPr>
        <w:t>万元，涉及补助食堂从业人员</w:t>
      </w:r>
      <w:r>
        <w:rPr>
          <w:rFonts w:ascii="方正仿宋_GBK" w:hAnsi="方正仿宋_GBK" w:eastAsia="方正仿宋_GBK" w:cs="方正仿宋_GBK"/>
          <w:bCs/>
          <w:color w:val="000000" w:themeColor="text1"/>
          <w:kern w:val="0"/>
          <w:szCs w:val="32"/>
          <w14:textFill>
            <w14:solidFill>
              <w14:schemeClr w14:val="tx1"/>
            </w14:solidFill>
          </w14:textFill>
        </w:rPr>
        <w:t>1</w:t>
      </w:r>
      <w:r>
        <w:rPr>
          <w:rFonts w:hint="eastAsia" w:ascii="方正仿宋_GBK" w:hAnsi="方正仿宋_GBK" w:eastAsia="方正仿宋_GBK" w:cs="方正仿宋_GBK"/>
          <w:bCs/>
          <w:color w:val="000000" w:themeColor="text1"/>
          <w:kern w:val="0"/>
          <w:szCs w:val="32"/>
          <w14:textFill>
            <w14:solidFill>
              <w14:schemeClr w14:val="tx1"/>
            </w14:solidFill>
          </w14:textFill>
        </w:rPr>
        <w:t>名，目的是建立健全农村义务教育学生营养改善计划长效保障机制和保障学校食堂从业人员相关权益。2022年实际完成</w:t>
      </w:r>
      <w:r>
        <w:rPr>
          <w:rFonts w:ascii="方正仿宋_GBK" w:hAnsi="方正仿宋_GBK" w:eastAsia="方正仿宋_GBK" w:cs="方正仿宋_GBK"/>
          <w:bCs/>
          <w:color w:val="000000" w:themeColor="text1"/>
          <w:kern w:val="0"/>
          <w:szCs w:val="32"/>
          <w14:textFill>
            <w14:solidFill>
              <w14:schemeClr w14:val="tx1"/>
            </w14:solidFill>
          </w14:textFill>
        </w:rPr>
        <w:t>0.8</w:t>
      </w:r>
      <w:r>
        <w:rPr>
          <w:rFonts w:hint="eastAsia" w:ascii="方正仿宋_GBK" w:hAnsi="方正仿宋_GBK" w:eastAsia="方正仿宋_GBK" w:cs="方正仿宋_GBK"/>
          <w:bCs/>
          <w:color w:val="000000" w:themeColor="text1"/>
          <w:kern w:val="0"/>
          <w:szCs w:val="32"/>
          <w14:textFill>
            <w14:solidFill>
              <w14:schemeClr w14:val="tx1"/>
            </w14:solidFill>
          </w14:textFill>
        </w:rPr>
        <w:t>万元工作任务，已完成100%；</w:t>
      </w:r>
    </w:p>
    <w:p>
      <w:pPr>
        <w:pStyle w:val="2"/>
        <w:rPr>
          <w:rFonts w:hint="eastAsia"/>
        </w:rPr>
      </w:pPr>
    </w:p>
    <w:p>
      <w:pPr>
        <w:spacing w:line="578" w:lineRule="exact"/>
        <w:ind w:firstLine="960" w:firstLineChars="300"/>
        <w:rPr>
          <w:rFonts w:ascii="方正楷体_GBK" w:hAnsi="方正楷体_GBK" w:eastAsia="方正楷体_GBK" w:cs="方正楷体_GBK"/>
          <w:bCs/>
          <w:color w:val="000000" w:themeColor="text1"/>
          <w:kern w:val="0"/>
          <w:szCs w:val="32"/>
          <w14:textFill>
            <w14:solidFill>
              <w14:schemeClr w14:val="tx1"/>
            </w14:solidFill>
          </w14:textFill>
        </w:rPr>
      </w:pPr>
      <w:r>
        <w:rPr>
          <w:rFonts w:hint="eastAsia" w:ascii="方正楷体_GBK" w:hAnsi="方正楷体_GBK" w:eastAsia="方正楷体_GBK" w:cs="方正楷体_GBK"/>
          <w:bCs/>
          <w:color w:val="000000" w:themeColor="text1"/>
          <w:kern w:val="0"/>
          <w:szCs w:val="32"/>
          <w14:textFill>
            <w14:solidFill>
              <w14:schemeClr w14:val="tx1"/>
            </w14:solidFill>
          </w14:textFill>
        </w:rPr>
        <w:t>2.专项绩效的执行情况</w:t>
      </w:r>
    </w:p>
    <w:p>
      <w:pPr>
        <w:spacing w:line="578" w:lineRule="exact"/>
        <w:ind w:firstLine="800" w:firstLineChars="250"/>
        <w:rPr>
          <w:rFonts w:ascii="方正仿宋_GBK" w:hAnsi="方正仿宋_GBK" w:eastAsia="方正仿宋_GBK" w:cs="方正仿宋_GBK"/>
          <w:bCs/>
          <w:color w:val="000000" w:themeColor="text1"/>
          <w:kern w:val="0"/>
          <w:szCs w:val="32"/>
          <w14:textFill>
            <w14:solidFill>
              <w14:schemeClr w14:val="tx1"/>
            </w14:solidFill>
          </w14:textFill>
        </w:rPr>
      </w:pPr>
      <w:r>
        <w:rPr>
          <w:rFonts w:hint="eastAsia" w:ascii="方正仿宋_GBK" w:hAnsi="方正仿宋_GBK" w:eastAsia="方正仿宋_GBK" w:cs="方正仿宋_GBK"/>
          <w:bCs/>
          <w:color w:val="000000" w:themeColor="text1"/>
          <w:kern w:val="0"/>
          <w:szCs w:val="32"/>
          <w14:textFill>
            <w14:solidFill>
              <w14:schemeClr w14:val="tx1"/>
            </w14:solidFill>
          </w14:textFill>
        </w:rPr>
        <w:t>绩效目标项目年初有</w:t>
      </w:r>
      <w:r>
        <w:rPr>
          <w:rFonts w:ascii="方正仿宋_GBK" w:hAnsi="方正仿宋_GBK" w:eastAsia="方正仿宋_GBK" w:cs="方正仿宋_GBK"/>
          <w:bCs/>
          <w:color w:val="000000" w:themeColor="text1"/>
          <w:kern w:val="0"/>
          <w:szCs w:val="32"/>
          <w14:textFill>
            <w14:solidFill>
              <w14:schemeClr w14:val="tx1"/>
            </w14:solidFill>
          </w14:textFill>
        </w:rPr>
        <w:t>3</w:t>
      </w:r>
      <w:r>
        <w:rPr>
          <w:rFonts w:hint="eastAsia" w:ascii="方正仿宋_GBK" w:hAnsi="方正仿宋_GBK" w:eastAsia="方正仿宋_GBK" w:cs="方正仿宋_GBK"/>
          <w:bCs/>
          <w:color w:val="000000" w:themeColor="text1"/>
          <w:kern w:val="0"/>
          <w:szCs w:val="32"/>
          <w14:textFill>
            <w14:solidFill>
              <w14:schemeClr w14:val="tx1"/>
            </w14:solidFill>
          </w14:textFill>
        </w:rPr>
        <w:t>个，开展绩效评价项目</w:t>
      </w:r>
      <w:r>
        <w:rPr>
          <w:rFonts w:ascii="方正仿宋_GBK" w:hAnsi="方正仿宋_GBK" w:eastAsia="方正仿宋_GBK" w:cs="方正仿宋_GBK"/>
          <w:bCs/>
          <w:color w:val="000000" w:themeColor="text1"/>
          <w:kern w:val="0"/>
          <w:szCs w:val="32"/>
          <w14:textFill>
            <w14:solidFill>
              <w14:schemeClr w14:val="tx1"/>
            </w14:solidFill>
          </w14:textFill>
        </w:rPr>
        <w:t>3</w:t>
      </w:r>
      <w:r>
        <w:rPr>
          <w:rFonts w:hint="eastAsia" w:ascii="方正仿宋_GBK" w:hAnsi="方正仿宋_GBK" w:eastAsia="方正仿宋_GBK" w:cs="方正仿宋_GBK"/>
          <w:bCs/>
          <w:color w:val="000000" w:themeColor="text1"/>
          <w:kern w:val="0"/>
          <w:szCs w:val="32"/>
          <w14:textFill>
            <w14:solidFill>
              <w14:schemeClr w14:val="tx1"/>
            </w14:solidFill>
          </w14:textFill>
        </w:rPr>
        <w:t>个，开展自评项目数</w:t>
      </w:r>
      <w:r>
        <w:rPr>
          <w:rFonts w:ascii="方正仿宋_GBK" w:hAnsi="方正仿宋_GBK" w:eastAsia="方正仿宋_GBK" w:cs="方正仿宋_GBK"/>
          <w:bCs/>
          <w:color w:val="000000" w:themeColor="text1"/>
          <w:kern w:val="0"/>
          <w:szCs w:val="32"/>
          <w14:textFill>
            <w14:solidFill>
              <w14:schemeClr w14:val="tx1"/>
            </w14:solidFill>
          </w14:textFill>
        </w:rPr>
        <w:t>3</w:t>
      </w:r>
      <w:r>
        <w:rPr>
          <w:rFonts w:hint="eastAsia" w:ascii="方正仿宋_GBK" w:hAnsi="方正仿宋_GBK" w:eastAsia="方正仿宋_GBK" w:cs="方正仿宋_GBK"/>
          <w:bCs/>
          <w:color w:val="000000" w:themeColor="text1"/>
          <w:kern w:val="0"/>
          <w:szCs w:val="32"/>
          <w14:textFill>
            <w14:solidFill>
              <w14:schemeClr w14:val="tx1"/>
            </w14:solidFill>
          </w14:textFill>
        </w:rPr>
        <w:t>个，完成绩效评价数</w:t>
      </w:r>
      <w:r>
        <w:rPr>
          <w:rFonts w:ascii="方正仿宋_GBK" w:hAnsi="方正仿宋_GBK" w:eastAsia="方正仿宋_GBK" w:cs="方正仿宋_GBK"/>
          <w:bCs/>
          <w:color w:val="000000" w:themeColor="text1"/>
          <w:kern w:val="0"/>
          <w:szCs w:val="32"/>
          <w14:textFill>
            <w14:solidFill>
              <w14:schemeClr w14:val="tx1"/>
            </w14:solidFill>
          </w14:textFill>
        </w:rPr>
        <w:t>3</w:t>
      </w:r>
      <w:r>
        <w:rPr>
          <w:rFonts w:hint="eastAsia" w:ascii="方正仿宋_GBK" w:hAnsi="方正仿宋_GBK" w:eastAsia="方正仿宋_GBK" w:cs="方正仿宋_GBK"/>
          <w:bCs/>
          <w:color w:val="000000" w:themeColor="text1"/>
          <w:kern w:val="0"/>
          <w:szCs w:val="32"/>
          <w14:textFill>
            <w14:solidFill>
              <w14:schemeClr w14:val="tx1"/>
            </w14:solidFill>
          </w14:textFill>
        </w:rPr>
        <w:t>个；应填报绩效目标的项目数</w:t>
      </w:r>
      <w:r>
        <w:rPr>
          <w:rFonts w:ascii="方正仿宋_GBK" w:hAnsi="方正仿宋_GBK" w:eastAsia="方正仿宋_GBK" w:cs="方正仿宋_GBK"/>
          <w:bCs/>
          <w:color w:val="000000" w:themeColor="text1"/>
          <w:kern w:val="0"/>
          <w:szCs w:val="32"/>
          <w14:textFill>
            <w14:solidFill>
              <w14:schemeClr w14:val="tx1"/>
            </w14:solidFill>
          </w14:textFill>
        </w:rPr>
        <w:t>3</w:t>
      </w:r>
      <w:r>
        <w:rPr>
          <w:rFonts w:hint="eastAsia" w:ascii="方正仿宋_GBK" w:hAnsi="方正仿宋_GBK" w:eastAsia="方正仿宋_GBK" w:cs="方正仿宋_GBK"/>
          <w:bCs/>
          <w:color w:val="000000" w:themeColor="text1"/>
          <w:kern w:val="0"/>
          <w:szCs w:val="32"/>
          <w14:textFill>
            <w14:solidFill>
              <w14:schemeClr w14:val="tx1"/>
            </w14:solidFill>
          </w14:textFill>
        </w:rPr>
        <w:t>个、应开展绩效监控的项目0个和应开展绩效自评项目</w:t>
      </w:r>
      <w:r>
        <w:rPr>
          <w:rFonts w:ascii="方正仿宋_GBK" w:hAnsi="方正仿宋_GBK" w:eastAsia="方正仿宋_GBK" w:cs="方正仿宋_GBK"/>
          <w:bCs/>
          <w:color w:val="000000" w:themeColor="text1"/>
          <w:kern w:val="0"/>
          <w:szCs w:val="32"/>
          <w14:textFill>
            <w14:solidFill>
              <w14:schemeClr w14:val="tx1"/>
            </w14:solidFill>
          </w14:textFill>
        </w:rPr>
        <w:t>3</w:t>
      </w:r>
      <w:r>
        <w:rPr>
          <w:rFonts w:hint="eastAsia" w:ascii="方正仿宋_GBK" w:hAnsi="方正仿宋_GBK" w:eastAsia="方正仿宋_GBK" w:cs="方正仿宋_GBK"/>
          <w:bCs/>
          <w:color w:val="000000" w:themeColor="text1"/>
          <w:kern w:val="0"/>
          <w:szCs w:val="32"/>
          <w14:textFill>
            <w14:solidFill>
              <w14:schemeClr w14:val="tx1"/>
            </w14:solidFill>
          </w14:textFill>
        </w:rPr>
        <w:t>个，应完成绩效工作数为</w:t>
      </w:r>
      <w:r>
        <w:rPr>
          <w:rFonts w:ascii="方正仿宋_GBK" w:hAnsi="方正仿宋_GBK" w:eastAsia="方正仿宋_GBK" w:cs="方正仿宋_GBK"/>
          <w:bCs/>
          <w:color w:val="000000" w:themeColor="text1"/>
          <w:kern w:val="0"/>
          <w:szCs w:val="32"/>
          <w14:textFill>
            <w14:solidFill>
              <w14:schemeClr w14:val="tx1"/>
            </w14:solidFill>
          </w14:textFill>
        </w:rPr>
        <w:t>3</w:t>
      </w:r>
      <w:r>
        <w:rPr>
          <w:rFonts w:hint="eastAsia" w:ascii="方正仿宋_GBK" w:hAnsi="方正仿宋_GBK" w:eastAsia="方正仿宋_GBK" w:cs="方正仿宋_GBK"/>
          <w:bCs/>
          <w:color w:val="000000" w:themeColor="text1"/>
          <w:kern w:val="0"/>
          <w:szCs w:val="32"/>
          <w14:textFill>
            <w14:solidFill>
              <w14:schemeClr w14:val="tx1"/>
            </w14:solidFill>
          </w14:textFill>
        </w:rPr>
        <w:t>个。项目执行达100%以上的项目</w:t>
      </w:r>
      <w:r>
        <w:rPr>
          <w:rFonts w:ascii="方正仿宋_GBK" w:hAnsi="方正仿宋_GBK" w:eastAsia="方正仿宋_GBK" w:cs="方正仿宋_GBK"/>
          <w:bCs/>
          <w:color w:val="000000" w:themeColor="text1"/>
          <w:kern w:val="0"/>
          <w:szCs w:val="32"/>
          <w14:textFill>
            <w14:solidFill>
              <w14:schemeClr w14:val="tx1"/>
            </w14:solidFill>
          </w14:textFill>
        </w:rPr>
        <w:t>3</w:t>
      </w:r>
      <w:r>
        <w:rPr>
          <w:rFonts w:hint="eastAsia" w:ascii="方正仿宋_GBK" w:hAnsi="方正仿宋_GBK" w:eastAsia="方正仿宋_GBK" w:cs="方正仿宋_GBK"/>
          <w:bCs/>
          <w:color w:val="000000" w:themeColor="text1"/>
          <w:kern w:val="0"/>
          <w:szCs w:val="32"/>
          <w14:textFill>
            <w14:solidFill>
              <w14:schemeClr w14:val="tx1"/>
            </w14:solidFill>
          </w14:textFill>
        </w:rPr>
        <w:t>项，项目综合完成率为100%。</w:t>
      </w:r>
    </w:p>
    <w:p>
      <w:pPr>
        <w:spacing w:line="578" w:lineRule="exact"/>
        <w:ind w:firstLine="480" w:firstLineChars="150"/>
        <w:rPr>
          <w:rFonts w:ascii="方正仿宋_GBK" w:hAnsi="方正仿宋_GBK" w:eastAsia="方正仿宋_GBK" w:cs="方正仿宋_GBK"/>
          <w:bCs/>
          <w:color w:val="000000" w:themeColor="text1"/>
          <w:kern w:val="0"/>
          <w:szCs w:val="32"/>
          <w14:textFill>
            <w14:solidFill>
              <w14:schemeClr w14:val="tx1"/>
            </w14:solidFill>
          </w14:textFill>
        </w:rPr>
      </w:pPr>
      <w:r>
        <w:rPr>
          <w:rFonts w:hint="eastAsia" w:ascii="方正仿宋_GBK" w:hAnsi="方正仿宋_GBK" w:eastAsia="方正仿宋_GBK" w:cs="方正仿宋_GBK"/>
          <w:bCs/>
          <w:color w:val="000000" w:themeColor="text1"/>
          <w:kern w:val="0"/>
          <w:szCs w:val="32"/>
          <w14:textFill>
            <w14:solidFill>
              <w14:schemeClr w14:val="tx1"/>
            </w14:solidFill>
          </w14:textFill>
        </w:rPr>
        <w:t>专项预算管理分值为40分，自评得分为40分。</w:t>
      </w:r>
    </w:p>
    <w:p>
      <w:pPr>
        <w:widowControl/>
        <w:adjustRightInd w:val="0"/>
        <w:snapToGrid w:val="0"/>
        <w:spacing w:line="578" w:lineRule="exact"/>
        <w:ind w:firstLine="640" w:firstLineChars="200"/>
        <w:contextualSpacing/>
        <w:jc w:val="left"/>
        <w:rPr>
          <w:rFonts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w:t>
      </w:r>
      <w:r>
        <w:rPr>
          <w:rFonts w:hint="eastAsia" w:ascii="方正楷体_GBK" w:hAnsi="方正楷体_GBK" w:eastAsia="方正楷体_GBK" w:cs="方正楷体_GBK"/>
          <w:color w:val="000000" w:themeColor="text1"/>
          <w:kern w:val="0"/>
          <w:szCs w:val="32"/>
          <w:shd w:val="clear" w:color="auto" w:fill="FFFFFF"/>
          <w14:textFill>
            <w14:solidFill>
              <w14:schemeClr w14:val="tx1"/>
            </w14:solidFill>
          </w14:textFill>
        </w:rPr>
        <w:t>四</w:t>
      </w: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）结果应用情况</w:t>
      </w:r>
    </w:p>
    <w:p>
      <w:pPr>
        <w:widowControl/>
        <w:adjustRightInd w:val="0"/>
        <w:snapToGrid w:val="0"/>
        <w:spacing w:line="578" w:lineRule="exact"/>
        <w:ind w:firstLine="640" w:firstLineChars="200"/>
        <w:contextualSpacing/>
        <w:jc w:val="left"/>
        <w:rPr>
          <w:rFonts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1.在“预算挂钩”方面，我</w:t>
      </w:r>
      <w:r>
        <w:rPr>
          <w:rFonts w:hint="eastAsia" w:ascii="方正仿宋_GBK" w:hAnsi="方正仿宋_GBK" w:eastAsia="方正仿宋_GBK" w:cs="方正仿宋_GBK"/>
          <w:color w:val="000000" w:themeColor="text1"/>
          <w:kern w:val="0"/>
          <w:szCs w:val="32"/>
          <w:shd w:val="clear" w:color="auto" w:fill="FFFFFF"/>
          <w14:textFill>
            <w14:solidFill>
              <w14:schemeClr w14:val="tx1"/>
            </w14:solidFill>
          </w14:textFill>
        </w:rPr>
        <w:t>单位</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已出台全面实施预算绩效管理工作方案，细化考核内容，加强各业务</w:t>
      </w:r>
      <w:r>
        <w:rPr>
          <w:rFonts w:hint="eastAsia" w:ascii="方正仿宋_GBK" w:hAnsi="方正仿宋_GBK" w:eastAsia="方正仿宋_GBK" w:cs="方正仿宋_GBK"/>
          <w:color w:val="000000" w:themeColor="text1"/>
          <w:kern w:val="0"/>
          <w:szCs w:val="32"/>
          <w:shd w:val="clear" w:color="auto" w:fill="FFFFFF"/>
          <w14:textFill>
            <w14:solidFill>
              <w14:schemeClr w14:val="tx1"/>
            </w14:solidFill>
          </w14:textFill>
        </w:rPr>
        <w:t>股</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室与绩效管理工作的联系，明确考核及绩效结果与专项预算安排挂钩举措，推动绩效管理工作更好的实施。该项指标分值为4分，自评得分</w:t>
      </w:r>
      <w:r>
        <w:rPr>
          <w:rFonts w:hint="eastAsia" w:ascii="方正仿宋_GBK" w:hAnsi="方正仿宋_GBK" w:eastAsia="方正仿宋_GBK" w:cs="方正仿宋_GBK"/>
          <w:color w:val="000000" w:themeColor="text1"/>
          <w:kern w:val="0"/>
          <w:szCs w:val="32"/>
          <w:shd w:val="clear" w:color="auto" w:fill="FFFFFF"/>
          <w14:textFill>
            <w14:solidFill>
              <w14:schemeClr w14:val="tx1"/>
            </w14:solidFill>
          </w14:textFill>
        </w:rPr>
        <w:t>4</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w:t>
      </w:r>
    </w:p>
    <w:p>
      <w:pPr>
        <w:widowControl/>
        <w:adjustRightInd w:val="0"/>
        <w:snapToGrid w:val="0"/>
        <w:spacing w:line="578" w:lineRule="exact"/>
        <w:ind w:firstLine="640" w:firstLineChars="200"/>
        <w:contextualSpacing/>
        <w:jc w:val="left"/>
        <w:rPr>
          <w:rFonts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2.在“自评公开”方面，我</w:t>
      </w:r>
      <w:r>
        <w:rPr>
          <w:rFonts w:hint="eastAsia" w:ascii="方正仿宋_GBK" w:hAnsi="方正仿宋_GBK" w:eastAsia="方正仿宋_GBK" w:cs="方正仿宋_GBK"/>
          <w:color w:val="000000" w:themeColor="text1"/>
          <w:kern w:val="0"/>
          <w:szCs w:val="32"/>
          <w:shd w:val="clear" w:color="auto" w:fill="FFFFFF"/>
          <w14:textFill>
            <w14:solidFill>
              <w14:schemeClr w14:val="tx1"/>
            </w14:solidFill>
          </w14:textFill>
        </w:rPr>
        <w:t>单位</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严格按照预决算编制要求编制绩效目标，填列绩效目标完成情况，开展绩效自评工作，并按要求将相关绩效信息随部门预算决一并在厅门户网站公开。该项指.标分值为2分，自评得分</w:t>
      </w:r>
      <w:r>
        <w:rPr>
          <w:rFonts w:hint="eastAsia" w:ascii="方正仿宋_GBK" w:hAnsi="方正仿宋_GBK" w:eastAsia="方正仿宋_GBK" w:cs="方正仿宋_GBK"/>
          <w:color w:val="000000" w:themeColor="text1"/>
          <w:kern w:val="0"/>
          <w:szCs w:val="32"/>
          <w:shd w:val="clear" w:color="auto" w:fill="FFFFFF"/>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w:t>
      </w:r>
    </w:p>
    <w:p>
      <w:pPr>
        <w:widowControl/>
        <w:adjustRightInd w:val="0"/>
        <w:snapToGrid w:val="0"/>
        <w:spacing w:line="578" w:lineRule="exact"/>
        <w:ind w:firstLine="640" w:firstLineChars="200"/>
        <w:contextualSpacing/>
        <w:jc w:val="left"/>
        <w:rPr>
          <w:rFonts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3.在“问题整改”方面，结合部门预算项目实际情况，绩效目标设置要素完整也基本做到细化量化；对发现执行进度偏低的项目，要求各业务</w:t>
      </w:r>
      <w:r>
        <w:rPr>
          <w:rFonts w:hint="eastAsia" w:ascii="方正仿宋_GBK" w:hAnsi="方正仿宋_GBK" w:eastAsia="方正仿宋_GBK" w:cs="方正仿宋_GBK"/>
          <w:color w:val="000000" w:themeColor="text1"/>
          <w:kern w:val="0"/>
          <w:szCs w:val="32"/>
          <w:shd w:val="clear" w:color="auto" w:fill="FFFFFF"/>
          <w14:textFill>
            <w14:solidFill>
              <w14:schemeClr w14:val="tx1"/>
            </w14:solidFill>
          </w14:textFill>
        </w:rPr>
        <w:t>股</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室加快预算执行进度；针对我</w:t>
      </w:r>
      <w:r>
        <w:rPr>
          <w:rFonts w:hint="eastAsia" w:ascii="方正仿宋_GBK" w:hAnsi="方正仿宋_GBK" w:eastAsia="方正仿宋_GBK" w:cs="方正仿宋_GBK"/>
          <w:color w:val="000000" w:themeColor="text1"/>
          <w:kern w:val="0"/>
          <w:szCs w:val="32"/>
          <w:shd w:val="clear" w:color="auto" w:fill="FFFFFF"/>
          <w14:textFill>
            <w14:solidFill>
              <w14:schemeClr w14:val="tx1"/>
            </w14:solidFill>
          </w14:textFill>
        </w:rPr>
        <w:t>单位</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原内部考核办法有关预算绩效考核的内容不够完善且难以量化考核的情况，及时完善了相关考核办法，细化考核指标。该项指标分值为2分，自评得分</w:t>
      </w:r>
      <w:r>
        <w:rPr>
          <w:rFonts w:hint="eastAsia" w:ascii="方正仿宋_GBK" w:hAnsi="方正仿宋_GBK" w:eastAsia="方正仿宋_GBK" w:cs="方正仿宋_GBK"/>
          <w:color w:val="000000" w:themeColor="text1"/>
          <w:kern w:val="0"/>
          <w:szCs w:val="32"/>
          <w:shd w:val="clear" w:color="auto" w:fill="FFFFFF"/>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w:t>
      </w:r>
    </w:p>
    <w:p>
      <w:pPr>
        <w:widowControl/>
        <w:adjustRightInd w:val="0"/>
        <w:snapToGrid w:val="0"/>
        <w:spacing w:line="578" w:lineRule="exact"/>
        <w:ind w:firstLine="640" w:firstLineChars="200"/>
        <w:contextualSpacing/>
        <w:jc w:val="left"/>
        <w:rPr>
          <w:rFonts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4.在应用反馈上，我</w:t>
      </w:r>
      <w:r>
        <w:rPr>
          <w:rFonts w:hint="eastAsia" w:ascii="方正仿宋_GBK" w:hAnsi="方正仿宋_GBK" w:eastAsia="方正仿宋_GBK" w:cs="方正仿宋_GBK"/>
          <w:color w:val="000000" w:themeColor="text1"/>
          <w:kern w:val="0"/>
          <w:szCs w:val="32"/>
          <w:shd w:val="clear" w:color="auto" w:fill="FFFFFF"/>
          <w14:textFill>
            <w14:solidFill>
              <w14:schemeClr w14:val="tx1"/>
            </w14:solidFill>
          </w14:textFill>
        </w:rPr>
        <w:t>单位</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已按要求在规定时间内将预算绩效结果应用结果向财政反馈。该项指标分值为</w:t>
      </w:r>
      <w:r>
        <w:rPr>
          <w:rFonts w:ascii="方正仿宋_GBK" w:hAnsi="方正仿宋_GBK" w:eastAsia="方正仿宋_GBK" w:cs="方正仿宋_GBK"/>
          <w:color w:val="000000" w:themeColor="text1"/>
          <w:kern w:val="0"/>
          <w:szCs w:val="32"/>
          <w:shd w:val="clear" w:color="auto" w:fill="FFFFFF"/>
          <w14:textFill>
            <w14:solidFill>
              <w14:schemeClr w14:val="tx1"/>
            </w14:solidFill>
          </w14:textFill>
        </w:rPr>
        <w:t>1</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分，自评得分</w:t>
      </w:r>
      <w:r>
        <w:rPr>
          <w:rFonts w:ascii="方正仿宋_GBK" w:hAnsi="方正仿宋_GBK" w:eastAsia="方正仿宋_GBK" w:cs="方正仿宋_GBK"/>
          <w:color w:val="000000" w:themeColor="text1"/>
          <w:kern w:val="0"/>
          <w:szCs w:val="32"/>
          <w:shd w:val="clear" w:color="auto" w:fill="FFFFFF"/>
          <w14:textFill>
            <w14:solidFill>
              <w14:schemeClr w14:val="tx1"/>
            </w14:solidFill>
          </w14:textFill>
        </w:rPr>
        <w:t>1</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w:t>
      </w:r>
    </w:p>
    <w:p>
      <w:pPr>
        <w:widowControl/>
        <w:adjustRightInd w:val="0"/>
        <w:snapToGrid w:val="0"/>
        <w:spacing w:line="578" w:lineRule="exact"/>
        <w:ind w:firstLine="640" w:firstLineChars="200"/>
        <w:contextualSpacing/>
        <w:jc w:val="left"/>
        <w:rPr>
          <w:rFonts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w:t>
      </w:r>
      <w:r>
        <w:rPr>
          <w:rFonts w:hint="eastAsia" w:ascii="方正楷体_GBK" w:hAnsi="方正楷体_GBK" w:eastAsia="方正楷体_GBK" w:cs="方正楷体_GBK"/>
          <w:color w:val="000000" w:themeColor="text1"/>
          <w:kern w:val="0"/>
          <w:szCs w:val="32"/>
          <w:shd w:val="clear" w:color="auto" w:fill="FFFFFF"/>
          <w14:textFill>
            <w14:solidFill>
              <w14:schemeClr w14:val="tx1"/>
            </w14:solidFill>
          </w14:textFill>
        </w:rPr>
        <w:t>五</w:t>
      </w: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）自评质量情况</w:t>
      </w:r>
    </w:p>
    <w:p>
      <w:pPr>
        <w:widowControl/>
        <w:adjustRightInd w:val="0"/>
        <w:snapToGrid w:val="0"/>
        <w:spacing w:line="578" w:lineRule="exact"/>
        <w:ind w:firstLine="640" w:firstLineChars="200"/>
        <w:contextualSpacing/>
        <w:jc w:val="left"/>
        <w:rPr>
          <w:rFonts w:ascii="方正仿宋_GBK" w:hAnsi="方正仿宋_GBK" w:eastAsia="方正仿宋_GBK" w:cs="方正仿宋_GBK"/>
          <w:color w:val="000000" w:themeColor="text1"/>
          <w:kern w:val="0"/>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14:textFill>
            <w14:solidFill>
              <w14:schemeClr w14:val="tx1"/>
            </w14:solidFill>
          </w14:textFill>
        </w:rPr>
        <w:t>我单位</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整体支出自评准确率较高，</w:t>
      </w:r>
      <w:r>
        <w:rPr>
          <w:rFonts w:hint="eastAsia" w:ascii="方正仿宋_GBK" w:hAnsi="方正仿宋_GBK" w:eastAsia="方正仿宋_GBK" w:cs="方正仿宋_GBK"/>
          <w:color w:val="000000" w:themeColor="text1"/>
          <w:kern w:val="0"/>
          <w:szCs w:val="32"/>
          <w:shd w:val="clear" w:color="auto" w:fill="FFFFFF"/>
          <w14:textFill>
            <w14:solidFill>
              <w14:schemeClr w14:val="tx1"/>
            </w14:solidFill>
          </w14:textFill>
        </w:rPr>
        <w:t>且全面开展自评</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w:t>
      </w:r>
      <w:r>
        <w:rPr>
          <w:rFonts w:hint="eastAsia" w:ascii="方正仿宋_GBK" w:hAnsi="方正仿宋_GBK" w:eastAsia="方正仿宋_GBK" w:cs="方正仿宋_GBK"/>
          <w:color w:val="000000" w:themeColor="text1"/>
          <w:kern w:val="0"/>
          <w:szCs w:val="32"/>
          <w:shd w:val="clear" w:color="auto" w:fill="FFFFFF"/>
          <w14:textFill>
            <w14:solidFill>
              <w14:schemeClr w14:val="tx1"/>
            </w14:solidFill>
          </w14:textFill>
        </w:rPr>
        <w:t>自评质量分值为10分，由主管部门、财政部门考评，单位自评实际总分为90分。</w:t>
      </w:r>
    </w:p>
    <w:p>
      <w:pPr>
        <w:widowControl/>
        <w:adjustRightInd w:val="0"/>
        <w:snapToGrid w:val="0"/>
        <w:spacing w:line="578" w:lineRule="exact"/>
        <w:ind w:firstLine="640" w:firstLineChars="200"/>
        <w:contextualSpacing/>
        <w:jc w:val="left"/>
        <w:rPr>
          <w:rFonts w:ascii="方正仿宋_GBK" w:hAnsi="方正仿宋_GBK" w:eastAsia="方正仿宋_GBK" w:cs="方正仿宋_GBK"/>
          <w:color w:val="000000" w:themeColor="text1"/>
          <w:kern w:val="0"/>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202</w:t>
      </w:r>
      <w:r>
        <w:rPr>
          <w:rFonts w:hint="eastAsia" w:ascii="方正仿宋_GBK" w:hAnsi="方正仿宋_GBK" w:eastAsia="方正仿宋_GBK" w:cs="方正仿宋_GBK"/>
          <w:color w:val="000000" w:themeColor="text1"/>
          <w:kern w:val="0"/>
          <w:szCs w:val="32"/>
          <w:shd w:val="clear" w:color="auto" w:fill="FFFFFF"/>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年</w:t>
      </w:r>
      <w:r>
        <w:rPr>
          <w:rFonts w:hint="eastAsia" w:ascii="方正仿宋_GBK" w:hAnsi="方正仿宋_GBK" w:eastAsia="方正仿宋_GBK" w:cs="方正仿宋_GBK"/>
          <w:color w:val="000000" w:themeColor="text1"/>
          <w:kern w:val="0"/>
          <w:szCs w:val="32"/>
          <w:shd w:val="clear" w:color="auto" w:fill="FFFFFF"/>
          <w14:textFill>
            <w14:solidFill>
              <w14:schemeClr w14:val="tx1"/>
            </w14:solidFill>
          </w14:textFill>
        </w:rPr>
        <w:t>我单位</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整体支出绩效自评得分</w:t>
      </w:r>
      <w:r>
        <w:rPr>
          <w:rFonts w:hint="eastAsia" w:ascii="方正仿宋_GBK" w:hAnsi="方正仿宋_GBK" w:eastAsia="方正仿宋_GBK" w:cs="方正仿宋_GBK"/>
          <w:color w:val="000000" w:themeColor="text1"/>
          <w:kern w:val="0"/>
          <w:szCs w:val="32"/>
          <w:shd w:val="clear" w:color="auto" w:fill="FFFFFF"/>
          <w14:textFill>
            <w14:solidFill>
              <w14:schemeClr w14:val="tx1"/>
            </w14:solidFill>
          </w14:textFill>
        </w:rPr>
        <w:t>实际为8</w:t>
      </w:r>
      <w:r>
        <w:rPr>
          <w:rFonts w:ascii="方正仿宋_GBK" w:hAnsi="方正仿宋_GBK" w:eastAsia="方正仿宋_GBK" w:cs="方正仿宋_GBK"/>
          <w:color w:val="000000" w:themeColor="text1"/>
          <w:kern w:val="0"/>
          <w:szCs w:val="32"/>
          <w:shd w:val="clear" w:color="auto" w:fill="FFFFFF"/>
          <w14:textFill>
            <w14:solidFill>
              <w14:schemeClr w14:val="tx1"/>
            </w14:solidFill>
          </w14:textFill>
        </w:rPr>
        <w:t>5</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w:t>
      </w:r>
    </w:p>
    <w:p>
      <w:pPr>
        <w:widowControl/>
        <w:adjustRightInd w:val="0"/>
        <w:snapToGrid w:val="0"/>
        <w:spacing w:line="578" w:lineRule="exact"/>
        <w:ind w:firstLine="640" w:firstLineChars="200"/>
        <w:contextualSpacing/>
        <w:jc w:val="left"/>
        <w:rPr>
          <w:rFonts w:ascii="方正黑体_GBK" w:hAnsi="方正黑体_GBK" w:eastAsia="方正黑体_GBK" w:cs="方正黑体_GBK"/>
          <w:color w:val="000000" w:themeColor="text1"/>
          <w:kern w:val="0"/>
          <w:szCs w:val="32"/>
          <w:shd w:val="clear" w:color="auto" w:fill="FFFFFF"/>
          <w:lang w:val="zh-CN"/>
          <w14:textFill>
            <w14:solidFill>
              <w14:schemeClr w14:val="tx1"/>
            </w14:solidFill>
          </w14:textFill>
        </w:rPr>
      </w:pPr>
      <w:r>
        <w:rPr>
          <w:rFonts w:hint="eastAsia" w:ascii="方正黑体_GBK" w:hAnsi="方正黑体_GBK" w:eastAsia="方正黑体_GBK" w:cs="方正黑体_GBK"/>
          <w:color w:val="000000" w:themeColor="text1"/>
          <w:kern w:val="0"/>
          <w:szCs w:val="32"/>
          <w:shd w:val="clear" w:color="auto" w:fill="FFFFFF"/>
          <w:lang w:val="zh-CN"/>
          <w14:textFill>
            <w14:solidFill>
              <w14:schemeClr w14:val="tx1"/>
            </w14:solidFill>
          </w14:textFill>
        </w:rPr>
        <w:t>四、评价结论及建议</w:t>
      </w:r>
    </w:p>
    <w:p>
      <w:pPr>
        <w:widowControl/>
        <w:adjustRightInd w:val="0"/>
        <w:snapToGrid w:val="0"/>
        <w:spacing w:line="578" w:lineRule="exact"/>
        <w:ind w:firstLine="640" w:firstLineChars="200"/>
        <w:contextualSpacing/>
        <w:jc w:val="left"/>
        <w:rPr>
          <w:rFonts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（一）评价结论</w:t>
      </w:r>
    </w:p>
    <w:p>
      <w:pPr>
        <w:widowControl/>
        <w:adjustRightInd w:val="0"/>
        <w:snapToGrid w:val="0"/>
        <w:spacing w:line="578" w:lineRule="exact"/>
        <w:ind w:firstLine="640" w:firstLineChars="200"/>
        <w:contextualSpacing/>
        <w:jc w:val="left"/>
        <w:rPr>
          <w:rFonts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按照202</w:t>
      </w:r>
      <w:r>
        <w:rPr>
          <w:rFonts w:hint="eastAsia" w:ascii="方正仿宋_GBK" w:hAnsi="方正仿宋_GBK" w:eastAsia="方正仿宋_GBK" w:cs="方正仿宋_GBK"/>
          <w:color w:val="000000" w:themeColor="text1"/>
          <w:kern w:val="0"/>
          <w:szCs w:val="32"/>
          <w:shd w:val="clear" w:color="auto" w:fill="FFFFFF"/>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年度</w:t>
      </w:r>
      <w:r>
        <w:rPr>
          <w:rFonts w:hint="eastAsia" w:ascii="方正仿宋_GBK" w:hAnsi="方正仿宋_GBK" w:eastAsia="方正仿宋_GBK" w:cs="方正仿宋_GBK"/>
          <w:color w:val="000000" w:themeColor="text1"/>
          <w:kern w:val="0"/>
          <w:szCs w:val="32"/>
          <w:shd w:val="clear" w:color="auto" w:fill="FFFFFF"/>
          <w14:textFill>
            <w14:solidFill>
              <w14:schemeClr w14:val="tx1"/>
            </w14:solidFill>
          </w14:textFill>
        </w:rPr>
        <w:t>区</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级部门整体支出绩效评价指标体系，绩效评价总分</w:t>
      </w:r>
      <w:r>
        <w:rPr>
          <w:rFonts w:hint="eastAsia" w:ascii="方正仿宋_GBK" w:hAnsi="方正仿宋_GBK" w:eastAsia="方正仿宋_GBK" w:cs="方正仿宋_GBK"/>
          <w:color w:val="000000" w:themeColor="text1"/>
          <w:kern w:val="0"/>
          <w:szCs w:val="32"/>
          <w:shd w:val="clear" w:color="auto" w:fill="FFFFFF"/>
          <w14:textFill>
            <w14:solidFill>
              <w14:schemeClr w14:val="tx1"/>
            </w14:solidFill>
          </w14:textFill>
        </w:rPr>
        <w:t>90</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分，我</w:t>
      </w:r>
      <w:r>
        <w:rPr>
          <w:rFonts w:hint="eastAsia" w:ascii="方正仿宋_GBK" w:hAnsi="方正仿宋_GBK" w:eastAsia="方正仿宋_GBK" w:cs="方正仿宋_GBK"/>
          <w:color w:val="000000" w:themeColor="text1"/>
          <w:kern w:val="0"/>
          <w:szCs w:val="32"/>
          <w:shd w:val="clear" w:color="auto" w:fill="FFFFFF"/>
          <w14:textFill>
            <w14:solidFill>
              <w14:schemeClr w14:val="tx1"/>
            </w14:solidFill>
          </w14:textFill>
        </w:rPr>
        <w:t>单位</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得分</w:t>
      </w:r>
      <w:r>
        <w:rPr>
          <w:rFonts w:hint="eastAsia" w:ascii="方正仿宋_GBK" w:hAnsi="方正仿宋_GBK" w:eastAsia="方正仿宋_GBK" w:cs="方正仿宋_GBK"/>
          <w:color w:val="000000" w:themeColor="text1"/>
          <w:kern w:val="0"/>
          <w:szCs w:val="32"/>
          <w:shd w:val="clear" w:color="auto" w:fill="FFFFFF"/>
          <w14:textFill>
            <w14:solidFill>
              <w14:schemeClr w14:val="tx1"/>
            </w14:solidFill>
          </w14:textFill>
        </w:rPr>
        <w:t>8</w:t>
      </w:r>
      <w:r>
        <w:rPr>
          <w:rFonts w:ascii="方正仿宋_GBK" w:hAnsi="方正仿宋_GBK" w:eastAsia="方正仿宋_GBK" w:cs="方正仿宋_GBK"/>
          <w:color w:val="000000" w:themeColor="text1"/>
          <w:kern w:val="0"/>
          <w:szCs w:val="32"/>
          <w:shd w:val="clear" w:color="auto" w:fill="FFFFFF"/>
          <w14:textFill>
            <w14:solidFill>
              <w14:schemeClr w14:val="tx1"/>
            </w14:solidFill>
          </w14:textFill>
        </w:rPr>
        <w:t>5</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w:t>
      </w:r>
      <w:r>
        <w:rPr>
          <w:rFonts w:hint="eastAsia" w:ascii="方正仿宋_GBK" w:hAnsi="方正仿宋_GBK" w:eastAsia="方正仿宋_GBK" w:cs="方正仿宋_GBK"/>
          <w:color w:val="000000" w:themeColor="text1"/>
          <w:kern w:val="0"/>
          <w:szCs w:val="32"/>
          <w:shd w:val="clear" w:color="auto" w:fill="FFFFFF"/>
          <w14:textFill>
            <w14:solidFill>
              <w14:schemeClr w14:val="tx1"/>
            </w14:solidFill>
          </w14:textFill>
        </w:rPr>
        <w:t>详见《2023年整体支出绩效评价指标体系表》）。</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基本完成了年度预算绩效管理目标，扣分项主要涉及预算调整金额偏大和个别时间节点预算执行进度不高。</w:t>
      </w:r>
    </w:p>
    <w:p>
      <w:pPr>
        <w:widowControl/>
        <w:adjustRightInd w:val="0"/>
        <w:snapToGrid w:val="0"/>
        <w:spacing w:line="578" w:lineRule="exact"/>
        <w:ind w:firstLine="640" w:firstLineChars="200"/>
        <w:contextualSpacing/>
        <w:jc w:val="left"/>
        <w:rPr>
          <w:rFonts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（二）存在问题</w:t>
      </w:r>
    </w:p>
    <w:p>
      <w:pPr>
        <w:widowControl/>
        <w:adjustRightInd w:val="0"/>
        <w:snapToGrid w:val="0"/>
        <w:spacing w:line="578" w:lineRule="exact"/>
        <w:ind w:firstLine="640" w:firstLineChars="200"/>
        <w:contextualSpacing/>
        <w:jc w:val="left"/>
        <w:rPr>
          <w:rFonts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一是绩效管理意识还有待加强。 绩效管理目标细化量化方式较为单一，前期对预算项目定位、功能、实施内容梳理不够深入，项目资金绩效目标设置不够合理。</w:t>
      </w:r>
    </w:p>
    <w:p>
      <w:pPr>
        <w:widowControl/>
        <w:adjustRightInd w:val="0"/>
        <w:snapToGrid w:val="0"/>
        <w:spacing w:line="578" w:lineRule="exact"/>
        <w:ind w:firstLine="640" w:firstLineChars="200"/>
        <w:contextualSpacing/>
        <w:jc w:val="left"/>
        <w:rPr>
          <w:rFonts w:ascii="方正仿宋_GBK" w:hAnsi="方正仿宋_GBK" w:eastAsia="方正仿宋_GBK" w:cs="方正仿宋_GBK"/>
          <w:color w:val="000000" w:themeColor="text1"/>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二是预算执行力度不强，预算执行进度偏慢。</w:t>
      </w:r>
    </w:p>
    <w:p>
      <w:pPr>
        <w:widowControl/>
        <w:adjustRightInd w:val="0"/>
        <w:snapToGrid w:val="0"/>
        <w:spacing w:line="578" w:lineRule="exact"/>
        <w:ind w:firstLine="640" w:firstLineChars="200"/>
        <w:contextualSpacing/>
        <w:jc w:val="left"/>
        <w:rPr>
          <w:rFonts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（三）改进措施</w:t>
      </w:r>
    </w:p>
    <w:p>
      <w:pPr>
        <w:widowControl/>
        <w:adjustRightInd w:val="0"/>
        <w:snapToGrid w:val="0"/>
        <w:spacing w:line="578" w:lineRule="exact"/>
        <w:ind w:firstLine="640" w:firstLineChars="200"/>
        <w:contextualSpacing/>
        <w:jc w:val="left"/>
        <w:rPr>
          <w:rFonts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202</w:t>
      </w:r>
      <w:r>
        <w:rPr>
          <w:rFonts w:hint="eastAsia" w:ascii="方正仿宋_GBK" w:hAnsi="方正仿宋_GBK" w:eastAsia="方正仿宋_GBK" w:cs="方正仿宋_GBK"/>
          <w:color w:val="000000" w:themeColor="text1"/>
          <w:kern w:val="0"/>
          <w:szCs w:val="32"/>
          <w:shd w:val="clear" w:color="auto" w:fill="FFFFFF"/>
          <w14:textFill>
            <w14:solidFill>
              <w14:schemeClr w14:val="tx1"/>
            </w14:solidFill>
          </w14:textFill>
        </w:rPr>
        <w:t>3</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年，我</w:t>
      </w:r>
      <w:r>
        <w:rPr>
          <w:rFonts w:hint="eastAsia" w:ascii="方正仿宋_GBK" w:hAnsi="方正仿宋_GBK" w:eastAsia="方正仿宋_GBK" w:cs="方正仿宋_GBK"/>
          <w:color w:val="000000" w:themeColor="text1"/>
          <w:kern w:val="0"/>
          <w:szCs w:val="32"/>
          <w:shd w:val="clear" w:color="auto" w:fill="FFFFFF"/>
          <w14:textFill>
            <w14:solidFill>
              <w14:schemeClr w14:val="tx1"/>
            </w14:solidFill>
          </w14:textFill>
        </w:rPr>
        <w:t>单位</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将采取以下措施，提升预算绩效工作水平。一是继续加强预算统筹调控，把握工作重点，加强沟通协调，按照“统筹兼顾、突出重点、厉行节约、讲求效益”的原则统筹预算，保障单位正常运转和履行各项职能开支需要，力争202</w:t>
      </w:r>
      <w:r>
        <w:rPr>
          <w:rFonts w:hint="eastAsia" w:ascii="方正仿宋_GBK" w:hAnsi="方正仿宋_GBK" w:eastAsia="方正仿宋_GBK" w:cs="方正仿宋_GBK"/>
          <w:color w:val="000000" w:themeColor="text1"/>
          <w:kern w:val="0"/>
          <w:szCs w:val="32"/>
          <w:shd w:val="clear" w:color="auto" w:fill="FFFFFF"/>
          <w14:textFill>
            <w14:solidFill>
              <w14:schemeClr w14:val="tx1"/>
            </w14:solidFill>
          </w14:textFill>
        </w:rPr>
        <w:t>3</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年预算执行进度在202</w:t>
      </w:r>
      <w:r>
        <w:rPr>
          <w:rFonts w:hint="eastAsia" w:ascii="方正仿宋_GBK" w:hAnsi="方正仿宋_GBK" w:eastAsia="方正仿宋_GBK" w:cs="方正仿宋_GBK"/>
          <w:color w:val="000000" w:themeColor="text1"/>
          <w:kern w:val="0"/>
          <w:szCs w:val="32"/>
          <w:shd w:val="clear" w:color="auto" w:fill="FFFFFF"/>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年基础上更进一步。加快预算执行进度，增强预算约束力，适时对预算执行、绩效监控、绩效考评情况进行通报。根据工作实际进一步优化预算绩效管理考核的制度办法，加大预算绩效管理工作宣传力度，逐步建立资金绩效意识，使资金绩效观念深入人心，充分发挥预算资金管理使用绩效。</w:t>
      </w:r>
    </w:p>
    <w:p>
      <w:pPr>
        <w:widowControl/>
        <w:adjustRightInd w:val="0"/>
        <w:snapToGrid w:val="0"/>
        <w:spacing w:line="578" w:lineRule="exact"/>
        <w:ind w:firstLine="640" w:firstLineChars="200"/>
        <w:contextualSpacing/>
        <w:jc w:val="left"/>
        <w:rPr>
          <w:rFonts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二是进一步加强队伍能力建设。强化业务培训，提高预算编制的科学化和精细化程度。在财政部门的指导下，定期组织开展预算编制培训工作，增强财务人员预算精细化管理的意识，提高预算精细化管理的能力。</w:t>
      </w:r>
    </w:p>
    <w:p>
      <w:pPr>
        <w:widowControl/>
        <w:adjustRightInd w:val="0"/>
        <w:snapToGrid w:val="0"/>
        <w:spacing w:line="578" w:lineRule="exact"/>
        <w:ind w:firstLine="640" w:firstLineChars="200"/>
        <w:contextualSpacing/>
        <w:jc w:val="left"/>
        <w:rPr>
          <w:rFonts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三是提高预算绩效管理工作意识，按照预算绩效管理工作方案要求，明确职责分工，压实主体责任，强化各具体项目承办.</w:t>
      </w:r>
      <w:r>
        <w:rPr>
          <w:rFonts w:hint="eastAsia" w:ascii="方正仿宋_GBK" w:hAnsi="方正仿宋_GBK" w:eastAsia="方正仿宋_GBK" w:cs="方正仿宋_GBK"/>
          <w:color w:val="000000" w:themeColor="text1"/>
          <w:kern w:val="0"/>
          <w:szCs w:val="32"/>
          <w:shd w:val="clear" w:color="auto" w:fill="FFFFFF"/>
          <w14:textFill>
            <w14:solidFill>
              <w14:schemeClr w14:val="tx1"/>
            </w14:solidFill>
          </w14:textFill>
        </w:rPr>
        <w:t>股</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室的资金绩效管理意识，加强对项目需求的论证，合理测算预算资金，提高预算编制的准确性和科学性，确保预算具有较强的指引性、调控性和操作性.三是统筹安排政府采购项目，科学规划，提前介入，充分考.虑各种影响项目进度的因素，提前做好预案，保证在预算资金下达后能尽快进入采购程序，提高政府采购的执行进度和项目的实施效率。</w:t>
      </w:r>
    </w:p>
    <w:p>
      <w:pPr>
        <w:widowControl/>
        <w:adjustRightInd w:val="0"/>
        <w:snapToGrid w:val="0"/>
        <w:spacing w:line="578" w:lineRule="exact"/>
        <w:ind w:firstLine="640" w:firstLineChars="200"/>
        <w:contextualSpacing/>
        <w:jc w:val="left"/>
        <w:rPr>
          <w:rFonts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p>
    <w:p>
      <w:pPr>
        <w:widowControl/>
        <w:adjustRightInd w:val="0"/>
        <w:snapToGrid w:val="0"/>
        <w:spacing w:line="578" w:lineRule="exact"/>
        <w:ind w:firstLine="640" w:firstLineChars="200"/>
        <w:contextualSpacing/>
        <w:jc w:val="left"/>
        <w:rPr>
          <w:rFonts w:ascii="方正仿宋_GBK" w:hAnsi="方正仿宋_GBK" w:eastAsia="方正仿宋_GBK" w:cs="方正仿宋_GBK"/>
          <w:color w:val="000000" w:themeColor="text1"/>
          <w:kern w:val="0"/>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14:textFill>
            <w14:solidFill>
              <w14:schemeClr w14:val="tx1"/>
            </w14:solidFill>
          </w14:textFill>
        </w:rPr>
        <w:t>附件：</w:t>
      </w:r>
    </w:p>
    <w:p>
      <w:pPr>
        <w:spacing w:line="578" w:lineRule="exact"/>
        <w:ind w:firstLine="1280" w:firstLineChars="400"/>
        <w:rPr>
          <w:rFonts w:ascii="方正仿宋_GBK" w:hAnsi="方正仿宋_GBK" w:eastAsia="方正仿宋_GBK" w:cs="方正仿宋_GBK"/>
          <w:color w:val="000000" w:themeColor="text1"/>
          <w:kern w:val="0"/>
          <w:szCs w:val="32"/>
          <w:shd w:val="clear" w:color="auto" w:fill="FFFFFF"/>
          <w14:textFill>
            <w14:solidFill>
              <w14:schemeClr w14:val="tx1"/>
            </w14:solidFill>
          </w14:textFill>
        </w:rPr>
      </w:pPr>
      <w:r>
        <w:rPr>
          <w:rFonts w:ascii="方正仿宋_GBK" w:hAnsi="方正仿宋_GBK" w:eastAsia="方正仿宋_GBK" w:cs="方正仿宋_GBK"/>
          <w:color w:val="000000" w:themeColor="text1"/>
          <w:kern w:val="0"/>
          <w:szCs w:val="32"/>
          <w:shd w:val="clear" w:color="auto" w:fill="FFFFFF"/>
          <w14:textFill>
            <w14:solidFill>
              <w14:schemeClr w14:val="tx1"/>
            </w14:solidFill>
          </w14:textFill>
        </w:rPr>
        <w:t>1</w:t>
      </w:r>
      <w:r>
        <w:rPr>
          <w:rFonts w:hint="eastAsia" w:ascii="方正仿宋_GBK" w:hAnsi="方正仿宋_GBK" w:eastAsia="方正仿宋_GBK" w:cs="方正仿宋_GBK"/>
          <w:color w:val="000000" w:themeColor="text1"/>
          <w:kern w:val="0"/>
          <w:szCs w:val="32"/>
          <w:shd w:val="clear" w:color="auto" w:fill="FFFFFF"/>
          <w14:textFill>
            <w14:solidFill>
              <w14:schemeClr w14:val="tx1"/>
            </w14:solidFill>
          </w14:textFill>
        </w:rPr>
        <w:t>.2022年特定目标类部门预算项目绩效目标自评（项目名称：购买安保服务专项）</w:t>
      </w:r>
    </w:p>
    <w:p>
      <w:pPr>
        <w:spacing w:line="578" w:lineRule="exact"/>
        <w:ind w:firstLine="1280" w:firstLineChars="400"/>
        <w:rPr>
          <w:rFonts w:hint="eastAsia" w:ascii="方正仿宋_GBK" w:hAnsi="方正仿宋_GBK" w:eastAsia="方正仿宋_GBK" w:cs="方正仿宋_GBK"/>
          <w:color w:val="000000" w:themeColor="text1"/>
          <w:kern w:val="0"/>
          <w:szCs w:val="32"/>
          <w:shd w:val="clear" w:color="auto" w:fill="FFFFFF"/>
          <w14:textFill>
            <w14:solidFill>
              <w14:schemeClr w14:val="tx1"/>
            </w14:solidFill>
          </w14:textFill>
        </w:rPr>
      </w:pPr>
      <w:r>
        <w:rPr>
          <w:rFonts w:ascii="方正仿宋_GBK" w:hAnsi="方正仿宋_GBK" w:eastAsia="方正仿宋_GBK" w:cs="方正仿宋_GBK"/>
          <w:color w:val="000000" w:themeColor="text1"/>
          <w:kern w:val="0"/>
          <w:szCs w:val="32"/>
          <w:shd w:val="clear" w:color="auto" w:fill="FFFFFF"/>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14:textFill>
            <w14:solidFill>
              <w14:schemeClr w14:val="tx1"/>
            </w14:solidFill>
          </w14:textFill>
        </w:rPr>
        <w:t>.2022年特定目标类部门预算项目绩效目标自评（项目名称：营养餐专项）</w:t>
      </w:r>
    </w:p>
    <w:p>
      <w:pPr>
        <w:spacing w:line="578" w:lineRule="exact"/>
        <w:ind w:firstLine="960" w:firstLineChars="300"/>
        <w:rPr>
          <w:rFonts w:hint="eastAsia" w:ascii="方正仿宋_GBK" w:hAnsi="方正仿宋_GBK" w:eastAsia="方正仿宋_GBK" w:cs="方正仿宋_GBK"/>
          <w:color w:val="000000" w:themeColor="text1"/>
          <w14:textFill>
            <w14:solidFill>
              <w14:schemeClr w14:val="tx1"/>
            </w14:solidFill>
          </w14:textFill>
        </w:rPr>
      </w:pPr>
      <w:r>
        <w:t xml:space="preserve">  </w:t>
      </w:r>
      <w:r>
        <w:rPr>
          <w:rFonts w:ascii="方正仿宋_GBK" w:hAnsi="方正仿宋_GBK" w:eastAsia="方正仿宋_GBK" w:cs="方正仿宋_GBK"/>
          <w:color w:val="000000" w:themeColor="text1"/>
          <w:kern w:val="0"/>
          <w:szCs w:val="32"/>
          <w:shd w:val="clear" w:color="auto" w:fill="FFFFFF"/>
          <w14:textFill>
            <w14:solidFill>
              <w14:schemeClr w14:val="tx1"/>
            </w14:solidFill>
          </w14:textFill>
        </w:rPr>
        <w:t>3</w:t>
      </w:r>
      <w:r>
        <w:rPr>
          <w:rFonts w:hint="eastAsia" w:ascii="方正仿宋_GBK" w:hAnsi="方正仿宋_GBK" w:eastAsia="方正仿宋_GBK" w:cs="方正仿宋_GBK"/>
          <w:color w:val="000000" w:themeColor="text1"/>
          <w:kern w:val="0"/>
          <w:szCs w:val="32"/>
          <w:shd w:val="clear" w:color="auto" w:fill="FFFFFF"/>
          <w14:textFill>
            <w14:solidFill>
              <w14:schemeClr w14:val="tx1"/>
            </w14:solidFill>
          </w14:textFill>
        </w:rPr>
        <w:t>.2022年特定目标类部门预算项目绩效目标自评（项目名称：购买食堂服务专项）</w:t>
      </w:r>
    </w:p>
    <w:p>
      <w:pPr>
        <w:spacing w:line="578" w:lineRule="exact"/>
        <w:ind w:firstLine="1280" w:firstLineChars="400"/>
        <w:rPr>
          <w:rFonts w:ascii="方正仿宋_GBK" w:hAnsi="方正仿宋_GBK" w:eastAsia="方正仿宋_GBK" w:cs="方正仿宋_GBK"/>
          <w:color w:val="000000" w:themeColor="text1"/>
          <w:kern w:val="0"/>
          <w:szCs w:val="32"/>
          <w:shd w:val="clear" w:color="auto" w:fill="FFFFFF"/>
          <w14:textFill>
            <w14:solidFill>
              <w14:schemeClr w14:val="tx1"/>
            </w14:solidFill>
          </w14:textFill>
        </w:rPr>
      </w:pPr>
      <w:r>
        <w:rPr>
          <w:rFonts w:ascii="方正仿宋_GBK" w:hAnsi="方正仿宋_GBK" w:eastAsia="方正仿宋_GBK" w:cs="方正仿宋_GBK"/>
          <w:color w:val="000000" w:themeColor="text1"/>
          <w:kern w:val="0"/>
          <w:szCs w:val="32"/>
          <w:shd w:val="clear" w:color="auto" w:fill="FFFFFF"/>
          <w14:textFill>
            <w14:solidFill>
              <w14:schemeClr w14:val="tx1"/>
            </w14:solidFill>
          </w14:textFill>
        </w:rPr>
        <w:t>4</w:t>
      </w:r>
      <w:r>
        <w:rPr>
          <w:rFonts w:hint="eastAsia" w:ascii="方正仿宋_GBK" w:hAnsi="方正仿宋_GBK" w:eastAsia="方正仿宋_GBK" w:cs="方正仿宋_GBK"/>
          <w:color w:val="000000" w:themeColor="text1"/>
          <w:kern w:val="0"/>
          <w:szCs w:val="32"/>
          <w:shd w:val="clear" w:color="auto" w:fill="FFFFFF"/>
          <w14:textFill>
            <w14:solidFill>
              <w14:schemeClr w14:val="tx1"/>
            </w14:solidFill>
          </w14:textFill>
        </w:rPr>
        <w:t>.达川区石梯镇中心小学2023年整体支出绩效评价指标体系表</w:t>
      </w:r>
    </w:p>
    <w:p>
      <w:pPr>
        <w:spacing w:line="578" w:lineRule="exact"/>
        <w:rPr>
          <w:rFonts w:ascii="方正仿宋_GBK" w:hAnsi="方正仿宋_GBK" w:eastAsia="方正仿宋_GBK" w:cs="方正仿宋_GBK"/>
          <w:color w:val="000000" w:themeColor="text1"/>
          <w14:textFill>
            <w14:solidFill>
              <w14:schemeClr w14:val="tx1"/>
            </w14:solidFill>
          </w14:textFill>
        </w:rPr>
      </w:pPr>
    </w:p>
    <w:p>
      <w:pPr>
        <w:widowControl/>
        <w:wordWrap w:val="0"/>
        <w:adjustRightInd w:val="0"/>
        <w:snapToGrid w:val="0"/>
        <w:spacing w:line="578" w:lineRule="exact"/>
        <w:ind w:firstLine="640" w:firstLineChars="200"/>
        <w:contextualSpacing/>
        <w:jc w:val="right"/>
        <w:rPr>
          <w:rFonts w:ascii="方正仿宋_GBK" w:hAnsi="方正仿宋_GBK" w:eastAsia="方正仿宋_GBK" w:cs="方正仿宋_GBK"/>
          <w:color w:val="000000" w:themeColor="text1"/>
          <w:kern w:val="0"/>
          <w:szCs w:val="32"/>
          <w:shd w:val="clear" w:color="auto" w:fill="FFFFFF"/>
          <w14:textFill>
            <w14:solidFill>
              <w14:schemeClr w14:val="tx1"/>
            </w14:solidFill>
          </w14:textFill>
        </w:rPr>
      </w:pPr>
    </w:p>
    <w:p>
      <w:pPr>
        <w:widowControl/>
        <w:wordWrap w:val="0"/>
        <w:adjustRightInd w:val="0"/>
        <w:snapToGrid w:val="0"/>
        <w:spacing w:line="578" w:lineRule="exact"/>
        <w:contextualSpacing/>
        <w:rPr>
          <w:rFonts w:ascii="方正仿宋_GBK" w:hAnsi="方正仿宋_GBK" w:eastAsia="方正仿宋_GBK" w:cs="方正仿宋_GBK"/>
          <w:color w:val="000000" w:themeColor="text1"/>
          <w:kern w:val="0"/>
          <w:szCs w:val="32"/>
          <w:shd w:val="clear" w:color="auto" w:fill="FFFFFF"/>
          <w14:textFill>
            <w14:solidFill>
              <w14:schemeClr w14:val="tx1"/>
            </w14:solidFill>
          </w14:textFill>
        </w:rPr>
      </w:pPr>
    </w:p>
    <w:p>
      <w:pPr>
        <w:widowControl/>
        <w:wordWrap w:val="0"/>
        <w:adjustRightInd w:val="0"/>
        <w:snapToGrid w:val="0"/>
        <w:spacing w:line="578" w:lineRule="exact"/>
        <w:ind w:firstLine="640" w:firstLineChars="200"/>
        <w:contextualSpacing/>
        <w:jc w:val="right"/>
        <w:rPr>
          <w:rFonts w:ascii="方正仿宋_GBK" w:hAnsi="方正仿宋_GBK" w:eastAsia="方正仿宋_GBK" w:cs="方正仿宋_GBK"/>
          <w:color w:val="000000" w:themeColor="text1"/>
          <w:kern w:val="0"/>
          <w:szCs w:val="32"/>
          <w:shd w:val="clear" w:color="auto" w:fill="FFFFFF"/>
          <w14:textFill>
            <w14:solidFill>
              <w14:schemeClr w14:val="tx1"/>
            </w14:solidFill>
          </w14:textFill>
        </w:rPr>
      </w:pPr>
    </w:p>
    <w:p>
      <w:pPr>
        <w:widowControl/>
        <w:wordWrap w:val="0"/>
        <w:adjustRightInd w:val="0"/>
        <w:snapToGrid w:val="0"/>
        <w:spacing w:line="578" w:lineRule="exact"/>
        <w:ind w:firstLine="640" w:firstLineChars="200"/>
        <w:contextualSpacing/>
        <w:jc w:val="center"/>
        <w:rPr>
          <w:rFonts w:ascii="方正仿宋_GBK" w:hAnsi="方正仿宋_GBK" w:eastAsia="方正仿宋_GBK" w:cs="方正仿宋_GBK"/>
          <w:color w:val="000000" w:themeColor="text1"/>
          <w:kern w:val="0"/>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14:textFill>
            <w14:solidFill>
              <w14:schemeClr w14:val="tx1"/>
            </w14:solidFill>
          </w14:textFill>
        </w:rPr>
        <w:t xml:space="preserve">                         达州市达川区石梯镇中心小学                             2023年3月31日  </w:t>
      </w:r>
    </w:p>
    <w:p>
      <w:pPr>
        <w:widowControl/>
        <w:wordWrap w:val="0"/>
        <w:adjustRightInd w:val="0"/>
        <w:snapToGrid w:val="0"/>
        <w:spacing w:line="580" w:lineRule="exact"/>
        <w:ind w:firstLine="640" w:firstLineChars="200"/>
        <w:contextualSpacing/>
        <w:jc w:val="right"/>
        <w:rPr>
          <w:rFonts w:ascii="仿宋_GB2312" w:hAnsi="宋体" w:cs="宋体"/>
          <w:color w:val="000000" w:themeColor="text1"/>
          <w:kern w:val="0"/>
          <w:szCs w:val="32"/>
          <w:shd w:val="clear" w:color="auto" w:fill="FFFFFF"/>
          <w14:textFill>
            <w14:solidFill>
              <w14:schemeClr w14:val="tx1"/>
            </w14:solidFill>
          </w14:textFill>
        </w:rPr>
      </w:pPr>
    </w:p>
    <w:p>
      <w:pPr>
        <w:widowControl/>
        <w:wordWrap w:val="0"/>
        <w:adjustRightInd w:val="0"/>
        <w:snapToGrid w:val="0"/>
        <w:spacing w:line="580" w:lineRule="exact"/>
        <w:ind w:firstLine="640" w:firstLineChars="200"/>
        <w:contextualSpacing/>
        <w:jc w:val="right"/>
        <w:rPr>
          <w:rFonts w:ascii="仿宋_GB2312" w:hAnsi="宋体" w:cs="宋体"/>
          <w:color w:val="000000" w:themeColor="text1"/>
          <w:kern w:val="0"/>
          <w:szCs w:val="32"/>
          <w:shd w:val="clear" w:color="auto" w:fill="FFFFFF"/>
          <w14:textFill>
            <w14:solidFill>
              <w14:schemeClr w14:val="tx1"/>
            </w14:solidFill>
          </w14:textFill>
        </w:rPr>
      </w:pPr>
    </w:p>
    <w:p>
      <w:pPr>
        <w:widowControl/>
        <w:wordWrap w:val="0"/>
        <w:adjustRightInd w:val="0"/>
        <w:snapToGrid w:val="0"/>
        <w:spacing w:line="580" w:lineRule="exact"/>
        <w:ind w:firstLine="640" w:firstLineChars="200"/>
        <w:contextualSpacing/>
        <w:jc w:val="right"/>
        <w:rPr>
          <w:rFonts w:ascii="仿宋_GB2312" w:hAnsi="宋体" w:cs="宋体"/>
          <w:color w:val="000000" w:themeColor="text1"/>
          <w:kern w:val="0"/>
          <w:szCs w:val="32"/>
          <w:shd w:val="clear" w:color="auto" w:fill="FFFFFF"/>
          <w14:textFill>
            <w14:solidFill>
              <w14:schemeClr w14:val="tx1"/>
            </w14:solidFill>
          </w14:textFill>
        </w:rPr>
      </w:pPr>
    </w:p>
    <w:p>
      <w:pPr>
        <w:pStyle w:val="2"/>
      </w:pPr>
    </w:p>
    <w:p>
      <w:pPr>
        <w:widowControl/>
        <w:wordWrap w:val="0"/>
        <w:adjustRightInd w:val="0"/>
        <w:snapToGrid w:val="0"/>
        <w:spacing w:line="580" w:lineRule="exact"/>
        <w:ind w:firstLine="640" w:firstLineChars="200"/>
        <w:contextualSpacing/>
        <w:jc w:val="right"/>
        <w:rPr>
          <w:rFonts w:ascii="仿宋_GB2312" w:hAnsi="宋体" w:cs="宋体"/>
          <w:color w:val="000000" w:themeColor="text1"/>
          <w:kern w:val="0"/>
          <w:szCs w:val="32"/>
          <w:shd w:val="clear" w:color="auto" w:fill="FFFFFF"/>
          <w14:textFill>
            <w14:solidFill>
              <w14:schemeClr w14:val="tx1"/>
            </w14:solidFill>
          </w14:textFill>
        </w:rPr>
      </w:pPr>
    </w:p>
    <w:p>
      <w:pPr>
        <w:widowControl/>
        <w:wordWrap w:val="0"/>
        <w:adjustRightInd w:val="0"/>
        <w:snapToGrid w:val="0"/>
        <w:spacing w:line="580" w:lineRule="exact"/>
        <w:ind w:firstLine="640" w:firstLineChars="200"/>
        <w:contextualSpacing/>
        <w:jc w:val="right"/>
        <w:rPr>
          <w:rFonts w:ascii="仿宋_GB2312" w:hAnsi="宋体" w:cs="宋体"/>
          <w:color w:val="000000" w:themeColor="text1"/>
          <w:kern w:val="0"/>
          <w:szCs w:val="32"/>
          <w:shd w:val="clear" w:color="auto" w:fill="FFFFFF"/>
          <w14:textFill>
            <w14:solidFill>
              <w14:schemeClr w14:val="tx1"/>
            </w14:solidFill>
          </w14:textFill>
        </w:rPr>
      </w:pPr>
    </w:p>
    <w:p>
      <w:pPr>
        <w:widowControl/>
        <w:adjustRightInd w:val="0"/>
        <w:snapToGrid w:val="0"/>
        <w:spacing w:line="580" w:lineRule="exact"/>
        <w:contextualSpacing/>
        <w:jc w:val="left"/>
        <w:rPr>
          <w:rFonts w:ascii="仿宋_GB2312" w:hAnsi="宋体" w:cs="宋体"/>
          <w:color w:val="000000" w:themeColor="text1"/>
          <w:kern w:val="0"/>
          <w:szCs w:val="32"/>
          <w:shd w:val="clear" w:color="auto" w:fill="FFFFFF"/>
          <w:lang w:val="zh-CN"/>
          <w14:textFill>
            <w14:solidFill>
              <w14:schemeClr w14:val="tx1"/>
            </w14:solidFill>
          </w14:textFill>
        </w:rPr>
      </w:pPr>
    </w:p>
    <w:p>
      <w:pPr>
        <w:widowControl/>
        <w:adjustRightInd w:val="0"/>
        <w:snapToGrid w:val="0"/>
        <w:spacing w:line="580" w:lineRule="exact"/>
        <w:contextualSpacing/>
        <w:jc w:val="left"/>
        <w:rPr>
          <w:color w:val="000000" w:themeColor="text1"/>
          <w:lang w:val="zh-CN"/>
          <w14:textFill>
            <w14:solidFill>
              <w14:schemeClr w14:val="tx1"/>
            </w14:solidFill>
          </w14:textFill>
        </w:rPr>
      </w:pPr>
      <w:r>
        <w:rPr>
          <w:rFonts w:hint="eastAsia" w:ascii="仿宋_GB2312" w:hAnsi="宋体" w:cs="宋体"/>
          <w:color w:val="000000" w:themeColor="text1"/>
          <w:kern w:val="0"/>
          <w:szCs w:val="32"/>
          <w:shd w:val="clear" w:color="auto" w:fill="FFFFFF"/>
          <w:lang w:val="zh-CN"/>
          <w14:textFill>
            <w14:solidFill>
              <w14:schemeClr w14:val="tx1"/>
            </w14:solidFill>
          </w14:textFill>
        </w:rPr>
        <w:t>附表</w:t>
      </w:r>
      <w:r>
        <w:rPr>
          <w:rFonts w:hint="eastAsia" w:ascii="仿宋_GB2312" w:hAnsi="宋体" w:cs="宋体"/>
          <w:color w:val="000000" w:themeColor="text1"/>
          <w:kern w:val="0"/>
          <w:szCs w:val="32"/>
          <w:shd w:val="clear" w:color="auto" w:fill="FFFFFF"/>
          <w14:textFill>
            <w14:solidFill>
              <w14:schemeClr w14:val="tx1"/>
            </w14:solidFill>
          </w14:textFill>
        </w:rPr>
        <w:t>1</w:t>
      </w:r>
      <w:r>
        <w:rPr>
          <w:rFonts w:hint="eastAsia" w:ascii="仿宋_GB2312" w:hAnsi="宋体" w:cs="宋体"/>
          <w:color w:val="000000" w:themeColor="text1"/>
          <w:kern w:val="0"/>
          <w:szCs w:val="32"/>
          <w:shd w:val="clear" w:color="auto" w:fill="FFFFFF"/>
          <w:lang w:val="zh-CN"/>
          <w14:textFill>
            <w14:solidFill>
              <w14:schemeClr w14:val="tx1"/>
            </w14:solidFill>
          </w14:textFill>
        </w:rPr>
        <w:t>：</w:t>
      </w:r>
    </w:p>
    <w:p>
      <w:pPr>
        <w:pStyle w:val="2"/>
        <w:rPr>
          <w:rFonts w:ascii="仿宋_GB2312" w:hAnsi="宋体" w:cs="宋体"/>
          <w:color w:val="000000" w:themeColor="text1"/>
          <w:kern w:val="0"/>
          <w:szCs w:val="32"/>
          <w:highlight w:val="red"/>
          <w:shd w:val="clear" w:color="auto" w:fill="FFFFFF"/>
          <w:lang w:val="zh-CN"/>
          <w14:textFill>
            <w14:solidFill>
              <w14:schemeClr w14:val="tx1"/>
            </w14:solidFill>
          </w14:textFill>
        </w:rPr>
      </w:pPr>
    </w:p>
    <w:tbl>
      <w:tblPr>
        <w:tblStyle w:val="5"/>
        <w:tblpPr w:leftFromText="180" w:rightFromText="180" w:vertAnchor="text" w:horzAnchor="page" w:tblpX="1256" w:tblpY="221"/>
        <w:tblOverlap w:val="never"/>
        <w:tblW w:w="5170" w:type="pct"/>
        <w:tblInd w:w="0" w:type="dxa"/>
        <w:tblLayout w:type="autofit"/>
        <w:tblCellMar>
          <w:top w:w="0" w:type="dxa"/>
          <w:left w:w="108" w:type="dxa"/>
          <w:bottom w:w="0" w:type="dxa"/>
          <w:right w:w="108" w:type="dxa"/>
        </w:tblCellMar>
      </w:tblPr>
      <w:tblGrid>
        <w:gridCol w:w="1043"/>
        <w:gridCol w:w="603"/>
        <w:gridCol w:w="157"/>
        <w:gridCol w:w="1848"/>
        <w:gridCol w:w="330"/>
        <w:gridCol w:w="941"/>
        <w:gridCol w:w="989"/>
        <w:gridCol w:w="712"/>
        <w:gridCol w:w="686"/>
        <w:gridCol w:w="594"/>
        <w:gridCol w:w="1244"/>
        <w:gridCol w:w="222"/>
      </w:tblGrid>
      <w:tr>
        <w:tblPrEx>
          <w:tblCellMar>
            <w:top w:w="0" w:type="dxa"/>
            <w:left w:w="108" w:type="dxa"/>
            <w:bottom w:w="0" w:type="dxa"/>
            <w:right w:w="108" w:type="dxa"/>
          </w:tblCellMar>
        </w:tblPrEx>
        <w:trPr>
          <w:trHeight w:val="675" w:hRule="atLeast"/>
        </w:trPr>
        <w:tc>
          <w:tcPr>
            <w:tcW w:w="4882" w:type="pct"/>
            <w:gridSpan w:val="11"/>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themeColor="text1"/>
                <w:szCs w:val="32"/>
                <w14:textFill>
                  <w14:solidFill>
                    <w14:schemeClr w14:val="tx1"/>
                  </w14:solidFill>
                </w14:textFill>
              </w:rPr>
            </w:pPr>
            <w:r>
              <w:rPr>
                <w:rFonts w:hint="eastAsia" w:ascii="宋体" w:hAnsi="宋体" w:eastAsia="宋体" w:cs="宋体"/>
                <w:b/>
                <w:color w:val="000000" w:themeColor="text1"/>
                <w:szCs w:val="32"/>
                <w14:textFill>
                  <w14:solidFill>
                    <w14:schemeClr w14:val="tx1"/>
                  </w14:solidFill>
                </w14:textFill>
              </w:rPr>
              <w:t>2022年特定目标类部门预算项目绩效目标自评</w:t>
            </w:r>
          </w:p>
          <w:p>
            <w:pPr>
              <w:widowControl/>
              <w:jc w:val="center"/>
              <w:textAlignment w:val="center"/>
              <w:rPr>
                <w:rFonts w:ascii="宋体" w:hAnsi="宋体" w:eastAsia="宋体" w:cs="宋体"/>
                <w:b/>
                <w:color w:val="000000" w:themeColor="text1"/>
                <w:szCs w:val="32"/>
                <w14:textFill>
                  <w14:solidFill>
                    <w14:schemeClr w14:val="tx1"/>
                  </w14:solidFill>
                </w14:textFill>
              </w:rPr>
            </w:pPr>
            <w:r>
              <w:rPr>
                <w:rFonts w:hint="eastAsia" w:ascii="宋体" w:hAnsi="宋体" w:eastAsia="宋体" w:cs="宋体"/>
                <w:b/>
                <w:color w:val="000000" w:themeColor="text1"/>
                <w:szCs w:val="32"/>
                <w14:textFill>
                  <w14:solidFill>
                    <w14:schemeClr w14:val="tx1"/>
                  </w14:solidFill>
                </w14:textFill>
              </w:rPr>
              <w:t>（项目名称：购买安保服务专项）</w:t>
            </w:r>
          </w:p>
        </w:tc>
        <w:tc>
          <w:tcPr>
            <w:tcW w:w="118" w:type="pct"/>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themeColor="text1"/>
                <w:kern w:val="0"/>
                <w:szCs w:val="32"/>
                <w:lang w:bidi="ar"/>
                <w14:textFill>
                  <w14:solidFill>
                    <w14:schemeClr w14:val="tx1"/>
                  </w14:solidFill>
                </w14:textFill>
              </w:rPr>
            </w:pPr>
          </w:p>
        </w:tc>
      </w:tr>
      <w:tr>
        <w:tblPrEx>
          <w:tblCellMar>
            <w:top w:w="0" w:type="dxa"/>
            <w:left w:w="108" w:type="dxa"/>
            <w:bottom w:w="0" w:type="dxa"/>
            <w:right w:w="108" w:type="dxa"/>
          </w:tblCellMar>
        </w:tblPrEx>
        <w:trPr>
          <w:gridAfter w:val="1"/>
          <w:wAfter w:w="118" w:type="pct"/>
          <w:trHeight w:val="254" w:hRule="atLeast"/>
        </w:trPr>
        <w:tc>
          <w:tcPr>
            <w:tcW w:w="8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实施单位</w:t>
            </w:r>
          </w:p>
        </w:tc>
        <w:tc>
          <w:tcPr>
            <w:tcW w:w="227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达川区石梯镇中心小学</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主管部门及代码</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达川区教育局</w:t>
            </w:r>
          </w:p>
        </w:tc>
      </w:tr>
      <w:tr>
        <w:tblPrEx>
          <w:tblCellMar>
            <w:top w:w="0" w:type="dxa"/>
            <w:left w:w="108" w:type="dxa"/>
            <w:bottom w:w="0" w:type="dxa"/>
            <w:right w:w="108" w:type="dxa"/>
          </w:tblCellMar>
        </w:tblPrEx>
        <w:trPr>
          <w:gridAfter w:val="1"/>
          <w:wAfter w:w="118" w:type="pct"/>
          <w:trHeight w:val="341" w:hRule="atLeast"/>
        </w:trPr>
        <w:tc>
          <w:tcPr>
            <w:tcW w:w="8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项目预算</w:t>
            </w:r>
          </w:p>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执行情况</w:t>
            </w:r>
          </w:p>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（万元）</w:t>
            </w: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预算数：</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ascii="仿宋_GB2312" w:hAnsi="仿宋_GB2312" w:cs="仿宋_GB2312"/>
                <w:color w:val="000000" w:themeColor="text1"/>
                <w:kern w:val="0"/>
                <w:sz w:val="21"/>
                <w:szCs w:val="21"/>
                <w:lang w:bidi="ar"/>
                <w14:textFill>
                  <w14:solidFill>
                    <w14:schemeClr w14:val="tx1"/>
                  </w14:solidFill>
                </w14:textFill>
              </w:rPr>
              <w:t>6</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执行数：</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ascii="仿宋_GB2312" w:hAnsi="仿宋_GB2312" w:cs="仿宋_GB2312"/>
                <w:color w:val="000000" w:themeColor="text1"/>
                <w:kern w:val="0"/>
                <w:sz w:val="21"/>
                <w:szCs w:val="21"/>
                <w:lang w:bidi="ar"/>
                <w14:textFill>
                  <w14:solidFill>
                    <w14:schemeClr w14:val="tx1"/>
                  </w14:solidFill>
                </w14:textFill>
              </w:rPr>
              <w:t>6</w:t>
            </w:r>
          </w:p>
        </w:tc>
      </w:tr>
      <w:tr>
        <w:tblPrEx>
          <w:tblCellMar>
            <w:top w:w="0" w:type="dxa"/>
            <w:left w:w="108" w:type="dxa"/>
            <w:bottom w:w="0" w:type="dxa"/>
            <w:right w:w="108" w:type="dxa"/>
          </w:tblCellMar>
        </w:tblPrEx>
        <w:trPr>
          <w:gridAfter w:val="1"/>
          <w:wAfter w:w="118" w:type="pct"/>
          <w:trHeight w:val="275"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其中：财政拨款</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ascii="仿宋_GB2312" w:hAnsi="仿宋_GB2312" w:cs="仿宋_GB2312"/>
                <w:color w:val="000000" w:themeColor="text1"/>
                <w:kern w:val="0"/>
                <w:sz w:val="21"/>
                <w:szCs w:val="21"/>
                <w:lang w:bidi="ar"/>
                <w14:textFill>
                  <w14:solidFill>
                    <w14:schemeClr w14:val="tx1"/>
                  </w14:solidFill>
                </w14:textFill>
              </w:rPr>
              <w:t>6</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其中：财政拨款</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ascii="仿宋_GB2312" w:hAnsi="仿宋_GB2312" w:cs="仿宋_GB2312"/>
                <w:color w:val="000000" w:themeColor="text1"/>
                <w:kern w:val="0"/>
                <w:sz w:val="21"/>
                <w:szCs w:val="21"/>
                <w:lang w:bidi="ar"/>
                <w14:textFill>
                  <w14:solidFill>
                    <w14:schemeClr w14:val="tx1"/>
                  </w14:solidFill>
                </w14:textFill>
              </w:rPr>
              <w:t>6</w:t>
            </w:r>
          </w:p>
        </w:tc>
      </w:tr>
      <w:tr>
        <w:tblPrEx>
          <w:tblCellMar>
            <w:top w:w="0" w:type="dxa"/>
            <w:left w:w="108" w:type="dxa"/>
            <w:bottom w:w="0" w:type="dxa"/>
            <w:right w:w="108" w:type="dxa"/>
          </w:tblCellMar>
        </w:tblPrEx>
        <w:trPr>
          <w:gridAfter w:val="1"/>
          <w:wAfter w:w="118" w:type="pct"/>
          <w:trHeight w:val="341"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其他资金</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其他资金</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0</w:t>
            </w:r>
          </w:p>
        </w:tc>
      </w:tr>
      <w:tr>
        <w:tblPrEx>
          <w:tblCellMar>
            <w:top w:w="0" w:type="dxa"/>
            <w:left w:w="108" w:type="dxa"/>
            <w:bottom w:w="0" w:type="dxa"/>
            <w:right w:w="108" w:type="dxa"/>
          </w:tblCellMar>
        </w:tblPrEx>
        <w:trPr>
          <w:gridAfter w:val="1"/>
          <w:wAfter w:w="118" w:type="pct"/>
          <w:trHeight w:val="217" w:hRule="atLeast"/>
        </w:trPr>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年度总体目标</w:t>
            </w:r>
          </w:p>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完成情况</w:t>
            </w:r>
          </w:p>
        </w:tc>
        <w:tc>
          <w:tcPr>
            <w:tcW w:w="259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预期目标</w:t>
            </w:r>
          </w:p>
        </w:tc>
        <w:tc>
          <w:tcPr>
            <w:tcW w:w="172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目标实际完成情况</w:t>
            </w:r>
          </w:p>
        </w:tc>
      </w:tr>
      <w:tr>
        <w:tblPrEx>
          <w:tblCellMar>
            <w:top w:w="0" w:type="dxa"/>
            <w:left w:w="108" w:type="dxa"/>
            <w:bottom w:w="0" w:type="dxa"/>
            <w:right w:w="108" w:type="dxa"/>
          </w:tblCellMar>
        </w:tblPrEx>
        <w:trPr>
          <w:gridAfter w:val="1"/>
          <w:wAfter w:w="118" w:type="pct"/>
          <w:trHeight w:val="1297" w:hRule="atLeast"/>
        </w:trPr>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p>
        </w:tc>
        <w:tc>
          <w:tcPr>
            <w:tcW w:w="2070" w:type="pct"/>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2022年内计划发放学校物业管理服务费</w:t>
            </w:r>
            <w:r>
              <w:rPr>
                <w:rFonts w:ascii="仿宋_GB2312" w:hAnsi="仿宋_GB2312" w:cs="仿宋_GB2312"/>
                <w:color w:val="000000" w:themeColor="text1"/>
                <w:kern w:val="0"/>
                <w:sz w:val="21"/>
                <w:szCs w:val="21"/>
                <w:lang w:bidi="ar"/>
                <w14:textFill>
                  <w14:solidFill>
                    <w14:schemeClr w14:val="tx1"/>
                  </w14:solidFill>
                </w14:textFill>
              </w:rPr>
              <w:t>6</w:t>
            </w:r>
            <w:r>
              <w:rPr>
                <w:rFonts w:hint="eastAsia" w:ascii="仿宋_GB2312" w:hAnsi="仿宋_GB2312" w:cs="仿宋_GB2312"/>
                <w:color w:val="000000" w:themeColor="text1"/>
                <w:kern w:val="0"/>
                <w:sz w:val="21"/>
                <w:szCs w:val="21"/>
                <w:lang w:bidi="ar"/>
                <w14:textFill>
                  <w14:solidFill>
                    <w14:schemeClr w14:val="tx1"/>
                  </w14:solidFill>
                </w14:textFill>
              </w:rPr>
              <w:t>万元，涉及人数</w:t>
            </w:r>
            <w:r>
              <w:rPr>
                <w:rFonts w:ascii="仿宋_GB2312" w:hAnsi="仿宋_GB2312" w:cs="仿宋_GB2312"/>
                <w:color w:val="000000" w:themeColor="text1"/>
                <w:kern w:val="0"/>
                <w:sz w:val="21"/>
                <w:szCs w:val="21"/>
                <w:lang w:bidi="ar"/>
                <w14:textFill>
                  <w14:solidFill>
                    <w14:schemeClr w14:val="tx1"/>
                  </w14:solidFill>
                </w14:textFill>
              </w:rPr>
              <w:t>4</w:t>
            </w:r>
            <w:r>
              <w:rPr>
                <w:rFonts w:hint="eastAsia" w:ascii="仿宋_GB2312" w:hAnsi="仿宋_GB2312" w:cs="仿宋_GB2312"/>
                <w:color w:val="000000" w:themeColor="text1"/>
                <w:kern w:val="0"/>
                <w:sz w:val="21"/>
                <w:szCs w:val="21"/>
                <w:lang w:bidi="ar"/>
                <w14:textFill>
                  <w14:solidFill>
                    <w14:schemeClr w14:val="tx1"/>
                  </w14:solidFill>
                </w14:textFill>
              </w:rPr>
              <w:t>人。目的是维护学校正常教育教学秩序，保障学校及师生的人身、财产安全。</w:t>
            </w:r>
          </w:p>
        </w:tc>
        <w:tc>
          <w:tcPr>
            <w:tcW w:w="2255" w:type="pct"/>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2022年实际发放学校物业管理服务费</w:t>
            </w:r>
            <w:r>
              <w:rPr>
                <w:rFonts w:ascii="仿宋_GB2312" w:hAnsi="仿宋_GB2312" w:cs="仿宋_GB2312"/>
                <w:color w:val="000000" w:themeColor="text1"/>
                <w:kern w:val="0"/>
                <w:sz w:val="21"/>
                <w:szCs w:val="21"/>
                <w:lang w:bidi="ar"/>
                <w14:textFill>
                  <w14:solidFill>
                    <w14:schemeClr w14:val="tx1"/>
                  </w14:solidFill>
                </w14:textFill>
              </w:rPr>
              <w:t>6</w:t>
            </w:r>
            <w:r>
              <w:rPr>
                <w:rFonts w:hint="eastAsia" w:ascii="仿宋_GB2312" w:hAnsi="仿宋_GB2312" w:cs="仿宋_GB2312"/>
                <w:color w:val="000000" w:themeColor="text1"/>
                <w:kern w:val="0"/>
                <w:sz w:val="21"/>
                <w:szCs w:val="21"/>
                <w:lang w:bidi="ar"/>
                <w14:textFill>
                  <w14:solidFill>
                    <w14:schemeClr w14:val="tx1"/>
                  </w14:solidFill>
                </w14:textFill>
              </w:rPr>
              <w:t>万元，涉及人数</w:t>
            </w:r>
            <w:r>
              <w:rPr>
                <w:rFonts w:ascii="仿宋_GB2312" w:hAnsi="仿宋_GB2312" w:cs="仿宋_GB2312"/>
                <w:color w:val="000000" w:themeColor="text1"/>
                <w:kern w:val="0"/>
                <w:sz w:val="21"/>
                <w:szCs w:val="21"/>
                <w:lang w:bidi="ar"/>
                <w14:textFill>
                  <w14:solidFill>
                    <w14:schemeClr w14:val="tx1"/>
                  </w14:solidFill>
                </w14:textFill>
              </w:rPr>
              <w:t>4</w:t>
            </w:r>
            <w:r>
              <w:rPr>
                <w:rFonts w:hint="eastAsia" w:ascii="仿宋_GB2312" w:hAnsi="仿宋_GB2312" w:cs="仿宋_GB2312"/>
                <w:color w:val="000000" w:themeColor="text1"/>
                <w:kern w:val="0"/>
                <w:sz w:val="21"/>
                <w:szCs w:val="21"/>
                <w:lang w:bidi="ar"/>
                <w14:textFill>
                  <w14:solidFill>
                    <w14:schemeClr w14:val="tx1"/>
                  </w14:solidFill>
                </w14:textFill>
              </w:rPr>
              <w:t>人。维护了学校正常教育教学秩序，保障了学校及师生的人身、财产安全。</w:t>
            </w:r>
          </w:p>
        </w:tc>
      </w:tr>
      <w:tr>
        <w:tblPrEx>
          <w:tblCellMar>
            <w:top w:w="0" w:type="dxa"/>
            <w:left w:w="108" w:type="dxa"/>
            <w:bottom w:w="0" w:type="dxa"/>
            <w:right w:w="108" w:type="dxa"/>
          </w:tblCellMar>
        </w:tblPrEx>
        <w:trPr>
          <w:gridAfter w:val="1"/>
          <w:wAfter w:w="118" w:type="pct"/>
          <w:trHeight w:val="738" w:hRule="atLeast"/>
        </w:trPr>
        <w:tc>
          <w:tcPr>
            <w:tcW w:w="557"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年度绩效指标完成情况</w:t>
            </w:r>
          </w:p>
        </w:tc>
        <w:tc>
          <w:tcPr>
            <w:tcW w:w="406" w:type="pct"/>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一级</w:t>
            </w:r>
          </w:p>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二级</w:t>
            </w:r>
          </w:p>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三级</w:t>
            </w:r>
          </w:p>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指标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预期指标值</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kern w:val="0"/>
                <w:sz w:val="20"/>
                <w:szCs w:val="20"/>
                <w:lang w:bidi="ar"/>
                <w14:textFill>
                  <w14:solidFill>
                    <w14:schemeClr w14:val="tx1"/>
                  </w14:solidFill>
                </w14:textFill>
              </w:rPr>
              <w:t>实际完成指标值</w:t>
            </w:r>
          </w:p>
        </w:tc>
      </w:tr>
      <w:tr>
        <w:tblPrEx>
          <w:tblCellMar>
            <w:top w:w="0" w:type="dxa"/>
            <w:left w:w="108" w:type="dxa"/>
            <w:bottom w:w="0" w:type="dxa"/>
            <w:right w:w="108" w:type="dxa"/>
          </w:tblCellMar>
        </w:tblPrEx>
        <w:trPr>
          <w:gridAfter w:val="1"/>
          <w:wAfter w:w="118" w:type="pct"/>
          <w:trHeight w:val="525"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0"/>
                <w:szCs w:val="20"/>
                <w:lang w:bidi="ar"/>
                <w14:textFill>
                  <w14:solidFill>
                    <w14:schemeClr w14:val="tx1"/>
                  </w14:solidFill>
                </w14:textFill>
              </w:rPr>
            </w:pPr>
            <w:r>
              <w:rPr>
                <w:rFonts w:hint="eastAsia" w:ascii="仿宋_GB2312" w:hAnsi="仿宋_GB2312" w:cs="仿宋_GB2312"/>
                <w:color w:val="000000" w:themeColor="text1"/>
                <w:kern w:val="0"/>
                <w:sz w:val="20"/>
                <w:szCs w:val="20"/>
                <w:lang w:bidi="ar"/>
                <w14:textFill>
                  <w14:solidFill>
                    <w14:schemeClr w14:val="tx1"/>
                  </w14:solidFill>
                </w14:textFill>
              </w:rPr>
              <w:t>完成</w:t>
            </w:r>
          </w:p>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kern w:val="0"/>
                <w:sz w:val="20"/>
                <w:szCs w:val="20"/>
                <w:lang w:bidi="ar"/>
                <w14:textFill>
                  <w14:solidFill>
                    <w14:schemeClr w14:val="tx1"/>
                  </w14:solidFill>
                </w14:textFill>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数量指标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专职保安人员聘请数量</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4</w:t>
            </w:r>
            <w:r>
              <w:rPr>
                <w:rFonts w:hint="eastAsia"/>
                <w:color w:val="000000" w:themeColor="text1"/>
                <w:sz w:val="20"/>
                <w:szCs w:val="20"/>
                <w14:textFill>
                  <w14:solidFill>
                    <w14:schemeClr w14:val="tx1"/>
                  </w14:solidFill>
                </w14:textFill>
              </w:rPr>
              <w:t>人</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4</w:t>
            </w:r>
            <w:r>
              <w:rPr>
                <w:rFonts w:hint="eastAsia"/>
                <w:color w:val="000000" w:themeColor="text1"/>
                <w:sz w:val="20"/>
                <w:szCs w:val="20"/>
                <w14:textFill>
                  <w14:solidFill>
                    <w14:schemeClr w14:val="tx1"/>
                  </w14:solidFill>
                </w14:textFill>
              </w:rPr>
              <w:t>人</w:t>
            </w:r>
          </w:p>
        </w:tc>
      </w:tr>
      <w:tr>
        <w:tblPrEx>
          <w:tblCellMar>
            <w:top w:w="0" w:type="dxa"/>
            <w:left w:w="108" w:type="dxa"/>
            <w:bottom w:w="0" w:type="dxa"/>
            <w:right w:w="108" w:type="dxa"/>
          </w:tblCellMar>
        </w:tblPrEx>
        <w:trPr>
          <w:gridAfter w:val="1"/>
          <w:wAfter w:w="118" w:type="pct"/>
          <w:trHeight w:val="499"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0"/>
                <w:szCs w:val="20"/>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保安人员正常到岗率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0"/>
                <w:szCs w:val="20"/>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成本指标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项目成本控制数</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6</w:t>
            </w:r>
            <w:r>
              <w:rPr>
                <w:rFonts w:hint="eastAsia"/>
                <w:color w:val="000000" w:themeColor="text1"/>
                <w:sz w:val="20"/>
                <w:szCs w:val="20"/>
                <w14:textFill>
                  <w14:solidFill>
                    <w14:schemeClr w14:val="tx1"/>
                  </w14:solidFill>
                </w14:textFill>
              </w:rPr>
              <w:t>万元</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6</w:t>
            </w:r>
            <w:r>
              <w:rPr>
                <w:rFonts w:hint="eastAsia"/>
                <w:color w:val="000000" w:themeColor="text1"/>
                <w:sz w:val="20"/>
                <w:szCs w:val="20"/>
                <w14:textFill>
                  <w14:solidFill>
                    <w14:schemeClr w14:val="tx1"/>
                  </w14:solidFill>
                </w14:textFill>
              </w:rPr>
              <w:t>万元</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0"/>
                <w:szCs w:val="20"/>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专职保安人员工资发放准确率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0"/>
                <w:szCs w:val="20"/>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时效指标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专职保安人员工资发放及时率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r>
      <w:tr>
        <w:tblPrEx>
          <w:tblCellMar>
            <w:top w:w="0" w:type="dxa"/>
            <w:left w:w="108" w:type="dxa"/>
            <w:bottom w:w="0" w:type="dxa"/>
            <w:right w:w="108" w:type="dxa"/>
          </w:tblCellMar>
        </w:tblPrEx>
        <w:trPr>
          <w:gridAfter w:val="1"/>
          <w:wAfter w:w="118" w:type="pct"/>
          <w:trHeight w:val="40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0"/>
                <w:szCs w:val="20"/>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保安人员资质符合率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kern w:val="0"/>
                <w:sz w:val="20"/>
                <w:szCs w:val="20"/>
                <w:lang w:bidi="ar"/>
                <w14:textFill>
                  <w14:solidFill>
                    <w14:schemeClr w14:val="tx1"/>
                  </w14:solidFill>
                </w14:textFill>
              </w:rPr>
              <w:t>效益指标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社会效益指标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保障学师生人身财产安全</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0"/>
                <w:szCs w:val="20"/>
                <w14:textFill>
                  <w14:solidFill>
                    <w14:schemeClr w14:val="tx1"/>
                  </w14:solidFill>
                </w14:textFill>
              </w:rPr>
              <w:t>优</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0"/>
                <w:szCs w:val="20"/>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社会效益指标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维护学校正常教育教学秩序</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0"/>
                <w:szCs w:val="20"/>
                <w14:textFill>
                  <w14:solidFill>
                    <w14:schemeClr w14:val="tx1"/>
                  </w14:solidFill>
                </w14:textFill>
              </w:rPr>
              <w:t>优</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0"/>
                <w:szCs w:val="20"/>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可持续影响指标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物业管理服务制度健全性</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0"/>
                <w:szCs w:val="20"/>
                <w14:textFill>
                  <w14:solidFill>
                    <w14:schemeClr w14:val="tx1"/>
                  </w14:solidFill>
                </w14:textFill>
              </w:rPr>
              <w:t>优</w:t>
            </w:r>
          </w:p>
        </w:tc>
      </w:tr>
      <w:tr>
        <w:tblPrEx>
          <w:tblCellMar>
            <w:top w:w="0" w:type="dxa"/>
            <w:left w:w="108" w:type="dxa"/>
            <w:bottom w:w="0" w:type="dxa"/>
            <w:right w:w="108" w:type="dxa"/>
          </w:tblCellMar>
        </w:tblPrEx>
        <w:trPr>
          <w:gridAfter w:val="1"/>
          <w:wAfter w:w="118" w:type="pct"/>
          <w:trHeight w:val="20" w:hRule="atLeast"/>
        </w:trPr>
        <w:tc>
          <w:tcPr>
            <w:tcW w:w="557" w:type="pct"/>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kern w:val="0"/>
                <w:sz w:val="20"/>
                <w:szCs w:val="20"/>
                <w:lang w:bidi="ar"/>
                <w14:textFill>
                  <w14:solidFill>
                    <w14:schemeClr w14:val="tx1"/>
                  </w14:solidFill>
                </w14:textFill>
              </w:rPr>
              <w:t>满意度指标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0"/>
                <w:szCs w:val="20"/>
                <w14:textFill>
                  <w14:solidFill>
                    <w14:schemeClr w14:val="tx1"/>
                  </w14:solidFill>
                </w14:textFill>
              </w:rPr>
              <w:t>满意度指标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师生满意度</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0"/>
                <w:szCs w:val="20"/>
                <w14:textFill>
                  <w14:solidFill>
                    <w14:schemeClr w14:val="tx1"/>
                  </w14:solidFill>
                </w14:textFill>
              </w:rPr>
              <w:t>90%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0"/>
                <w:szCs w:val="20"/>
                <w14:textFill>
                  <w14:solidFill>
                    <w14:schemeClr w14:val="tx1"/>
                  </w14:solidFill>
                </w14:textFill>
              </w:rPr>
              <w:t>100%</w:t>
            </w:r>
          </w:p>
        </w:tc>
      </w:tr>
    </w:tbl>
    <w:p>
      <w:pPr>
        <w:rPr>
          <w:rFonts w:ascii="仿宋_GB2312" w:hAnsi="宋体" w:cs="宋体"/>
          <w:color w:val="000000" w:themeColor="text1"/>
          <w:kern w:val="0"/>
          <w:szCs w:val="32"/>
          <w:highlight w:val="red"/>
          <w:shd w:val="clear" w:color="auto" w:fill="FFFFFF"/>
          <w:lang w:val="zh-CN"/>
          <w14:textFill>
            <w14:solidFill>
              <w14:schemeClr w14:val="tx1"/>
            </w14:solidFill>
          </w14:textFill>
        </w:rPr>
      </w:pPr>
    </w:p>
    <w:p>
      <w:pPr>
        <w:pStyle w:val="2"/>
        <w:rPr>
          <w:rFonts w:ascii="仿宋_GB2312" w:hAnsi="宋体" w:cs="宋体"/>
          <w:color w:val="000000" w:themeColor="text1"/>
          <w:kern w:val="0"/>
          <w:szCs w:val="32"/>
          <w:highlight w:val="red"/>
          <w:shd w:val="clear" w:color="auto" w:fill="FFFFFF"/>
          <w:lang w:val="zh-CN"/>
          <w14:textFill>
            <w14:solidFill>
              <w14:schemeClr w14:val="tx1"/>
            </w14:solidFill>
          </w14:textFill>
        </w:rPr>
      </w:pPr>
    </w:p>
    <w:p>
      <w:pPr>
        <w:rPr>
          <w:rFonts w:ascii="仿宋_GB2312" w:hAnsi="宋体" w:cs="宋体"/>
          <w:color w:val="000000" w:themeColor="text1"/>
          <w:kern w:val="0"/>
          <w:szCs w:val="32"/>
          <w:highlight w:val="red"/>
          <w:shd w:val="clear" w:color="auto" w:fill="FFFFFF"/>
          <w:lang w:val="zh-CN"/>
          <w14:textFill>
            <w14:solidFill>
              <w14:schemeClr w14:val="tx1"/>
            </w14:solidFill>
          </w14:textFill>
        </w:rPr>
      </w:pPr>
    </w:p>
    <w:p>
      <w:pPr>
        <w:pStyle w:val="2"/>
        <w:rPr>
          <w:rFonts w:ascii="仿宋_GB2312" w:hAnsi="宋体" w:cs="宋体"/>
          <w:color w:val="000000" w:themeColor="text1"/>
          <w:kern w:val="0"/>
          <w:szCs w:val="32"/>
          <w:highlight w:val="red"/>
          <w:shd w:val="clear" w:color="auto" w:fill="FFFFFF"/>
          <w:lang w:val="zh-CN"/>
          <w14:textFill>
            <w14:solidFill>
              <w14:schemeClr w14:val="tx1"/>
            </w14:solidFill>
          </w14:textFill>
        </w:rPr>
      </w:pPr>
    </w:p>
    <w:p>
      <w:pPr>
        <w:rPr>
          <w:rFonts w:ascii="仿宋_GB2312" w:hAnsi="宋体" w:cs="宋体"/>
          <w:color w:val="000000" w:themeColor="text1"/>
          <w:kern w:val="0"/>
          <w:szCs w:val="32"/>
          <w:highlight w:val="red"/>
          <w:shd w:val="clear" w:color="auto" w:fill="FFFFFF"/>
          <w:lang w:val="zh-CN"/>
          <w14:textFill>
            <w14:solidFill>
              <w14:schemeClr w14:val="tx1"/>
            </w14:solidFill>
          </w14:textFill>
        </w:rPr>
      </w:pPr>
    </w:p>
    <w:p>
      <w:pPr>
        <w:rPr>
          <w:color w:val="000000" w:themeColor="text1"/>
          <w:lang w:val="zh-CN"/>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附表2：</w:t>
      </w:r>
    </w:p>
    <w:p>
      <w:pPr>
        <w:pStyle w:val="2"/>
        <w:rPr>
          <w:color w:val="000000" w:themeColor="text1"/>
          <w:lang w:val="zh-CN"/>
          <w14:textFill>
            <w14:solidFill>
              <w14:schemeClr w14:val="tx1"/>
            </w14:solidFill>
          </w14:textFill>
        </w:rPr>
      </w:pPr>
    </w:p>
    <w:tbl>
      <w:tblPr>
        <w:tblStyle w:val="5"/>
        <w:tblpPr w:leftFromText="180" w:rightFromText="180" w:vertAnchor="text" w:horzAnchor="page" w:tblpX="1256" w:tblpY="221"/>
        <w:tblOverlap w:val="never"/>
        <w:tblW w:w="5170" w:type="pct"/>
        <w:tblInd w:w="0" w:type="dxa"/>
        <w:tblLayout w:type="autofit"/>
        <w:tblCellMar>
          <w:top w:w="0" w:type="dxa"/>
          <w:left w:w="108" w:type="dxa"/>
          <w:bottom w:w="0" w:type="dxa"/>
          <w:right w:w="108" w:type="dxa"/>
        </w:tblCellMar>
      </w:tblPr>
      <w:tblGrid>
        <w:gridCol w:w="1043"/>
        <w:gridCol w:w="603"/>
        <w:gridCol w:w="157"/>
        <w:gridCol w:w="1848"/>
        <w:gridCol w:w="330"/>
        <w:gridCol w:w="941"/>
        <w:gridCol w:w="989"/>
        <w:gridCol w:w="712"/>
        <w:gridCol w:w="686"/>
        <w:gridCol w:w="594"/>
        <w:gridCol w:w="1244"/>
        <w:gridCol w:w="222"/>
      </w:tblGrid>
      <w:tr>
        <w:tblPrEx>
          <w:tblCellMar>
            <w:top w:w="0" w:type="dxa"/>
            <w:left w:w="108" w:type="dxa"/>
            <w:bottom w:w="0" w:type="dxa"/>
            <w:right w:w="108" w:type="dxa"/>
          </w:tblCellMar>
        </w:tblPrEx>
        <w:trPr>
          <w:trHeight w:val="675" w:hRule="atLeast"/>
        </w:trPr>
        <w:tc>
          <w:tcPr>
            <w:tcW w:w="4882" w:type="pct"/>
            <w:gridSpan w:val="11"/>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themeColor="text1"/>
                <w:szCs w:val="32"/>
                <w14:textFill>
                  <w14:solidFill>
                    <w14:schemeClr w14:val="tx1"/>
                  </w14:solidFill>
                </w14:textFill>
              </w:rPr>
            </w:pPr>
            <w:r>
              <w:rPr>
                <w:rFonts w:hint="eastAsia" w:ascii="宋体" w:hAnsi="宋体" w:eastAsia="宋体" w:cs="宋体"/>
                <w:b/>
                <w:color w:val="000000" w:themeColor="text1"/>
                <w:szCs w:val="32"/>
                <w14:textFill>
                  <w14:solidFill>
                    <w14:schemeClr w14:val="tx1"/>
                  </w14:solidFill>
                </w14:textFill>
              </w:rPr>
              <w:t>2022年特定目标类部门预算项目绩效目标自评</w:t>
            </w:r>
          </w:p>
          <w:p>
            <w:pPr>
              <w:widowControl/>
              <w:jc w:val="center"/>
              <w:textAlignment w:val="center"/>
              <w:rPr>
                <w:rFonts w:ascii="宋体" w:hAnsi="宋体" w:eastAsia="宋体" w:cs="宋体"/>
                <w:b/>
                <w:color w:val="000000" w:themeColor="text1"/>
                <w:szCs w:val="32"/>
                <w14:textFill>
                  <w14:solidFill>
                    <w14:schemeClr w14:val="tx1"/>
                  </w14:solidFill>
                </w14:textFill>
              </w:rPr>
            </w:pPr>
            <w:r>
              <w:rPr>
                <w:rFonts w:hint="eastAsia" w:ascii="宋体" w:hAnsi="宋体" w:eastAsia="宋体" w:cs="宋体"/>
                <w:b/>
                <w:color w:val="000000" w:themeColor="text1"/>
                <w:szCs w:val="32"/>
                <w14:textFill>
                  <w14:solidFill>
                    <w14:schemeClr w14:val="tx1"/>
                  </w14:solidFill>
                </w14:textFill>
              </w:rPr>
              <w:t>（项目名称：学生营养餐专项）</w:t>
            </w:r>
          </w:p>
        </w:tc>
        <w:tc>
          <w:tcPr>
            <w:tcW w:w="118" w:type="pct"/>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themeColor="text1"/>
                <w:kern w:val="0"/>
                <w:szCs w:val="32"/>
                <w:lang w:bidi="ar"/>
                <w14:textFill>
                  <w14:solidFill>
                    <w14:schemeClr w14:val="tx1"/>
                  </w14:solidFill>
                </w14:textFill>
              </w:rPr>
            </w:pPr>
          </w:p>
        </w:tc>
      </w:tr>
      <w:tr>
        <w:tblPrEx>
          <w:tblCellMar>
            <w:top w:w="0" w:type="dxa"/>
            <w:left w:w="108" w:type="dxa"/>
            <w:bottom w:w="0" w:type="dxa"/>
            <w:right w:w="108" w:type="dxa"/>
          </w:tblCellMar>
        </w:tblPrEx>
        <w:trPr>
          <w:gridAfter w:val="1"/>
          <w:wAfter w:w="118" w:type="pct"/>
          <w:trHeight w:val="254" w:hRule="atLeast"/>
        </w:trPr>
        <w:tc>
          <w:tcPr>
            <w:tcW w:w="8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实施单位</w:t>
            </w:r>
          </w:p>
        </w:tc>
        <w:tc>
          <w:tcPr>
            <w:tcW w:w="227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川区石梯镇中心小学</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主管部门及代码</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达川区教育局</w:t>
            </w:r>
          </w:p>
        </w:tc>
      </w:tr>
      <w:tr>
        <w:tblPrEx>
          <w:tblCellMar>
            <w:top w:w="0" w:type="dxa"/>
            <w:left w:w="108" w:type="dxa"/>
            <w:bottom w:w="0" w:type="dxa"/>
            <w:right w:w="108" w:type="dxa"/>
          </w:tblCellMar>
        </w:tblPrEx>
        <w:trPr>
          <w:gridAfter w:val="1"/>
          <w:wAfter w:w="118" w:type="pct"/>
          <w:trHeight w:val="341" w:hRule="atLeast"/>
        </w:trPr>
        <w:tc>
          <w:tcPr>
            <w:tcW w:w="8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项目预算</w:t>
            </w:r>
          </w:p>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执行情况</w:t>
            </w:r>
          </w:p>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（万元）</w:t>
            </w: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预算数：</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8</w:t>
            </w:r>
            <w:r>
              <w:rPr>
                <w:rFonts w:ascii="仿宋_GB2312" w:hAnsi="仿宋_GB2312" w:cs="仿宋_GB2312"/>
                <w:color w:val="000000" w:themeColor="text1"/>
                <w:kern w:val="0"/>
                <w:sz w:val="21"/>
                <w:szCs w:val="21"/>
                <w:lang w:bidi="ar"/>
                <w14:textFill>
                  <w14:solidFill>
                    <w14:schemeClr w14:val="tx1"/>
                  </w14:solidFill>
                </w14:textFill>
              </w:rPr>
              <w:t>7.875</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执行数：</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ascii="仿宋_GB2312" w:hAnsi="仿宋_GB2312" w:cs="仿宋_GB2312"/>
                <w:color w:val="000000" w:themeColor="text1"/>
                <w:kern w:val="0"/>
                <w:sz w:val="21"/>
                <w:szCs w:val="21"/>
                <w:lang w:bidi="ar"/>
                <w14:textFill>
                  <w14:solidFill>
                    <w14:schemeClr w14:val="tx1"/>
                  </w14:solidFill>
                </w14:textFill>
              </w:rPr>
              <w:t>87.875</w:t>
            </w:r>
          </w:p>
        </w:tc>
      </w:tr>
      <w:tr>
        <w:tblPrEx>
          <w:tblCellMar>
            <w:top w:w="0" w:type="dxa"/>
            <w:left w:w="108" w:type="dxa"/>
            <w:bottom w:w="0" w:type="dxa"/>
            <w:right w:w="108" w:type="dxa"/>
          </w:tblCellMar>
        </w:tblPrEx>
        <w:trPr>
          <w:gridAfter w:val="1"/>
          <w:wAfter w:w="118" w:type="pct"/>
          <w:trHeight w:val="275"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其中：财政拨款</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ascii="仿宋_GB2312" w:hAnsi="仿宋_GB2312" w:cs="仿宋_GB2312"/>
                <w:color w:val="000000" w:themeColor="text1"/>
                <w:kern w:val="0"/>
                <w:sz w:val="21"/>
                <w:szCs w:val="21"/>
                <w:lang w:bidi="ar"/>
                <w14:textFill>
                  <w14:solidFill>
                    <w14:schemeClr w14:val="tx1"/>
                  </w14:solidFill>
                </w14:textFill>
              </w:rPr>
              <w:t>87.875</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其中：财政拨款</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ascii="仿宋_GB2312" w:hAnsi="仿宋_GB2312" w:cs="仿宋_GB2312"/>
                <w:color w:val="000000" w:themeColor="text1"/>
                <w:kern w:val="0"/>
                <w:sz w:val="21"/>
                <w:szCs w:val="21"/>
                <w:lang w:bidi="ar"/>
                <w14:textFill>
                  <w14:solidFill>
                    <w14:schemeClr w14:val="tx1"/>
                  </w14:solidFill>
                </w14:textFill>
              </w:rPr>
              <w:t>87.875</w:t>
            </w:r>
          </w:p>
        </w:tc>
      </w:tr>
      <w:tr>
        <w:tblPrEx>
          <w:tblCellMar>
            <w:top w:w="0" w:type="dxa"/>
            <w:left w:w="108" w:type="dxa"/>
            <w:bottom w:w="0" w:type="dxa"/>
            <w:right w:w="108" w:type="dxa"/>
          </w:tblCellMar>
        </w:tblPrEx>
        <w:trPr>
          <w:gridAfter w:val="1"/>
          <w:wAfter w:w="118" w:type="pct"/>
          <w:trHeight w:val="341"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其他资金</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其他资金</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0</w:t>
            </w:r>
          </w:p>
        </w:tc>
      </w:tr>
      <w:tr>
        <w:tblPrEx>
          <w:tblCellMar>
            <w:top w:w="0" w:type="dxa"/>
            <w:left w:w="108" w:type="dxa"/>
            <w:bottom w:w="0" w:type="dxa"/>
            <w:right w:w="108" w:type="dxa"/>
          </w:tblCellMar>
        </w:tblPrEx>
        <w:trPr>
          <w:gridAfter w:val="1"/>
          <w:wAfter w:w="118" w:type="pct"/>
          <w:trHeight w:val="217" w:hRule="atLeast"/>
        </w:trPr>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年度总体目标</w:t>
            </w:r>
          </w:p>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完成情况</w:t>
            </w:r>
          </w:p>
        </w:tc>
        <w:tc>
          <w:tcPr>
            <w:tcW w:w="259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预期目标</w:t>
            </w:r>
          </w:p>
        </w:tc>
        <w:tc>
          <w:tcPr>
            <w:tcW w:w="172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目标实际完成情况</w:t>
            </w:r>
          </w:p>
        </w:tc>
      </w:tr>
      <w:tr>
        <w:tblPrEx>
          <w:tblCellMar>
            <w:top w:w="0" w:type="dxa"/>
            <w:left w:w="108" w:type="dxa"/>
            <w:bottom w:w="0" w:type="dxa"/>
            <w:right w:w="108" w:type="dxa"/>
          </w:tblCellMar>
        </w:tblPrEx>
        <w:trPr>
          <w:gridAfter w:val="1"/>
          <w:wAfter w:w="118" w:type="pct"/>
          <w:trHeight w:val="1297" w:hRule="atLeast"/>
        </w:trPr>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p>
        </w:tc>
        <w:tc>
          <w:tcPr>
            <w:tcW w:w="2070" w:type="pct"/>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2022年内计划发放营养餐改善计划补助资金</w:t>
            </w:r>
            <w:r>
              <w:rPr>
                <w:rFonts w:ascii="仿宋_GB2312" w:hAnsi="仿宋_GB2312" w:cs="仿宋_GB2312"/>
                <w:color w:val="000000" w:themeColor="text1"/>
                <w:kern w:val="0"/>
                <w:sz w:val="21"/>
                <w:szCs w:val="21"/>
                <w:lang w:bidi="ar"/>
                <w14:textFill>
                  <w14:solidFill>
                    <w14:schemeClr w14:val="tx1"/>
                  </w14:solidFill>
                </w14:textFill>
              </w:rPr>
              <w:t>87.875</w:t>
            </w:r>
            <w:r>
              <w:rPr>
                <w:rFonts w:hint="eastAsia" w:ascii="仿宋_GB2312" w:hAnsi="仿宋_GB2312" w:cs="仿宋_GB2312"/>
                <w:color w:val="000000" w:themeColor="text1"/>
                <w:kern w:val="0"/>
                <w:sz w:val="21"/>
                <w:szCs w:val="21"/>
                <w:lang w:bidi="ar"/>
                <w14:textFill>
                  <w14:solidFill>
                    <w14:schemeClr w14:val="tx1"/>
                  </w14:solidFill>
                </w14:textFill>
              </w:rPr>
              <w:t>万元，涉及补助学生人数</w:t>
            </w:r>
            <w:r>
              <w:rPr>
                <w:rFonts w:ascii="仿宋_GB2312" w:hAnsi="仿宋_GB2312" w:cs="仿宋_GB2312"/>
                <w:color w:val="000000" w:themeColor="text1"/>
                <w:kern w:val="0"/>
                <w:sz w:val="21"/>
                <w:szCs w:val="21"/>
                <w:lang w:bidi="ar"/>
                <w14:textFill>
                  <w14:solidFill>
                    <w14:schemeClr w14:val="tx1"/>
                  </w14:solidFill>
                </w14:textFill>
              </w:rPr>
              <w:t>925</w:t>
            </w:r>
            <w:r>
              <w:rPr>
                <w:rFonts w:hint="eastAsia" w:ascii="仿宋_GB2312" w:hAnsi="仿宋_GB2312" w:cs="仿宋_GB2312"/>
                <w:color w:val="000000" w:themeColor="text1"/>
                <w:kern w:val="0"/>
                <w:sz w:val="21"/>
                <w:szCs w:val="21"/>
                <w:lang w:bidi="ar"/>
                <w14:textFill>
                  <w14:solidFill>
                    <w14:schemeClr w14:val="tx1"/>
                  </w14:solidFill>
                </w14:textFill>
              </w:rPr>
              <w:t>名，目的是改善农村义务教育学生的营养状况，提高农村义务教育学生的健康水平，促进城乡义务教育健康持续发展。</w:t>
            </w:r>
          </w:p>
        </w:tc>
        <w:tc>
          <w:tcPr>
            <w:tcW w:w="2255" w:type="pct"/>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2022年内实际发放营养餐改善计划补助资金</w:t>
            </w:r>
            <w:r>
              <w:rPr>
                <w:rFonts w:ascii="仿宋_GB2312" w:hAnsi="仿宋_GB2312" w:cs="仿宋_GB2312"/>
                <w:color w:val="000000" w:themeColor="text1"/>
                <w:kern w:val="0"/>
                <w:sz w:val="21"/>
                <w:szCs w:val="21"/>
                <w:lang w:bidi="ar"/>
                <w14:textFill>
                  <w14:solidFill>
                    <w14:schemeClr w14:val="tx1"/>
                  </w14:solidFill>
                </w14:textFill>
              </w:rPr>
              <w:t>87.875</w:t>
            </w:r>
            <w:r>
              <w:rPr>
                <w:rFonts w:hint="eastAsia" w:ascii="仿宋_GB2312" w:hAnsi="仿宋_GB2312" w:cs="仿宋_GB2312"/>
                <w:color w:val="000000" w:themeColor="text1"/>
                <w:kern w:val="0"/>
                <w:sz w:val="21"/>
                <w:szCs w:val="21"/>
                <w:lang w:bidi="ar"/>
                <w14:textFill>
                  <w14:solidFill>
                    <w14:schemeClr w14:val="tx1"/>
                  </w14:solidFill>
                </w14:textFill>
              </w:rPr>
              <w:t>万元，涉及补助学生人数</w:t>
            </w:r>
            <w:r>
              <w:rPr>
                <w:rFonts w:ascii="仿宋_GB2312" w:hAnsi="仿宋_GB2312" w:cs="仿宋_GB2312"/>
                <w:color w:val="000000" w:themeColor="text1"/>
                <w:kern w:val="0"/>
                <w:sz w:val="21"/>
                <w:szCs w:val="21"/>
                <w:lang w:bidi="ar"/>
                <w14:textFill>
                  <w14:solidFill>
                    <w14:schemeClr w14:val="tx1"/>
                  </w14:solidFill>
                </w14:textFill>
              </w:rPr>
              <w:t>925</w:t>
            </w:r>
            <w:r>
              <w:rPr>
                <w:rFonts w:hint="eastAsia" w:ascii="仿宋_GB2312" w:hAnsi="仿宋_GB2312" w:cs="仿宋_GB2312"/>
                <w:color w:val="000000" w:themeColor="text1"/>
                <w:kern w:val="0"/>
                <w:sz w:val="21"/>
                <w:szCs w:val="21"/>
                <w:lang w:bidi="ar"/>
                <w14:textFill>
                  <w14:solidFill>
                    <w14:schemeClr w14:val="tx1"/>
                  </w14:solidFill>
                </w14:textFill>
              </w:rPr>
              <w:t>名，改善了农村义务教育学生的营养状况，提高了学生的健康水平，促进城乡义务教育均衡发展。</w:t>
            </w:r>
          </w:p>
        </w:tc>
      </w:tr>
      <w:tr>
        <w:tblPrEx>
          <w:tblCellMar>
            <w:top w:w="0" w:type="dxa"/>
            <w:left w:w="108" w:type="dxa"/>
            <w:bottom w:w="0" w:type="dxa"/>
            <w:right w:w="108" w:type="dxa"/>
          </w:tblCellMar>
        </w:tblPrEx>
        <w:trPr>
          <w:gridAfter w:val="1"/>
          <w:wAfter w:w="118" w:type="pct"/>
          <w:trHeight w:val="738" w:hRule="atLeast"/>
        </w:trPr>
        <w:tc>
          <w:tcPr>
            <w:tcW w:w="557"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年度绩效指标完成情况</w:t>
            </w:r>
          </w:p>
        </w:tc>
        <w:tc>
          <w:tcPr>
            <w:tcW w:w="406" w:type="pct"/>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一级</w:t>
            </w:r>
          </w:p>
          <w:p>
            <w:pPr>
              <w:widowControl/>
              <w:spacing w:line="320" w:lineRule="exact"/>
              <w:jc w:val="center"/>
              <w:textAlignment w:val="center"/>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二级</w:t>
            </w:r>
          </w:p>
          <w:p>
            <w:pPr>
              <w:widowControl/>
              <w:spacing w:line="320" w:lineRule="exact"/>
              <w:jc w:val="center"/>
              <w:textAlignment w:val="center"/>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三级</w:t>
            </w:r>
          </w:p>
          <w:p>
            <w:pPr>
              <w:widowControl/>
              <w:spacing w:line="320" w:lineRule="exact"/>
              <w:jc w:val="center"/>
              <w:textAlignment w:val="center"/>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指标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预期指标值</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实际完成指标值</w:t>
            </w:r>
          </w:p>
        </w:tc>
      </w:tr>
      <w:tr>
        <w:tblPrEx>
          <w:tblCellMar>
            <w:top w:w="0" w:type="dxa"/>
            <w:left w:w="108" w:type="dxa"/>
            <w:bottom w:w="0" w:type="dxa"/>
            <w:right w:w="108" w:type="dxa"/>
          </w:tblCellMar>
        </w:tblPrEx>
        <w:trPr>
          <w:gridAfter w:val="1"/>
          <w:wAfter w:w="118" w:type="pct"/>
          <w:trHeight w:val="525"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完成</w:t>
            </w:r>
          </w:p>
          <w:p>
            <w:pPr>
              <w:widowControl/>
              <w:spacing w:line="320" w:lineRule="exact"/>
              <w:jc w:val="center"/>
              <w:textAlignment w:val="bottom"/>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营养餐补助达标率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r>
      <w:tr>
        <w:tblPrEx>
          <w:tblCellMar>
            <w:top w:w="0" w:type="dxa"/>
            <w:left w:w="108" w:type="dxa"/>
            <w:bottom w:w="0" w:type="dxa"/>
            <w:right w:w="108" w:type="dxa"/>
          </w:tblCellMar>
        </w:tblPrEx>
        <w:trPr>
          <w:gridAfter w:val="1"/>
          <w:wAfter w:w="118" w:type="pct"/>
          <w:trHeight w:val="499"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营养餐质量合格率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成本指标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补助标准</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5元/人次</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5元/人次</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营养餐补助发放准确率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数量指标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营养餐改善计划补助学生人数</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925</w:t>
            </w:r>
            <w:r>
              <w:rPr>
                <w:rFonts w:hint="eastAsia"/>
                <w:color w:val="000000" w:themeColor="text1"/>
                <w:sz w:val="20"/>
                <w:szCs w:val="20"/>
                <w14:textFill>
                  <w14:solidFill>
                    <w14:schemeClr w14:val="tx1"/>
                  </w14:solidFill>
                </w14:textFill>
              </w:rPr>
              <w:t>人</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9</w:t>
            </w:r>
            <w:r>
              <w:rPr>
                <w:color w:val="000000" w:themeColor="text1"/>
                <w:sz w:val="20"/>
                <w:szCs w:val="20"/>
                <w14:textFill>
                  <w14:solidFill>
                    <w14:schemeClr w14:val="tx1"/>
                  </w14:solidFill>
                </w14:textFill>
              </w:rPr>
              <w:t>25</w:t>
            </w:r>
            <w:r>
              <w:rPr>
                <w:rFonts w:hint="eastAsia"/>
                <w:color w:val="000000" w:themeColor="text1"/>
                <w:sz w:val="20"/>
                <w:szCs w:val="20"/>
                <w14:textFill>
                  <w14:solidFill>
                    <w14:schemeClr w14:val="tx1"/>
                  </w14:solidFill>
                </w14:textFill>
              </w:rPr>
              <w:t>人</w:t>
            </w:r>
          </w:p>
        </w:tc>
      </w:tr>
      <w:tr>
        <w:tblPrEx>
          <w:tblCellMar>
            <w:top w:w="0" w:type="dxa"/>
            <w:left w:w="108" w:type="dxa"/>
            <w:bottom w:w="0" w:type="dxa"/>
            <w:right w:w="108" w:type="dxa"/>
          </w:tblCellMar>
        </w:tblPrEx>
        <w:trPr>
          <w:gridAfter w:val="1"/>
          <w:wAfter w:w="118" w:type="pct"/>
          <w:trHeight w:val="40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时效指标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营养餐（蛋、奶等）发放及时率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效益指标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社会效益指标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改善学生营养状况</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优</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社会效益指标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营养餐应吃尽吃率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100%</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可持续影响指标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学生营养膳食补助政策健全性</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优</w:t>
            </w:r>
          </w:p>
        </w:tc>
      </w:tr>
      <w:tr>
        <w:tblPrEx>
          <w:tblCellMar>
            <w:top w:w="0" w:type="dxa"/>
            <w:left w:w="108" w:type="dxa"/>
            <w:bottom w:w="0" w:type="dxa"/>
            <w:right w:w="108" w:type="dxa"/>
          </w:tblCellMar>
        </w:tblPrEx>
        <w:trPr>
          <w:gridAfter w:val="1"/>
          <w:wAfter w:w="118" w:type="pct"/>
          <w:trHeight w:val="20" w:hRule="atLeast"/>
        </w:trPr>
        <w:tc>
          <w:tcPr>
            <w:tcW w:w="557" w:type="pct"/>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满意度指标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仿宋_GB2312" w:hAnsi="仿宋_GB2312" w:cs="仿宋_GB2312"/>
                <w:color w:val="000000" w:themeColor="text1"/>
                <w:sz w:val="21"/>
                <w:szCs w:val="21"/>
                <w14:textFill>
                  <w14:solidFill>
                    <w14:schemeClr w14:val="tx1"/>
                  </w14:solidFill>
                </w14:textFill>
              </w:rPr>
            </w:pPr>
            <w:r>
              <w:rPr>
                <w:rFonts w:hint="eastAsia"/>
                <w:color w:val="000000" w:themeColor="text1"/>
                <w:sz w:val="20"/>
                <w:szCs w:val="20"/>
                <w14:textFill>
                  <w14:solidFill>
                    <w14:schemeClr w14:val="tx1"/>
                  </w14:solidFill>
                </w14:textFill>
              </w:rPr>
              <w:t>满意度指标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受惠学生满意度</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90%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100%</w:t>
            </w:r>
          </w:p>
        </w:tc>
      </w:tr>
    </w:tbl>
    <w:p>
      <w:pPr>
        <w:pStyle w:val="2"/>
        <w:rPr>
          <w:rFonts w:ascii="仿宋_GB2312" w:hAnsi="宋体" w:cs="宋体"/>
          <w:color w:val="000000" w:themeColor="text1"/>
          <w:kern w:val="0"/>
          <w:szCs w:val="32"/>
          <w:highlight w:val="red"/>
          <w:shd w:val="clear" w:color="auto" w:fill="FFFFFF"/>
          <w:lang w:val="zh-CN"/>
          <w14:textFill>
            <w14:solidFill>
              <w14:schemeClr w14:val="tx1"/>
            </w14:solidFill>
          </w14:textFill>
        </w:rPr>
      </w:pPr>
    </w:p>
    <w:p>
      <w:pPr>
        <w:rPr>
          <w:rFonts w:ascii="仿宋_GB2312" w:hAnsi="宋体" w:cs="宋体"/>
          <w:color w:val="000000" w:themeColor="text1"/>
          <w:kern w:val="0"/>
          <w:szCs w:val="32"/>
          <w:highlight w:val="red"/>
          <w:shd w:val="clear" w:color="auto" w:fill="FFFFFF"/>
          <w:lang w:val="zh-CN"/>
          <w14:textFill>
            <w14:solidFill>
              <w14:schemeClr w14:val="tx1"/>
            </w14:solidFill>
          </w14:textFill>
        </w:rPr>
      </w:pPr>
    </w:p>
    <w:p>
      <w:pPr>
        <w:pStyle w:val="2"/>
        <w:rPr>
          <w:rFonts w:ascii="仿宋_GB2312" w:hAnsi="宋体" w:cs="宋体"/>
          <w:color w:val="000000" w:themeColor="text1"/>
          <w:kern w:val="0"/>
          <w:szCs w:val="32"/>
          <w:highlight w:val="red"/>
          <w:shd w:val="clear" w:color="auto" w:fill="FFFFFF"/>
          <w:lang w:val="zh-CN"/>
          <w14:textFill>
            <w14:solidFill>
              <w14:schemeClr w14:val="tx1"/>
            </w14:solidFill>
          </w14:textFill>
        </w:rPr>
      </w:pPr>
    </w:p>
    <w:p>
      <w:pPr>
        <w:rPr>
          <w:rFonts w:ascii="仿宋_GB2312" w:hAnsi="宋体" w:cs="宋体"/>
          <w:color w:val="000000" w:themeColor="text1"/>
          <w:kern w:val="0"/>
          <w:szCs w:val="32"/>
          <w:highlight w:val="red"/>
          <w:shd w:val="clear" w:color="auto" w:fill="FFFFFF"/>
          <w:lang w:val="zh-CN"/>
          <w14:textFill>
            <w14:solidFill>
              <w14:schemeClr w14:val="tx1"/>
            </w14:solidFill>
          </w14:textFill>
        </w:rPr>
      </w:pPr>
    </w:p>
    <w:p>
      <w:pPr>
        <w:pStyle w:val="2"/>
        <w:rPr>
          <w:rFonts w:ascii="仿宋_GB2312" w:hAnsi="宋体" w:cs="宋体"/>
          <w:color w:val="000000" w:themeColor="text1"/>
          <w:kern w:val="0"/>
          <w:szCs w:val="32"/>
          <w:highlight w:val="red"/>
          <w:shd w:val="clear" w:color="auto" w:fill="FFFFFF"/>
          <w:lang w:val="zh-CN"/>
          <w14:textFill>
            <w14:solidFill>
              <w14:schemeClr w14:val="tx1"/>
            </w14:solidFill>
          </w14:textFill>
        </w:rPr>
      </w:pPr>
    </w:p>
    <w:p>
      <w:pPr>
        <w:rPr>
          <w:rFonts w:ascii="仿宋_GB2312" w:hAnsi="宋体" w:cs="宋体"/>
          <w:color w:val="000000" w:themeColor="text1"/>
          <w:kern w:val="0"/>
          <w:szCs w:val="32"/>
          <w:highlight w:val="red"/>
          <w:shd w:val="clear" w:color="auto" w:fill="FFFFFF"/>
          <w:lang w:val="zh-CN"/>
          <w14:textFill>
            <w14:solidFill>
              <w14:schemeClr w14:val="tx1"/>
            </w14:solidFill>
          </w14:textFill>
        </w:rPr>
      </w:pPr>
    </w:p>
    <w:p>
      <w:pPr>
        <w:rPr>
          <w:color w:val="000000" w:themeColor="text1"/>
          <w:highlight w:val="red"/>
          <w14:textFill>
            <w14:solidFill>
              <w14:schemeClr w14:val="tx1"/>
            </w14:solidFill>
          </w14:textFill>
        </w:rPr>
      </w:pPr>
    </w:p>
    <w:p>
      <w:pPr>
        <w:widowControl/>
        <w:adjustRightInd w:val="0"/>
        <w:snapToGrid w:val="0"/>
        <w:spacing w:line="580" w:lineRule="exact"/>
        <w:contextualSpacing/>
        <w:jc w:val="left"/>
        <w:rPr>
          <w:color w:val="000000" w:themeColor="text1"/>
          <w:lang w:val="zh-CN"/>
          <w14:textFill>
            <w14:solidFill>
              <w14:schemeClr w14:val="tx1"/>
            </w14:solidFill>
          </w14:textFill>
        </w:rPr>
      </w:pPr>
      <w:r>
        <w:rPr>
          <w:rFonts w:hint="eastAsia" w:ascii="仿宋_GB2312" w:hAnsi="宋体" w:cs="宋体"/>
          <w:color w:val="000000" w:themeColor="text1"/>
          <w:kern w:val="0"/>
          <w:szCs w:val="32"/>
          <w:shd w:val="clear" w:color="auto" w:fill="FFFFFF"/>
          <w:lang w:val="zh-CN"/>
          <w14:textFill>
            <w14:solidFill>
              <w14:schemeClr w14:val="tx1"/>
            </w14:solidFill>
          </w14:textFill>
        </w:rPr>
        <w:t>附表</w:t>
      </w:r>
      <w:r>
        <w:rPr>
          <w:rFonts w:ascii="仿宋_GB2312" w:hAnsi="宋体" w:cs="宋体"/>
          <w:color w:val="000000" w:themeColor="text1"/>
          <w:kern w:val="0"/>
          <w:szCs w:val="32"/>
          <w:shd w:val="clear" w:color="auto" w:fill="FFFFFF"/>
          <w14:textFill>
            <w14:solidFill>
              <w14:schemeClr w14:val="tx1"/>
            </w14:solidFill>
          </w14:textFill>
        </w:rPr>
        <w:t>3</w:t>
      </w:r>
      <w:r>
        <w:rPr>
          <w:rFonts w:hint="eastAsia" w:ascii="仿宋_GB2312" w:hAnsi="宋体" w:cs="宋体"/>
          <w:color w:val="000000" w:themeColor="text1"/>
          <w:kern w:val="0"/>
          <w:szCs w:val="32"/>
          <w:shd w:val="clear" w:color="auto" w:fill="FFFFFF"/>
          <w:lang w:val="zh-CN"/>
          <w14:textFill>
            <w14:solidFill>
              <w14:schemeClr w14:val="tx1"/>
            </w14:solidFill>
          </w14:textFill>
        </w:rPr>
        <w:t>：</w:t>
      </w:r>
    </w:p>
    <w:p>
      <w:pPr>
        <w:pStyle w:val="2"/>
        <w:rPr>
          <w:rFonts w:ascii="仿宋_GB2312" w:hAnsi="宋体" w:cs="宋体"/>
          <w:color w:val="000000" w:themeColor="text1"/>
          <w:kern w:val="0"/>
          <w:szCs w:val="32"/>
          <w:highlight w:val="red"/>
          <w:shd w:val="clear" w:color="auto" w:fill="FFFFFF"/>
          <w:lang w:val="zh-CN"/>
          <w14:textFill>
            <w14:solidFill>
              <w14:schemeClr w14:val="tx1"/>
            </w14:solidFill>
          </w14:textFill>
        </w:rPr>
      </w:pPr>
    </w:p>
    <w:tbl>
      <w:tblPr>
        <w:tblStyle w:val="5"/>
        <w:tblpPr w:leftFromText="180" w:rightFromText="180" w:vertAnchor="text" w:horzAnchor="page" w:tblpX="1256" w:tblpY="221"/>
        <w:tblOverlap w:val="never"/>
        <w:tblW w:w="5170" w:type="pct"/>
        <w:tblInd w:w="0" w:type="dxa"/>
        <w:tblLayout w:type="autofit"/>
        <w:tblCellMar>
          <w:top w:w="0" w:type="dxa"/>
          <w:left w:w="108" w:type="dxa"/>
          <w:bottom w:w="0" w:type="dxa"/>
          <w:right w:w="108" w:type="dxa"/>
        </w:tblCellMar>
      </w:tblPr>
      <w:tblGrid>
        <w:gridCol w:w="1043"/>
        <w:gridCol w:w="603"/>
        <w:gridCol w:w="157"/>
        <w:gridCol w:w="1848"/>
        <w:gridCol w:w="330"/>
        <w:gridCol w:w="941"/>
        <w:gridCol w:w="989"/>
        <w:gridCol w:w="712"/>
        <w:gridCol w:w="686"/>
        <w:gridCol w:w="594"/>
        <w:gridCol w:w="1244"/>
        <w:gridCol w:w="222"/>
      </w:tblGrid>
      <w:tr>
        <w:tblPrEx>
          <w:tblCellMar>
            <w:top w:w="0" w:type="dxa"/>
            <w:left w:w="108" w:type="dxa"/>
            <w:bottom w:w="0" w:type="dxa"/>
            <w:right w:w="108" w:type="dxa"/>
          </w:tblCellMar>
        </w:tblPrEx>
        <w:trPr>
          <w:trHeight w:val="675" w:hRule="atLeast"/>
        </w:trPr>
        <w:tc>
          <w:tcPr>
            <w:tcW w:w="4882" w:type="pct"/>
            <w:gridSpan w:val="11"/>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themeColor="text1"/>
                <w:szCs w:val="32"/>
                <w14:textFill>
                  <w14:solidFill>
                    <w14:schemeClr w14:val="tx1"/>
                  </w14:solidFill>
                </w14:textFill>
              </w:rPr>
            </w:pPr>
            <w:r>
              <w:rPr>
                <w:rFonts w:hint="eastAsia" w:ascii="宋体" w:hAnsi="宋体" w:eastAsia="宋体" w:cs="宋体"/>
                <w:b/>
                <w:color w:val="000000" w:themeColor="text1"/>
                <w:szCs w:val="32"/>
                <w14:textFill>
                  <w14:solidFill>
                    <w14:schemeClr w14:val="tx1"/>
                  </w14:solidFill>
                </w14:textFill>
              </w:rPr>
              <w:t>2022年特定目标类部门预算项目绩效目标自评</w:t>
            </w:r>
          </w:p>
          <w:p>
            <w:pPr>
              <w:widowControl/>
              <w:jc w:val="center"/>
              <w:textAlignment w:val="center"/>
              <w:rPr>
                <w:rFonts w:ascii="宋体" w:hAnsi="宋体" w:eastAsia="宋体" w:cs="宋体"/>
                <w:b/>
                <w:color w:val="000000" w:themeColor="text1"/>
                <w:szCs w:val="32"/>
                <w14:textFill>
                  <w14:solidFill>
                    <w14:schemeClr w14:val="tx1"/>
                  </w14:solidFill>
                </w14:textFill>
              </w:rPr>
            </w:pPr>
            <w:r>
              <w:rPr>
                <w:rFonts w:hint="eastAsia" w:ascii="宋体" w:hAnsi="宋体" w:eastAsia="宋体" w:cs="宋体"/>
                <w:b/>
                <w:color w:val="000000" w:themeColor="text1"/>
                <w:szCs w:val="32"/>
                <w14:textFill>
                  <w14:solidFill>
                    <w14:schemeClr w14:val="tx1"/>
                  </w14:solidFill>
                </w14:textFill>
              </w:rPr>
              <w:t>（项目名称：食堂购买服务专项）</w:t>
            </w:r>
          </w:p>
        </w:tc>
        <w:tc>
          <w:tcPr>
            <w:tcW w:w="118" w:type="pct"/>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themeColor="text1"/>
                <w:kern w:val="0"/>
                <w:szCs w:val="32"/>
                <w:lang w:bidi="ar"/>
                <w14:textFill>
                  <w14:solidFill>
                    <w14:schemeClr w14:val="tx1"/>
                  </w14:solidFill>
                </w14:textFill>
              </w:rPr>
            </w:pPr>
          </w:p>
        </w:tc>
      </w:tr>
      <w:tr>
        <w:tblPrEx>
          <w:tblCellMar>
            <w:top w:w="0" w:type="dxa"/>
            <w:left w:w="108" w:type="dxa"/>
            <w:bottom w:w="0" w:type="dxa"/>
            <w:right w:w="108" w:type="dxa"/>
          </w:tblCellMar>
        </w:tblPrEx>
        <w:trPr>
          <w:gridAfter w:val="1"/>
          <w:wAfter w:w="118" w:type="pct"/>
          <w:trHeight w:val="254" w:hRule="atLeast"/>
        </w:trPr>
        <w:tc>
          <w:tcPr>
            <w:tcW w:w="8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实施单位</w:t>
            </w:r>
          </w:p>
        </w:tc>
        <w:tc>
          <w:tcPr>
            <w:tcW w:w="227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达川区石梯镇中心小学</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主管部门及代码</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达川区教育局</w:t>
            </w:r>
          </w:p>
        </w:tc>
      </w:tr>
      <w:tr>
        <w:tblPrEx>
          <w:tblCellMar>
            <w:top w:w="0" w:type="dxa"/>
            <w:left w:w="108" w:type="dxa"/>
            <w:bottom w:w="0" w:type="dxa"/>
            <w:right w:w="108" w:type="dxa"/>
          </w:tblCellMar>
        </w:tblPrEx>
        <w:trPr>
          <w:gridAfter w:val="1"/>
          <w:wAfter w:w="118" w:type="pct"/>
          <w:trHeight w:val="341" w:hRule="atLeast"/>
        </w:trPr>
        <w:tc>
          <w:tcPr>
            <w:tcW w:w="8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项目预算</w:t>
            </w:r>
          </w:p>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执行情况</w:t>
            </w:r>
          </w:p>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（万元）</w:t>
            </w: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预算数：</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ascii="仿宋_GB2312" w:hAnsi="仿宋_GB2312" w:cs="仿宋_GB2312"/>
                <w:color w:val="000000" w:themeColor="text1"/>
                <w:kern w:val="0"/>
                <w:sz w:val="21"/>
                <w:szCs w:val="21"/>
                <w:lang w:bidi="ar"/>
                <w14:textFill>
                  <w14:solidFill>
                    <w14:schemeClr w14:val="tx1"/>
                  </w14:solidFill>
                </w14:textFill>
              </w:rPr>
              <w:t>0.8</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执行数：</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ascii="仿宋_GB2312" w:hAnsi="仿宋_GB2312" w:cs="仿宋_GB2312"/>
                <w:color w:val="000000" w:themeColor="text1"/>
                <w:kern w:val="0"/>
                <w:sz w:val="21"/>
                <w:szCs w:val="21"/>
                <w:lang w:bidi="ar"/>
                <w14:textFill>
                  <w14:solidFill>
                    <w14:schemeClr w14:val="tx1"/>
                  </w14:solidFill>
                </w14:textFill>
              </w:rPr>
              <w:t>0.8</w:t>
            </w:r>
          </w:p>
        </w:tc>
      </w:tr>
      <w:tr>
        <w:tblPrEx>
          <w:tblCellMar>
            <w:top w:w="0" w:type="dxa"/>
            <w:left w:w="108" w:type="dxa"/>
            <w:bottom w:w="0" w:type="dxa"/>
            <w:right w:w="108" w:type="dxa"/>
          </w:tblCellMar>
        </w:tblPrEx>
        <w:trPr>
          <w:gridAfter w:val="1"/>
          <w:wAfter w:w="118" w:type="pct"/>
          <w:trHeight w:val="275"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其中：财政拨款</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ascii="仿宋_GB2312" w:hAnsi="仿宋_GB2312" w:cs="仿宋_GB2312"/>
                <w:color w:val="000000" w:themeColor="text1"/>
                <w:kern w:val="0"/>
                <w:sz w:val="21"/>
                <w:szCs w:val="21"/>
                <w:lang w:bidi="ar"/>
                <w14:textFill>
                  <w14:solidFill>
                    <w14:schemeClr w14:val="tx1"/>
                  </w14:solidFill>
                </w14:textFill>
              </w:rPr>
              <w:t>0.8</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其中：财政拨款</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ascii="仿宋_GB2312" w:hAnsi="仿宋_GB2312" w:cs="仿宋_GB2312"/>
                <w:color w:val="000000" w:themeColor="text1"/>
                <w:kern w:val="0"/>
                <w:sz w:val="21"/>
                <w:szCs w:val="21"/>
                <w:lang w:bidi="ar"/>
                <w14:textFill>
                  <w14:solidFill>
                    <w14:schemeClr w14:val="tx1"/>
                  </w14:solidFill>
                </w14:textFill>
              </w:rPr>
              <w:t>0.8</w:t>
            </w:r>
          </w:p>
        </w:tc>
      </w:tr>
      <w:tr>
        <w:tblPrEx>
          <w:tblCellMar>
            <w:top w:w="0" w:type="dxa"/>
            <w:left w:w="108" w:type="dxa"/>
            <w:bottom w:w="0" w:type="dxa"/>
            <w:right w:w="108" w:type="dxa"/>
          </w:tblCellMar>
        </w:tblPrEx>
        <w:trPr>
          <w:gridAfter w:val="1"/>
          <w:wAfter w:w="118" w:type="pct"/>
          <w:trHeight w:val="341"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其他资金</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其他资金</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0</w:t>
            </w:r>
          </w:p>
        </w:tc>
      </w:tr>
      <w:tr>
        <w:tblPrEx>
          <w:tblCellMar>
            <w:top w:w="0" w:type="dxa"/>
            <w:left w:w="108" w:type="dxa"/>
            <w:bottom w:w="0" w:type="dxa"/>
            <w:right w:w="108" w:type="dxa"/>
          </w:tblCellMar>
        </w:tblPrEx>
        <w:trPr>
          <w:gridAfter w:val="1"/>
          <w:wAfter w:w="118" w:type="pct"/>
          <w:trHeight w:val="217" w:hRule="atLeast"/>
        </w:trPr>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年度总体目标</w:t>
            </w:r>
          </w:p>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完成情况</w:t>
            </w:r>
          </w:p>
        </w:tc>
        <w:tc>
          <w:tcPr>
            <w:tcW w:w="259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预期目标</w:t>
            </w:r>
          </w:p>
        </w:tc>
        <w:tc>
          <w:tcPr>
            <w:tcW w:w="172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目标实际完成情况</w:t>
            </w:r>
          </w:p>
        </w:tc>
      </w:tr>
      <w:tr>
        <w:tblPrEx>
          <w:tblCellMar>
            <w:top w:w="0" w:type="dxa"/>
            <w:left w:w="108" w:type="dxa"/>
            <w:bottom w:w="0" w:type="dxa"/>
            <w:right w:w="108" w:type="dxa"/>
          </w:tblCellMar>
        </w:tblPrEx>
        <w:trPr>
          <w:gridAfter w:val="1"/>
          <w:wAfter w:w="118" w:type="pct"/>
          <w:trHeight w:val="1297" w:hRule="atLeast"/>
        </w:trPr>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p>
        </w:tc>
        <w:tc>
          <w:tcPr>
            <w:tcW w:w="2070" w:type="pct"/>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2022年内计划发放食堂购买服务费</w:t>
            </w:r>
            <w:r>
              <w:rPr>
                <w:rFonts w:ascii="仿宋_GB2312" w:hAnsi="仿宋_GB2312" w:cs="仿宋_GB2312"/>
                <w:color w:val="000000" w:themeColor="text1"/>
                <w:kern w:val="0"/>
                <w:sz w:val="21"/>
                <w:szCs w:val="21"/>
                <w:lang w:bidi="ar"/>
                <w14:textFill>
                  <w14:solidFill>
                    <w14:schemeClr w14:val="tx1"/>
                  </w14:solidFill>
                </w14:textFill>
              </w:rPr>
              <w:t>0.8</w:t>
            </w:r>
            <w:r>
              <w:rPr>
                <w:rFonts w:hint="eastAsia" w:ascii="仿宋_GB2312" w:hAnsi="仿宋_GB2312" w:cs="仿宋_GB2312"/>
                <w:color w:val="000000" w:themeColor="text1"/>
                <w:kern w:val="0"/>
                <w:sz w:val="21"/>
                <w:szCs w:val="21"/>
                <w:lang w:bidi="ar"/>
                <w14:textFill>
                  <w14:solidFill>
                    <w14:schemeClr w14:val="tx1"/>
                  </w14:solidFill>
                </w14:textFill>
              </w:rPr>
              <w:t>万元，涉及补助食堂从业人员1名，目的是建立健全农村义务教育学生营养改善计划长效保障机制和保障学校食堂从业人员相关权益。</w:t>
            </w:r>
          </w:p>
        </w:tc>
        <w:tc>
          <w:tcPr>
            <w:tcW w:w="2255" w:type="pct"/>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2022年实际发放食堂购买服务费</w:t>
            </w:r>
            <w:r>
              <w:rPr>
                <w:rFonts w:ascii="仿宋_GB2312" w:hAnsi="仿宋_GB2312" w:cs="仿宋_GB2312"/>
                <w:color w:val="000000" w:themeColor="text1"/>
                <w:kern w:val="0"/>
                <w:sz w:val="21"/>
                <w:szCs w:val="21"/>
                <w:lang w:bidi="ar"/>
                <w14:textFill>
                  <w14:solidFill>
                    <w14:schemeClr w14:val="tx1"/>
                  </w14:solidFill>
                </w14:textFill>
              </w:rPr>
              <w:t>0.8</w:t>
            </w:r>
            <w:r>
              <w:rPr>
                <w:rFonts w:hint="eastAsia" w:ascii="仿宋_GB2312" w:hAnsi="仿宋_GB2312" w:cs="仿宋_GB2312"/>
                <w:color w:val="000000" w:themeColor="text1"/>
                <w:kern w:val="0"/>
                <w:sz w:val="21"/>
                <w:szCs w:val="21"/>
                <w:lang w:bidi="ar"/>
                <w14:textFill>
                  <w14:solidFill>
                    <w14:schemeClr w14:val="tx1"/>
                  </w14:solidFill>
                </w14:textFill>
              </w:rPr>
              <w:t>万元，涉及补助食堂从业人员1名，维护了农村义务教育学生营养改善计划长效保障机制和保障学校食堂从业人员相关权益。</w:t>
            </w:r>
          </w:p>
        </w:tc>
      </w:tr>
      <w:tr>
        <w:tblPrEx>
          <w:tblCellMar>
            <w:top w:w="0" w:type="dxa"/>
            <w:left w:w="108" w:type="dxa"/>
            <w:bottom w:w="0" w:type="dxa"/>
            <w:right w:w="108" w:type="dxa"/>
          </w:tblCellMar>
        </w:tblPrEx>
        <w:trPr>
          <w:gridAfter w:val="1"/>
          <w:wAfter w:w="118" w:type="pct"/>
          <w:trHeight w:val="738" w:hRule="atLeast"/>
        </w:trPr>
        <w:tc>
          <w:tcPr>
            <w:tcW w:w="557"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年度绩效指标完成情况</w:t>
            </w:r>
          </w:p>
        </w:tc>
        <w:tc>
          <w:tcPr>
            <w:tcW w:w="406" w:type="pct"/>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一级</w:t>
            </w:r>
          </w:p>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二级</w:t>
            </w:r>
          </w:p>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三级</w:t>
            </w:r>
          </w:p>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指标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预期指标值</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kern w:val="0"/>
                <w:sz w:val="20"/>
                <w:szCs w:val="20"/>
                <w:lang w:bidi="ar"/>
                <w14:textFill>
                  <w14:solidFill>
                    <w14:schemeClr w14:val="tx1"/>
                  </w14:solidFill>
                </w14:textFill>
              </w:rPr>
              <w:t>实际完成指标值</w:t>
            </w:r>
          </w:p>
        </w:tc>
      </w:tr>
      <w:tr>
        <w:tblPrEx>
          <w:tblCellMar>
            <w:top w:w="0" w:type="dxa"/>
            <w:left w:w="108" w:type="dxa"/>
            <w:bottom w:w="0" w:type="dxa"/>
            <w:right w:w="108" w:type="dxa"/>
          </w:tblCellMar>
        </w:tblPrEx>
        <w:trPr>
          <w:gridAfter w:val="1"/>
          <w:wAfter w:w="118" w:type="pct"/>
          <w:trHeight w:val="525"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0"/>
                <w:szCs w:val="20"/>
                <w:lang w:bidi="ar"/>
                <w14:textFill>
                  <w14:solidFill>
                    <w14:schemeClr w14:val="tx1"/>
                  </w14:solidFill>
                </w14:textFill>
              </w:rPr>
            </w:pPr>
            <w:r>
              <w:rPr>
                <w:rFonts w:hint="eastAsia" w:ascii="仿宋_GB2312" w:hAnsi="仿宋_GB2312" w:cs="仿宋_GB2312"/>
                <w:color w:val="000000" w:themeColor="text1"/>
                <w:kern w:val="0"/>
                <w:sz w:val="20"/>
                <w:szCs w:val="20"/>
                <w:lang w:bidi="ar"/>
                <w14:textFill>
                  <w14:solidFill>
                    <w14:schemeClr w14:val="tx1"/>
                  </w14:solidFill>
                </w14:textFill>
              </w:rPr>
              <w:t>完成</w:t>
            </w:r>
          </w:p>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kern w:val="0"/>
                <w:sz w:val="20"/>
                <w:szCs w:val="20"/>
                <w:lang w:bidi="ar"/>
                <w14:textFill>
                  <w14:solidFill>
                    <w14:schemeClr w14:val="tx1"/>
                  </w14:solidFill>
                </w14:textFill>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数量指标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补助食堂从业人员数量</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w:t>
            </w:r>
            <w:r>
              <w:rPr>
                <w:rFonts w:hint="eastAsia"/>
                <w:color w:val="000000" w:themeColor="text1"/>
                <w:sz w:val="20"/>
                <w:szCs w:val="20"/>
                <w14:textFill>
                  <w14:solidFill>
                    <w14:schemeClr w14:val="tx1"/>
                  </w14:solidFill>
                </w14:textFill>
              </w:rPr>
              <w:t>人</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w:t>
            </w:r>
            <w:r>
              <w:rPr>
                <w:rFonts w:hint="eastAsia"/>
                <w:color w:val="000000" w:themeColor="text1"/>
                <w:sz w:val="20"/>
                <w:szCs w:val="20"/>
                <w14:textFill>
                  <w14:solidFill>
                    <w14:schemeClr w14:val="tx1"/>
                  </w14:solidFill>
                </w14:textFill>
              </w:rPr>
              <w:t>人</w:t>
            </w:r>
          </w:p>
        </w:tc>
      </w:tr>
      <w:tr>
        <w:tblPrEx>
          <w:tblCellMar>
            <w:top w:w="0" w:type="dxa"/>
            <w:left w:w="108" w:type="dxa"/>
            <w:bottom w:w="0" w:type="dxa"/>
            <w:right w:w="108" w:type="dxa"/>
          </w:tblCellMar>
        </w:tblPrEx>
        <w:trPr>
          <w:gridAfter w:val="1"/>
          <w:wAfter w:w="118" w:type="pct"/>
          <w:trHeight w:val="499"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0"/>
                <w:szCs w:val="20"/>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食堂从业人员正常到岗率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0"/>
                <w:szCs w:val="20"/>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成本指标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项目成本控制数</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0.8</w:t>
            </w:r>
            <w:r>
              <w:rPr>
                <w:rFonts w:hint="eastAsia"/>
                <w:color w:val="000000" w:themeColor="text1"/>
                <w:sz w:val="20"/>
                <w:szCs w:val="20"/>
                <w14:textFill>
                  <w14:solidFill>
                    <w14:schemeClr w14:val="tx1"/>
                  </w14:solidFill>
                </w14:textFill>
              </w:rPr>
              <w:t>万元</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0.8</w:t>
            </w:r>
            <w:r>
              <w:rPr>
                <w:rFonts w:hint="eastAsia"/>
                <w:color w:val="000000" w:themeColor="text1"/>
                <w:sz w:val="20"/>
                <w:szCs w:val="20"/>
                <w14:textFill>
                  <w14:solidFill>
                    <w14:schemeClr w14:val="tx1"/>
                  </w14:solidFill>
                </w14:textFill>
              </w:rPr>
              <w:t>万元</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0"/>
                <w:szCs w:val="20"/>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食堂从业人员工资发放准确率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0"/>
                <w:szCs w:val="20"/>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时效指标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食堂从业人员工资发放及时率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r>
      <w:tr>
        <w:tblPrEx>
          <w:tblCellMar>
            <w:top w:w="0" w:type="dxa"/>
            <w:left w:w="108" w:type="dxa"/>
            <w:bottom w:w="0" w:type="dxa"/>
            <w:right w:w="108" w:type="dxa"/>
          </w:tblCellMar>
        </w:tblPrEx>
        <w:trPr>
          <w:gridAfter w:val="1"/>
          <w:wAfter w:w="118" w:type="pct"/>
          <w:trHeight w:val="40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0"/>
                <w:szCs w:val="20"/>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食堂从业人员资质符合率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kern w:val="0"/>
                <w:sz w:val="20"/>
                <w:szCs w:val="20"/>
                <w:lang w:bidi="ar"/>
                <w14:textFill>
                  <w14:solidFill>
                    <w14:schemeClr w14:val="tx1"/>
                  </w14:solidFill>
                </w14:textFill>
              </w:rPr>
              <w:t>效益指标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社会效益指标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保障食堂从业人员相关权益</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0"/>
                <w:szCs w:val="20"/>
                <w14:textFill>
                  <w14:solidFill>
                    <w14:schemeClr w14:val="tx1"/>
                  </w14:solidFill>
                </w14:textFill>
              </w:rPr>
              <w:t>优</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0"/>
                <w:szCs w:val="20"/>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社会效益指标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维护营养餐计划长效保障机制</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0"/>
                <w:szCs w:val="20"/>
                <w14:textFill>
                  <w14:solidFill>
                    <w14:schemeClr w14:val="tx1"/>
                  </w14:solidFill>
                </w14:textFill>
              </w:rPr>
              <w:t>优</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0"/>
                <w:szCs w:val="20"/>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可持续影响指标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食堂管理服务制度健全性</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0"/>
                <w:szCs w:val="20"/>
                <w14:textFill>
                  <w14:solidFill>
                    <w14:schemeClr w14:val="tx1"/>
                  </w14:solidFill>
                </w14:textFill>
              </w:rPr>
              <w:t>优</w:t>
            </w:r>
          </w:p>
        </w:tc>
      </w:tr>
      <w:tr>
        <w:tblPrEx>
          <w:tblCellMar>
            <w:top w:w="0" w:type="dxa"/>
            <w:left w:w="108" w:type="dxa"/>
            <w:bottom w:w="0" w:type="dxa"/>
            <w:right w:w="108" w:type="dxa"/>
          </w:tblCellMar>
        </w:tblPrEx>
        <w:trPr>
          <w:gridAfter w:val="1"/>
          <w:wAfter w:w="118" w:type="pct"/>
          <w:trHeight w:val="20" w:hRule="atLeast"/>
        </w:trPr>
        <w:tc>
          <w:tcPr>
            <w:tcW w:w="557" w:type="pct"/>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kern w:val="0"/>
                <w:sz w:val="20"/>
                <w:szCs w:val="20"/>
                <w:lang w:bidi="ar"/>
                <w14:textFill>
                  <w14:solidFill>
                    <w14:schemeClr w14:val="tx1"/>
                  </w14:solidFill>
                </w14:textFill>
              </w:rPr>
              <w:t>满意度指标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0"/>
                <w:szCs w:val="20"/>
                <w14:textFill>
                  <w14:solidFill>
                    <w14:schemeClr w14:val="tx1"/>
                  </w14:solidFill>
                </w14:textFill>
              </w:rPr>
              <w:t>满意度指标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师生满意度</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0"/>
                <w:szCs w:val="20"/>
                <w14:textFill>
                  <w14:solidFill>
                    <w14:schemeClr w14:val="tx1"/>
                  </w14:solidFill>
                </w14:textFill>
              </w:rPr>
              <w:t>90%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0"/>
                <w:szCs w:val="20"/>
                <w14:textFill>
                  <w14:solidFill>
                    <w14:schemeClr w14:val="tx1"/>
                  </w14:solidFill>
                </w14:textFill>
              </w:rPr>
              <w:t>100%</w:t>
            </w:r>
          </w:p>
        </w:tc>
      </w:tr>
    </w:tbl>
    <w:p>
      <w:pPr>
        <w:rPr>
          <w:rFonts w:ascii="仿宋_GB2312" w:hAnsi="宋体" w:cs="宋体"/>
          <w:color w:val="000000" w:themeColor="text1"/>
          <w:kern w:val="0"/>
          <w:szCs w:val="32"/>
          <w:highlight w:val="red"/>
          <w:shd w:val="clear" w:color="auto" w:fill="FFFFFF"/>
          <w:lang w:val="zh-CN"/>
          <w14:textFill>
            <w14:solidFill>
              <w14:schemeClr w14:val="tx1"/>
            </w14:solidFill>
          </w14:textFill>
        </w:rPr>
      </w:pPr>
    </w:p>
    <w:p>
      <w:pPr>
        <w:pStyle w:val="2"/>
        <w:rPr>
          <w:rFonts w:hint="eastAsia"/>
          <w:highlight w:val="red"/>
        </w:rPr>
        <w:sectPr>
          <w:headerReference r:id="rId3" w:type="default"/>
          <w:pgSz w:w="11906" w:h="16838"/>
          <w:pgMar w:top="1701" w:right="1474" w:bottom="1134" w:left="1587" w:header="851" w:footer="992" w:gutter="0"/>
          <w:pgNumType w:fmt="numberInDash" w:start="16"/>
          <w:cols w:space="0" w:num="1"/>
          <w:docGrid w:type="lines" w:linePitch="435" w:charSpace="0"/>
        </w:sectPr>
      </w:pPr>
    </w:p>
    <w:tbl>
      <w:tblPr>
        <w:tblStyle w:val="5"/>
        <w:tblW w:w="14276" w:type="dxa"/>
        <w:tblInd w:w="93" w:type="dxa"/>
        <w:tblLayout w:type="autofit"/>
        <w:tblCellMar>
          <w:top w:w="0" w:type="dxa"/>
          <w:left w:w="108" w:type="dxa"/>
          <w:bottom w:w="0" w:type="dxa"/>
          <w:right w:w="108" w:type="dxa"/>
        </w:tblCellMar>
      </w:tblPr>
      <w:tblGrid>
        <w:gridCol w:w="942"/>
        <w:gridCol w:w="781"/>
        <w:gridCol w:w="660"/>
        <w:gridCol w:w="579"/>
        <w:gridCol w:w="554"/>
        <w:gridCol w:w="2187"/>
        <w:gridCol w:w="5192"/>
        <w:gridCol w:w="672"/>
        <w:gridCol w:w="672"/>
        <w:gridCol w:w="672"/>
        <w:gridCol w:w="672"/>
        <w:gridCol w:w="693"/>
      </w:tblGrid>
      <w:tr>
        <w:tblPrEx>
          <w:tblCellMar>
            <w:top w:w="0" w:type="dxa"/>
            <w:left w:w="108" w:type="dxa"/>
            <w:bottom w:w="0" w:type="dxa"/>
            <w:right w:w="108" w:type="dxa"/>
          </w:tblCellMar>
        </w:tblPrEx>
        <w:trPr>
          <w:trHeight w:val="594" w:hRule="atLeast"/>
        </w:trPr>
        <w:tc>
          <w:tcPr>
            <w:tcW w:w="1723" w:type="dxa"/>
            <w:gridSpan w:val="2"/>
            <w:tcBorders>
              <w:top w:val="nil"/>
              <w:left w:val="nil"/>
              <w:bottom w:val="nil"/>
              <w:right w:val="nil"/>
            </w:tcBorders>
            <w:shd w:val="clear" w:color="auto" w:fill="auto"/>
            <w:vAlign w:val="center"/>
          </w:tcPr>
          <w:p>
            <w:pPr>
              <w:widowControl/>
              <w:jc w:val="left"/>
              <w:textAlignment w:val="center"/>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附件3：</w:t>
            </w:r>
          </w:p>
        </w:tc>
        <w:tc>
          <w:tcPr>
            <w:tcW w:w="660" w:type="dxa"/>
            <w:tcBorders>
              <w:top w:val="nil"/>
              <w:left w:val="nil"/>
              <w:bottom w:val="nil"/>
              <w:right w:val="nil"/>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p>
        </w:tc>
        <w:tc>
          <w:tcPr>
            <w:tcW w:w="579" w:type="dxa"/>
            <w:tcBorders>
              <w:top w:val="nil"/>
              <w:left w:val="nil"/>
              <w:bottom w:val="nil"/>
              <w:right w:val="nil"/>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p>
        </w:tc>
        <w:tc>
          <w:tcPr>
            <w:tcW w:w="554" w:type="dxa"/>
            <w:tcBorders>
              <w:top w:val="nil"/>
              <w:left w:val="nil"/>
              <w:bottom w:val="nil"/>
              <w:right w:val="nil"/>
            </w:tcBorders>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p>
        </w:tc>
        <w:tc>
          <w:tcPr>
            <w:tcW w:w="2187" w:type="dxa"/>
            <w:tcBorders>
              <w:top w:val="nil"/>
              <w:left w:val="nil"/>
              <w:bottom w:val="nil"/>
              <w:right w:val="nil"/>
            </w:tcBorders>
            <w:shd w:val="clear" w:color="auto" w:fill="auto"/>
            <w:vAlign w:val="center"/>
          </w:tcPr>
          <w:p>
            <w:pPr>
              <w:jc w:val="left"/>
              <w:rPr>
                <w:rFonts w:ascii="宋体" w:hAnsi="宋体" w:eastAsia="宋体" w:cs="宋体"/>
                <w:color w:val="000000" w:themeColor="text1"/>
                <w:sz w:val="24"/>
                <w14:textFill>
                  <w14:solidFill>
                    <w14:schemeClr w14:val="tx1"/>
                  </w14:solidFill>
                </w14:textFill>
              </w:rPr>
            </w:pPr>
          </w:p>
        </w:tc>
        <w:tc>
          <w:tcPr>
            <w:tcW w:w="5192" w:type="dxa"/>
            <w:tcBorders>
              <w:top w:val="nil"/>
              <w:left w:val="nil"/>
              <w:bottom w:val="nil"/>
              <w:right w:val="nil"/>
            </w:tcBorders>
            <w:shd w:val="clear" w:color="auto" w:fill="auto"/>
            <w:vAlign w:val="center"/>
          </w:tcPr>
          <w:p>
            <w:pPr>
              <w:rPr>
                <w:rFonts w:ascii="宋体" w:hAnsi="宋体" w:eastAsia="宋体" w:cs="宋体"/>
                <w:color w:val="000000" w:themeColor="text1"/>
                <w:sz w:val="16"/>
                <w:szCs w:val="16"/>
                <w14:textFill>
                  <w14:solidFill>
                    <w14:schemeClr w14:val="tx1"/>
                  </w14:solidFill>
                </w14:textFill>
              </w:rPr>
            </w:pPr>
          </w:p>
        </w:tc>
        <w:tc>
          <w:tcPr>
            <w:tcW w:w="672" w:type="dxa"/>
            <w:tcBorders>
              <w:top w:val="nil"/>
              <w:left w:val="nil"/>
              <w:bottom w:val="nil"/>
              <w:right w:val="nil"/>
            </w:tcBorders>
            <w:shd w:val="clear" w:color="auto" w:fill="auto"/>
            <w:vAlign w:val="center"/>
          </w:tcPr>
          <w:p>
            <w:pPr>
              <w:rPr>
                <w:rFonts w:ascii="宋体" w:hAnsi="宋体" w:eastAsia="宋体" w:cs="宋体"/>
                <w:color w:val="000000" w:themeColor="text1"/>
                <w:sz w:val="16"/>
                <w:szCs w:val="16"/>
                <w14:textFill>
                  <w14:solidFill>
                    <w14:schemeClr w14:val="tx1"/>
                  </w14:solidFill>
                </w14:textFill>
              </w:rPr>
            </w:pPr>
          </w:p>
        </w:tc>
        <w:tc>
          <w:tcPr>
            <w:tcW w:w="672" w:type="dxa"/>
            <w:tcBorders>
              <w:top w:val="nil"/>
              <w:left w:val="nil"/>
              <w:bottom w:val="nil"/>
              <w:right w:val="nil"/>
            </w:tcBorders>
            <w:shd w:val="clear" w:color="auto" w:fill="auto"/>
            <w:vAlign w:val="center"/>
          </w:tcPr>
          <w:p>
            <w:pPr>
              <w:rPr>
                <w:rFonts w:ascii="宋体" w:hAnsi="宋体" w:eastAsia="宋体" w:cs="宋体"/>
                <w:color w:val="000000" w:themeColor="text1"/>
                <w:sz w:val="16"/>
                <w:szCs w:val="16"/>
                <w14:textFill>
                  <w14:solidFill>
                    <w14:schemeClr w14:val="tx1"/>
                  </w14:solidFill>
                </w14:textFill>
              </w:rPr>
            </w:pPr>
          </w:p>
        </w:tc>
        <w:tc>
          <w:tcPr>
            <w:tcW w:w="672" w:type="dxa"/>
            <w:tcBorders>
              <w:top w:val="nil"/>
              <w:left w:val="nil"/>
              <w:bottom w:val="nil"/>
              <w:right w:val="nil"/>
            </w:tcBorders>
            <w:shd w:val="clear" w:color="auto" w:fill="auto"/>
            <w:vAlign w:val="center"/>
          </w:tcPr>
          <w:p>
            <w:pPr>
              <w:rPr>
                <w:rFonts w:ascii="宋体" w:hAnsi="宋体" w:eastAsia="宋体" w:cs="宋体"/>
                <w:color w:val="000000" w:themeColor="text1"/>
                <w:sz w:val="16"/>
                <w:szCs w:val="16"/>
                <w14:textFill>
                  <w14:solidFill>
                    <w14:schemeClr w14:val="tx1"/>
                  </w14:solidFill>
                </w14:textFill>
              </w:rPr>
            </w:pPr>
          </w:p>
        </w:tc>
        <w:tc>
          <w:tcPr>
            <w:tcW w:w="672" w:type="dxa"/>
            <w:tcBorders>
              <w:top w:val="nil"/>
              <w:left w:val="nil"/>
              <w:bottom w:val="nil"/>
              <w:right w:val="nil"/>
            </w:tcBorders>
            <w:shd w:val="clear" w:color="auto" w:fill="auto"/>
            <w:vAlign w:val="center"/>
          </w:tcPr>
          <w:p>
            <w:pPr>
              <w:rPr>
                <w:rFonts w:ascii="宋体" w:hAnsi="宋体" w:eastAsia="宋体" w:cs="宋体"/>
                <w:color w:val="000000" w:themeColor="text1"/>
                <w:sz w:val="24"/>
                <w14:textFill>
                  <w14:solidFill>
                    <w14:schemeClr w14:val="tx1"/>
                  </w14:solidFill>
                </w14:textFill>
              </w:rPr>
            </w:pPr>
          </w:p>
        </w:tc>
        <w:tc>
          <w:tcPr>
            <w:tcW w:w="693" w:type="dxa"/>
            <w:tcBorders>
              <w:top w:val="nil"/>
              <w:left w:val="nil"/>
              <w:bottom w:val="nil"/>
              <w:right w:val="nil"/>
            </w:tcBorders>
            <w:shd w:val="clear" w:color="auto" w:fill="auto"/>
            <w:vAlign w:val="center"/>
          </w:tcPr>
          <w:p>
            <w:pPr>
              <w:rPr>
                <w:rFonts w:ascii="宋体" w:hAnsi="宋体" w:eastAsia="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1187" w:hRule="atLeast"/>
        </w:trPr>
        <w:tc>
          <w:tcPr>
            <w:tcW w:w="14276" w:type="dxa"/>
            <w:gridSpan w:val="12"/>
            <w:tcBorders>
              <w:top w:val="nil"/>
              <w:left w:val="nil"/>
              <w:bottom w:val="single" w:color="000000" w:sz="4" w:space="0"/>
              <w:right w:val="nil"/>
            </w:tcBorders>
            <w:shd w:val="clear" w:color="auto" w:fill="auto"/>
            <w:vAlign w:val="center"/>
          </w:tcPr>
          <w:p>
            <w:pPr>
              <w:widowControl/>
              <w:jc w:val="center"/>
              <w:textAlignment w:val="center"/>
              <w:rPr>
                <w:rFonts w:ascii="宋体" w:hAnsi="宋体" w:eastAsia="宋体" w:cs="宋体"/>
                <w:b/>
                <w:bCs/>
                <w:color w:val="000000" w:themeColor="text1"/>
                <w:szCs w:val="32"/>
                <w14:textFill>
                  <w14:solidFill>
                    <w14:schemeClr w14:val="tx1"/>
                  </w14:solidFill>
                </w14:textFill>
              </w:rPr>
            </w:pPr>
            <w:r>
              <w:rPr>
                <w:rFonts w:hint="eastAsia" w:ascii="宋体" w:hAnsi="宋体" w:eastAsia="宋体" w:cs="宋体"/>
                <w:b/>
                <w:bCs/>
                <w:color w:val="000000" w:themeColor="text1"/>
                <w:kern w:val="0"/>
                <w:szCs w:val="32"/>
                <w:lang w:bidi="ar"/>
                <w14:textFill>
                  <w14:solidFill>
                    <w14:schemeClr w14:val="tx1"/>
                  </w14:solidFill>
                </w14:textFill>
              </w:rPr>
              <w:t>达川区石梯镇中心小学2023年整体支出绩效评价指标体系</w:t>
            </w:r>
          </w:p>
        </w:tc>
      </w:tr>
      <w:tr>
        <w:tblPrEx>
          <w:tblCellMar>
            <w:top w:w="0" w:type="dxa"/>
            <w:left w:w="108" w:type="dxa"/>
            <w:bottom w:w="0" w:type="dxa"/>
            <w:right w:w="108" w:type="dxa"/>
          </w:tblCellMar>
        </w:tblPrEx>
        <w:trPr>
          <w:trHeight w:val="362"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kern w:val="0"/>
                <w:sz w:val="18"/>
                <w:szCs w:val="18"/>
                <w:lang w:bidi="ar"/>
                <w14:textFill>
                  <w14:solidFill>
                    <w14:schemeClr w14:val="tx1"/>
                  </w14:solidFill>
                </w14:textFill>
              </w:rPr>
              <w:t>绩效指标</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kern w:val="0"/>
                <w:sz w:val="18"/>
                <w:szCs w:val="18"/>
                <w:lang w:bidi="ar"/>
                <w14:textFill>
                  <w14:solidFill>
                    <w14:schemeClr w14:val="tx1"/>
                  </w14:solidFill>
                </w14:textFill>
              </w:rPr>
              <w:t>指标分值</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kern w:val="0"/>
                <w:sz w:val="18"/>
                <w:szCs w:val="18"/>
                <w:lang w:bidi="ar"/>
                <w14:textFill>
                  <w14:solidFill>
                    <w14:schemeClr w14:val="tx1"/>
                  </w14:solidFill>
                </w14:textFill>
              </w:rPr>
              <w:t>评价得分</w:t>
            </w:r>
          </w:p>
        </w:tc>
        <w:tc>
          <w:tcPr>
            <w:tcW w:w="2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kern w:val="0"/>
                <w:sz w:val="18"/>
                <w:szCs w:val="18"/>
                <w:lang w:bidi="ar"/>
                <w14:textFill>
                  <w14:solidFill>
                    <w14:schemeClr w14:val="tx1"/>
                  </w14:solidFill>
                </w14:textFill>
              </w:rPr>
              <w:t>指标解释</w:t>
            </w:r>
          </w:p>
        </w:tc>
        <w:tc>
          <w:tcPr>
            <w:tcW w:w="51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kern w:val="0"/>
                <w:sz w:val="18"/>
                <w:szCs w:val="18"/>
                <w:lang w:bidi="ar"/>
                <w14:textFill>
                  <w14:solidFill>
                    <w14:schemeClr w14:val="tx1"/>
                  </w14:solidFill>
                </w14:textFill>
              </w:rPr>
              <w:t>计分标准</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kern w:val="0"/>
                <w:sz w:val="18"/>
                <w:szCs w:val="18"/>
                <w:lang w:bidi="ar"/>
                <w14:textFill>
                  <w14:solidFill>
                    <w14:schemeClr w14:val="tx1"/>
                  </w14:solidFill>
                </w14:textFill>
              </w:rPr>
              <w:t>评价方式</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kern w:val="0"/>
                <w:sz w:val="18"/>
                <w:szCs w:val="18"/>
                <w:lang w:bidi="ar"/>
                <w14:textFill>
                  <w14:solidFill>
                    <w14:schemeClr w14:val="tx1"/>
                  </w14:solidFill>
                </w14:textFill>
              </w:rPr>
              <w:t>评价属性</w:t>
            </w:r>
          </w:p>
        </w:tc>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kern w:val="0"/>
                <w:sz w:val="18"/>
                <w:szCs w:val="18"/>
                <w:lang w:bidi="ar"/>
                <w14:textFill>
                  <w14:solidFill>
                    <w14:schemeClr w14:val="tx1"/>
                  </w14:solidFill>
                </w14:textFill>
              </w:rPr>
              <w:t>备注</w:t>
            </w:r>
          </w:p>
        </w:tc>
      </w:tr>
      <w:tr>
        <w:tblPrEx>
          <w:tblCellMar>
            <w:top w:w="0" w:type="dxa"/>
            <w:left w:w="108" w:type="dxa"/>
            <w:bottom w:w="0" w:type="dxa"/>
            <w:right w:w="108" w:type="dxa"/>
          </w:tblCellMar>
        </w:tblPrEx>
        <w:trPr>
          <w:trHeight w:val="1003"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kern w:val="0"/>
                <w:sz w:val="18"/>
                <w:szCs w:val="18"/>
                <w:lang w:bidi="ar"/>
                <w14:textFill>
                  <w14:solidFill>
                    <w14:schemeClr w14:val="tx1"/>
                  </w14:solidFill>
                </w14:textFill>
              </w:rPr>
              <w:t>一级指标</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kern w:val="0"/>
                <w:sz w:val="18"/>
                <w:szCs w:val="18"/>
                <w:lang w:bidi="ar"/>
                <w14:textFill>
                  <w14:solidFill>
                    <w14:schemeClr w14:val="tx1"/>
                  </w14:solidFill>
                </w14:textFill>
              </w:rPr>
              <w:t>二级指标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kern w:val="0"/>
                <w:sz w:val="18"/>
                <w:szCs w:val="18"/>
                <w:lang w:bidi="ar"/>
                <w14:textFill>
                  <w14:solidFill>
                    <w14:schemeClr w14:val="tx1"/>
                  </w14:solidFill>
                </w14:textFill>
              </w:rPr>
              <w:t>三级指标</w:t>
            </w: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b/>
                <w:bCs/>
                <w:color w:val="000000" w:themeColor="text1"/>
                <w:sz w:val="18"/>
                <w:szCs w:val="18"/>
                <w14:textFill>
                  <w14:solidFill>
                    <w14:schemeClr w14:val="tx1"/>
                  </w14:solidFill>
                </w14:textFill>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b/>
                <w:bCs/>
                <w:color w:val="000000" w:themeColor="text1"/>
                <w:sz w:val="18"/>
                <w:szCs w:val="18"/>
                <w14:textFill>
                  <w14:solidFill>
                    <w14:schemeClr w14:val="tx1"/>
                  </w14:solidFill>
                </w14:textFill>
              </w:rPr>
            </w:pPr>
          </w:p>
        </w:tc>
        <w:tc>
          <w:tcPr>
            <w:tcW w:w="2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b/>
                <w:bCs/>
                <w:color w:val="000000" w:themeColor="text1"/>
                <w:sz w:val="18"/>
                <w:szCs w:val="18"/>
                <w14:textFill>
                  <w14:solidFill>
                    <w14:schemeClr w14:val="tx1"/>
                  </w14:solidFill>
                </w14:textFill>
              </w:rPr>
            </w:pPr>
          </w:p>
        </w:tc>
        <w:tc>
          <w:tcPr>
            <w:tcW w:w="5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b/>
                <w:bCs/>
                <w:color w:val="000000" w:themeColor="text1"/>
                <w:sz w:val="18"/>
                <w:szCs w:val="18"/>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kern w:val="0"/>
                <w:sz w:val="18"/>
                <w:szCs w:val="18"/>
                <w:lang w:bidi="ar"/>
                <w14:textFill>
                  <w14:solidFill>
                    <w14:schemeClr w14:val="tx1"/>
                  </w14:solidFill>
                </w14:textFill>
              </w:rPr>
              <w:t>整体评价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kern w:val="0"/>
                <w:sz w:val="18"/>
                <w:szCs w:val="18"/>
                <w:lang w:bidi="ar"/>
                <w14:textFill>
                  <w14:solidFill>
                    <w14:schemeClr w14:val="tx1"/>
                  </w14:solidFill>
                </w14:textFill>
              </w:rPr>
              <w:t>样本评价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kern w:val="0"/>
                <w:sz w:val="18"/>
                <w:szCs w:val="18"/>
                <w:lang w:bidi="ar"/>
                <w14:textFill>
                  <w14:solidFill>
                    <w14:schemeClr w14:val="tx1"/>
                  </w14:solidFill>
                </w14:textFill>
              </w:rPr>
              <w:t>定性评价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kern w:val="0"/>
                <w:sz w:val="18"/>
                <w:szCs w:val="18"/>
                <w:lang w:bidi="ar"/>
                <w14:textFill>
                  <w14:solidFill>
                    <w14:schemeClr w14:val="tx1"/>
                  </w14:solidFill>
                </w14:textFill>
              </w:rPr>
              <w:t>定量评价</w:t>
            </w: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b/>
                <w:bCs/>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362"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kern w:val="0"/>
                <w:sz w:val="18"/>
                <w:szCs w:val="18"/>
                <w:lang w:bidi="ar"/>
                <w14:textFill>
                  <w14:solidFill>
                    <w14:schemeClr w14:val="tx1"/>
                  </w14:solidFill>
                </w14:textFill>
              </w:rPr>
              <w:t>得分合计</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b/>
                <w:bCs/>
                <w:color w:val="000000" w:themeColor="text1"/>
                <w:sz w:val="18"/>
                <w:szCs w:val="18"/>
                <w14:textFill>
                  <w14:solidFill>
                    <w14:schemeClr w14:val="tx1"/>
                  </w14:solidFill>
                </w14:textFill>
              </w:rPr>
            </w:pPr>
          </w:p>
        </w:tc>
        <w:tc>
          <w:tcPr>
            <w:tcW w:w="7933" w:type="dxa"/>
            <w:gridSpan w:val="3"/>
            <w:tcBorders>
              <w:top w:val="single" w:color="000000" w:sz="4" w:space="0"/>
              <w:left w:val="single" w:color="000000" w:sz="4" w:space="0"/>
              <w:bottom w:val="single" w:color="000000" w:sz="4" w:space="0"/>
              <w:right w:val="nil"/>
            </w:tcBorders>
            <w:shd w:val="clear" w:color="auto" w:fill="auto"/>
            <w:vAlign w:val="center"/>
          </w:tcPr>
          <w:p>
            <w:pPr>
              <w:widowControl/>
              <w:spacing w:line="240" w:lineRule="exact"/>
              <w:jc w:val="center"/>
              <w:textAlignment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95</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b/>
                <w:bCs/>
                <w:color w:val="000000" w:themeColor="text1"/>
                <w:sz w:val="18"/>
                <w:szCs w:val="18"/>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b/>
                <w:bCs/>
                <w:color w:val="000000" w:themeColor="text1"/>
                <w:sz w:val="18"/>
                <w:szCs w:val="18"/>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b/>
                <w:bCs/>
                <w:color w:val="000000" w:themeColor="text1"/>
                <w:sz w:val="18"/>
                <w:szCs w:val="18"/>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b/>
                <w:bCs/>
                <w:color w:val="000000" w:themeColor="text1"/>
                <w:sz w:val="18"/>
                <w:szCs w:val="18"/>
                <w14:textFill>
                  <w14:solidFill>
                    <w14:schemeClr w14:val="tx1"/>
                  </w14:solidFill>
                </w14:textFill>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b/>
                <w:bCs/>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1999" w:hRule="atLeast"/>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部门预算项目绩效管理（40分）</w:t>
            </w: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目标管理（15分）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目标制定</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评价部门绩效目标是否要素完整、细化量化并集体决策。</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 xml:space="preserve">1.绩效目标编制要素完整的，得2分，否则酌情扣分。2.绩效指标细化量化的，得2分，否则酌情扣分。 3.评价部门绩效目标纳入部门党组（委）会（办公会）集体决策范围的得1分，否则不得分。  4. 有项目绩效目标的部门（单位），根据项目绩效目标编制质量打分，无项目绩效目标的部门，根据部门整体支出绩效目标打分。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2981"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sz w:val="18"/>
                <w:szCs w:val="18"/>
                <w14:textFill>
                  <w14:solidFill>
                    <w14:schemeClr w14:val="tx1"/>
                  </w14:solidFill>
                </w14:textFill>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sz w:val="18"/>
                <w:szCs w:val="18"/>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目标实现</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评价部门绩效目标实际实现程度与预期目标的偏离度。</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以项目完成数量为核心，评价项目实际完成情况与预期绩效目标偏离度，单个数量指标实际完成未达到预期指标或超过预期指标30%以上的，均不计分。该项指标得分=达到预期值的数量指标个数/全部数量指标个数（即评价选取的项目绩效目标包含的所有数量指标）*10。</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sz w:val="18"/>
                <w:szCs w:val="18"/>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sz w:val="18"/>
                <w:szCs w:val="18"/>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部门</w:t>
            </w:r>
            <w:r>
              <w:rPr>
                <w:rFonts w:hint="eastAsia" w:ascii="宋体" w:hAnsi="宋体" w:eastAsia="宋体" w:cs="宋体"/>
                <w:color w:val="000000" w:themeColor="text1"/>
                <w:kern w:val="0"/>
                <w:sz w:val="15"/>
                <w:szCs w:val="15"/>
                <w:lang w:bidi="ar"/>
                <w14:textFill>
                  <w14:solidFill>
                    <w14:schemeClr w14:val="tx1"/>
                  </w14:solidFill>
                </w14:textFill>
              </w:rPr>
              <w:t>自评范围为部门所有纳入绩效目标管理的部门预算项目</w:t>
            </w:r>
          </w:p>
        </w:tc>
      </w:tr>
      <w:tr>
        <w:tblPrEx>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sz w:val="18"/>
                <w:szCs w:val="18"/>
                <w14:textFill>
                  <w14:solidFill>
                    <w14:schemeClr w14:val="tx1"/>
                  </w14:solidFill>
                </w14:textFill>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 xml:space="preserve">                                                                             动态调整（10分）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支出控制</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部门公用经费及非定额公用支出控制情况。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计算部门日常公用经费、项目支出中“办公费、印刷费、水费、电费、物业管理费”等科目年初预算数与决算数偏差程度。                                                           预决算偏差程度在10%以内的，得2分。偏差度在10%-20%之间的，得1分，偏差度超过20%的，不得分。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themeColor="text1"/>
                <w:sz w:val="18"/>
                <w:szCs w:val="18"/>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themeColor="text1"/>
                <w:sz w:val="18"/>
                <w:szCs w:val="18"/>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2325"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sz w:val="18"/>
                <w:szCs w:val="18"/>
                <w14:textFill>
                  <w14:solidFill>
                    <w14:schemeClr w14:val="tx1"/>
                  </w14:solidFill>
                </w14:textFill>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sz w:val="18"/>
                <w:szCs w:val="18"/>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及时处置</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评价部门开展绩效运行监控后，将绩效监控结果应用到预算调整的情况。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 xml:space="preserve">1.当部门绩效监控调整取消额和结余注销额均不为零时，指标得分=部门项目支出绩效监控调整取消额÷（部门绩效监控调整取消额+预算结余注销额）*4。  2.当部门绩效监控调整取消额为零，结余注销额不为零时，指标得分=（1-10*结余注销额/年度预算总额）*4，结余注销额超过部门年度预算总额10%的，指标不得分。  3.当部门绩效监控调整取消额与结余注销额均为零时，得4分。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themeColor="text1"/>
                <w:sz w:val="18"/>
                <w:szCs w:val="18"/>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themeColor="text1"/>
                <w:sz w:val="18"/>
                <w:szCs w:val="18"/>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1205"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sz w:val="18"/>
                <w:szCs w:val="18"/>
                <w14:textFill>
                  <w14:solidFill>
                    <w14:schemeClr w14:val="tx1"/>
                  </w14:solidFill>
                </w14:textFill>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sz w:val="18"/>
                <w:szCs w:val="18"/>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执行进度</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评价部门在6、9、11月的预算执行情况。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 xml:space="preserve">部门预算执行进度在6、9、11月应达到序时进度的80%、90%、95%，即实际支出进度分别达到40%、67.5%、82.5%。                                                     6、9、11月部门预算执行进度达到量化指标的分别得1分、1分、2分，未达到目标进度的按其实际进度占目标进度的比重计算得分。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themeColor="text1"/>
                <w:sz w:val="18"/>
                <w:szCs w:val="18"/>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themeColor="text1"/>
                <w:sz w:val="18"/>
                <w:szCs w:val="18"/>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690"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sz w:val="18"/>
                <w:szCs w:val="18"/>
                <w14:textFill>
                  <w14:solidFill>
                    <w14:schemeClr w14:val="tx1"/>
                  </w14:solidFill>
                </w14:textFill>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完成效率（15分）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预算完成</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评价部门预算项目年终预算执行情况。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部门预算项目12月预算执行进度达到100%的，得5分，未达100%的，按照实际进度量化计算得分。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themeColor="text1"/>
                <w:sz w:val="18"/>
                <w:szCs w:val="18"/>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sz w:val="18"/>
                <w:szCs w:val="18"/>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sz w:val="18"/>
                <w:szCs w:val="18"/>
                <w14:textFill>
                  <w14:solidFill>
                    <w14:schemeClr w14:val="tx1"/>
                  </w14:solidFill>
                </w14:textFill>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sz w:val="18"/>
                <w:szCs w:val="18"/>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资金结余率</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8</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8</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 xml:space="preserve">评价部门预算项目年终资金结余情况。                 </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部门预算项目资金结余率小于0.1的项目数/部门预算项目总数*8。</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sz w:val="18"/>
                <w:szCs w:val="18"/>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sz w:val="18"/>
                <w:szCs w:val="18"/>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（低效无效率）</w:t>
            </w:r>
          </w:p>
        </w:tc>
      </w:tr>
      <w:tr>
        <w:tblPrEx>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sz w:val="18"/>
                <w:szCs w:val="18"/>
                <w14:textFill>
                  <w14:solidFill>
                    <w14:schemeClr w14:val="tx1"/>
                  </w14:solidFill>
                </w14:textFill>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sz w:val="18"/>
                <w:szCs w:val="18"/>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违规记录</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根据审计监督、财政检查等结果反映部门上一年度部门预算管理是否合规。</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依据评价年度审计监督、财政检查结果，出现部门预算管理方面违纪违规问题的，每个问题扣0.2分，直至扣完。</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sz w:val="18"/>
                <w:szCs w:val="18"/>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sz w:val="18"/>
                <w:szCs w:val="18"/>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1344"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专项预算项目绩效管理（40分）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专项预算项目绩效管理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项目个数（*个）</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40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40</w:t>
            </w:r>
          </w:p>
        </w:tc>
        <w:tc>
          <w:tcPr>
            <w:tcW w:w="107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 xml:space="preserve">部门按照专项预算项目自评工作要求对本部门管理的专项预算项目进行自评并打分，形成自评报告；有两个及以上专项预算项目的，以平均分作为自评得分。按百分制形成的自评报告分数，按0.4的比例换算成此项指标得分。                                                                                                                                                                                          </w:t>
            </w:r>
          </w:p>
        </w:tc>
      </w:tr>
      <w:tr>
        <w:tblPrEx>
          <w:tblCellMar>
            <w:top w:w="0" w:type="dxa"/>
            <w:left w:w="108" w:type="dxa"/>
            <w:bottom w:w="0" w:type="dxa"/>
            <w:right w:w="108" w:type="dxa"/>
          </w:tblCellMar>
        </w:tblPrEx>
        <w:trPr>
          <w:trHeight w:val="1016" w:hRule="atLeast"/>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绩效结果应用（10分）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内部应用（4分）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预算挂钩</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部门内部绩效结果与预算挂钩情况。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 xml:space="preserve">将内设机构和下属单位绩效自评纳入考核体系，建立对内设机构和下属单位预算与绩效挂钩机制的，得4分，否则酌情扣分。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sz w:val="18"/>
                <w:szCs w:val="18"/>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sz w:val="18"/>
                <w:szCs w:val="18"/>
                <w14:textFill>
                  <w14:solidFill>
                    <w14:schemeClr w14:val="tx1"/>
                  </w14:solidFill>
                </w14:textFill>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sz w:val="18"/>
                <w:szCs w:val="18"/>
                <w14:textFill>
                  <w14:solidFill>
                    <w14:schemeClr w14:val="tx1"/>
                  </w14:solidFill>
                </w14:textFill>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信息公开（2分）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自评公开</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评价部门是否按要求将部门整体绩效自评情况和自行组织的评价情况向社会公开。</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按要求将相关绩效信息随同决算公开的，得2分，否则不得分。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themeColor="text1"/>
                <w:sz w:val="18"/>
                <w:szCs w:val="18"/>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themeColor="text1"/>
                <w:sz w:val="18"/>
                <w:szCs w:val="18"/>
                <w14:textFill>
                  <w14:solidFill>
                    <w14:schemeClr w14:val="tx1"/>
                  </w14:solidFill>
                </w14:textFill>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sz w:val="18"/>
                <w:szCs w:val="18"/>
                <w14:textFill>
                  <w14:solidFill>
                    <w14:schemeClr w14:val="tx1"/>
                  </w14:solidFill>
                </w14:textFill>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整改反馈（</w:t>
            </w:r>
            <w:r>
              <w:rPr>
                <w:rFonts w:ascii="宋体" w:hAnsi="宋体" w:eastAsia="宋体" w:cs="宋体"/>
                <w:color w:val="000000" w:themeColor="text1"/>
                <w:kern w:val="0"/>
                <w:sz w:val="18"/>
                <w:szCs w:val="18"/>
                <w:lang w:bidi="ar"/>
                <w14:textFill>
                  <w14:solidFill>
                    <w14:schemeClr w14:val="tx1"/>
                  </w14:solidFill>
                </w14:textFill>
              </w:rPr>
              <w:t>3</w:t>
            </w:r>
            <w:r>
              <w:rPr>
                <w:rFonts w:hint="eastAsia" w:ascii="宋体" w:hAnsi="宋体" w:eastAsia="宋体" w:cs="宋体"/>
                <w:color w:val="000000" w:themeColor="text1"/>
                <w:kern w:val="0"/>
                <w:sz w:val="18"/>
                <w:szCs w:val="18"/>
                <w:lang w:bidi="ar"/>
                <w14:textFill>
                  <w14:solidFill>
                    <w14:schemeClr w14:val="tx1"/>
                  </w14:solidFill>
                </w14:textFill>
              </w:rPr>
              <w:t>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问题整改</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评价部门根据绩效管理结果整改问题、完善政策、改进管理的情况。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针对绩效管理过程中（包括绩效目标核查、绩效监控核查和重点绩效评价）提出的问题进行整改，得2分，否则酌情扣分。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themeColor="text1"/>
                <w:sz w:val="18"/>
                <w:szCs w:val="18"/>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sz w:val="18"/>
                <w:szCs w:val="18"/>
                <w14:textFill>
                  <w14:solidFill>
                    <w14:schemeClr w14:val="tx1"/>
                  </w14:solidFill>
                </w14:textFill>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sz w:val="18"/>
                <w:szCs w:val="18"/>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应用反馈</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1</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评价部门按要求及时向财政部门反馈结果应用情况。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部门在规定时间内向财政部门反馈应用绩效结果报告的，得</w:t>
            </w:r>
            <w:r>
              <w:rPr>
                <w:rFonts w:ascii="宋体" w:hAnsi="宋体" w:eastAsia="宋体" w:cs="宋体"/>
                <w:color w:val="000000" w:themeColor="text1"/>
                <w:kern w:val="0"/>
                <w:sz w:val="18"/>
                <w:szCs w:val="18"/>
                <w:lang w:bidi="ar"/>
                <w14:textFill>
                  <w14:solidFill>
                    <w14:schemeClr w14:val="tx1"/>
                  </w14:solidFill>
                </w14:textFill>
              </w:rPr>
              <w:t>1</w:t>
            </w:r>
            <w:r>
              <w:rPr>
                <w:rFonts w:hint="eastAsia" w:ascii="宋体" w:hAnsi="宋体" w:eastAsia="宋体" w:cs="宋体"/>
                <w:color w:val="000000" w:themeColor="text1"/>
                <w:kern w:val="0"/>
                <w:sz w:val="18"/>
                <w:szCs w:val="18"/>
                <w:lang w:bidi="ar"/>
                <w14:textFill>
                  <w14:solidFill>
                    <w14:schemeClr w14:val="tx1"/>
                  </w14:solidFill>
                </w14:textFill>
              </w:rPr>
              <w:t>分，否则不得分。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sz w:val="18"/>
                <w:szCs w:val="18"/>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1344"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自评质量（10分）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自评质量</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自评质量</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9</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评价部门整体支出自评准确率。</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部门整体支出自评得分与评价组抽查得分差异在5%以内的，不扣分；在5%-10%之间的，扣4分，在10%-20%的，扣8分，在20%以上的，扣10分（此为财政重点绩效评价计分标准，部门参照该标准对部门及下属单位抽查计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sz w:val="18"/>
                <w:szCs w:val="18"/>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1050"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扣分项（10分）</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sz w:val="18"/>
                <w:szCs w:val="18"/>
                <w14:textFill>
                  <w14:solidFill>
                    <w14:schemeClr w14:val="tx1"/>
                  </w14:solidFill>
                </w14:textFill>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被评价单位配合评价工作情况。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财政重点绩效评价工作开展过程中，评价组发现被评价对象拖延推诿、提交资料不及时等拒不配合评价工作的，经报财政局复核确认后按0.5分/次予以扣分，最高扣10分（此为财政重点绩效评价计分标准，部门参照该标准对部门及下属单位计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sz w:val="18"/>
                <w:szCs w:val="18"/>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themeColor="text1"/>
                <w:sz w:val="18"/>
                <w:szCs w:val="18"/>
                <w14:textFill>
                  <w14:solidFill>
                    <w14:schemeClr w14:val="tx1"/>
                  </w14:solidFill>
                </w14:textFill>
              </w:rPr>
            </w:pPr>
          </w:p>
        </w:tc>
      </w:tr>
    </w:tbl>
    <w:p>
      <w:pPr>
        <w:pStyle w:val="2"/>
        <w:rPr>
          <w:color w:val="000000" w:themeColor="text1"/>
          <w14:textFill>
            <w14:solidFill>
              <w14:schemeClr w14:val="tx1"/>
            </w14:solidFill>
          </w14:textFill>
        </w:rPr>
      </w:pPr>
    </w:p>
    <w:sectPr>
      <w:pgSz w:w="16838" w:h="11906" w:orient="landscape"/>
      <w:pgMar w:top="1701" w:right="1474" w:bottom="1134" w:left="1587" w:header="851" w:footer="992" w:gutter="0"/>
      <w:pgNumType w:fmt="numberInDash" w:start="16"/>
      <w:cols w:space="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C6C42"/>
    <w:multiLevelType w:val="singleLevel"/>
    <w:tmpl w:val="AFDC6C42"/>
    <w:lvl w:ilvl="0" w:tentative="0">
      <w:start w:val="2"/>
      <w:numFmt w:val="chineseCounting"/>
      <w:suff w:val="nothing"/>
      <w:lvlText w:val="（%1）"/>
      <w:lvlJc w:val="left"/>
      <w:rPr>
        <w:rFonts w:hint="eastAsia"/>
      </w:rPr>
    </w:lvl>
  </w:abstractNum>
  <w:abstractNum w:abstractNumId="1">
    <w:nsid w:val="D9B2ADC8"/>
    <w:multiLevelType w:val="singleLevel"/>
    <w:tmpl w:val="D9B2ADC8"/>
    <w:lvl w:ilvl="0" w:tentative="0">
      <w:start w:val="2"/>
      <w:numFmt w:val="chineseCounting"/>
      <w:suff w:val="nothing"/>
      <w:lvlText w:val="（%1）"/>
      <w:lvlJc w:val="left"/>
      <w:pPr>
        <w:ind w:left="640"/>
      </w:pPr>
      <w:rPr>
        <w:rFonts w:hint="eastAsia"/>
      </w:rPr>
    </w:lvl>
  </w:abstractNum>
  <w:abstractNum w:abstractNumId="2">
    <w:nsid w:val="09CC7128"/>
    <w:multiLevelType w:val="singleLevel"/>
    <w:tmpl w:val="09CC7128"/>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zMTZmMDExYzk5ZTNhNjVjZDU2NTUzZGYxZWE2OGEifQ=="/>
  </w:docVars>
  <w:rsids>
    <w:rsidRoot w:val="24DD0D9F"/>
    <w:rsid w:val="00042938"/>
    <w:rsid w:val="001656C9"/>
    <w:rsid w:val="0017335C"/>
    <w:rsid w:val="002801C9"/>
    <w:rsid w:val="003012FA"/>
    <w:rsid w:val="00312AC6"/>
    <w:rsid w:val="003B21D2"/>
    <w:rsid w:val="004C58E5"/>
    <w:rsid w:val="004E3FA3"/>
    <w:rsid w:val="004E502D"/>
    <w:rsid w:val="005753B0"/>
    <w:rsid w:val="005E79B2"/>
    <w:rsid w:val="005F7495"/>
    <w:rsid w:val="00667963"/>
    <w:rsid w:val="007D1B82"/>
    <w:rsid w:val="00824C18"/>
    <w:rsid w:val="00872EA4"/>
    <w:rsid w:val="008779B1"/>
    <w:rsid w:val="00884ABF"/>
    <w:rsid w:val="00893688"/>
    <w:rsid w:val="008F4A47"/>
    <w:rsid w:val="009B2E7C"/>
    <w:rsid w:val="00A676AD"/>
    <w:rsid w:val="00A7384B"/>
    <w:rsid w:val="00A73DAB"/>
    <w:rsid w:val="00A971CC"/>
    <w:rsid w:val="00AB39F2"/>
    <w:rsid w:val="00B31F59"/>
    <w:rsid w:val="00BE39B3"/>
    <w:rsid w:val="00BF4AB5"/>
    <w:rsid w:val="00C50C8C"/>
    <w:rsid w:val="00C619E2"/>
    <w:rsid w:val="00C77B0F"/>
    <w:rsid w:val="00D202F8"/>
    <w:rsid w:val="00DA1C61"/>
    <w:rsid w:val="00E475E1"/>
    <w:rsid w:val="00EA411B"/>
    <w:rsid w:val="00EC2E4C"/>
    <w:rsid w:val="00F4181B"/>
    <w:rsid w:val="00F7306A"/>
    <w:rsid w:val="013D4277"/>
    <w:rsid w:val="02546A72"/>
    <w:rsid w:val="02675F92"/>
    <w:rsid w:val="030777EC"/>
    <w:rsid w:val="0329668A"/>
    <w:rsid w:val="0345351B"/>
    <w:rsid w:val="035D3297"/>
    <w:rsid w:val="038B7230"/>
    <w:rsid w:val="03EE05AA"/>
    <w:rsid w:val="03F2150D"/>
    <w:rsid w:val="03F34AF1"/>
    <w:rsid w:val="03F93B1B"/>
    <w:rsid w:val="046D40D6"/>
    <w:rsid w:val="04A80415"/>
    <w:rsid w:val="05160BC6"/>
    <w:rsid w:val="053553CA"/>
    <w:rsid w:val="05485DF6"/>
    <w:rsid w:val="05CD4745"/>
    <w:rsid w:val="06302C4A"/>
    <w:rsid w:val="06A0572A"/>
    <w:rsid w:val="06F86E33"/>
    <w:rsid w:val="07157053"/>
    <w:rsid w:val="077F41EF"/>
    <w:rsid w:val="07A56FBB"/>
    <w:rsid w:val="084D5D0C"/>
    <w:rsid w:val="09217675"/>
    <w:rsid w:val="09522E19"/>
    <w:rsid w:val="09614F76"/>
    <w:rsid w:val="09DA0859"/>
    <w:rsid w:val="0A824068"/>
    <w:rsid w:val="0AB91D87"/>
    <w:rsid w:val="0B086CFB"/>
    <w:rsid w:val="0B2D6FBF"/>
    <w:rsid w:val="0B4B5C4A"/>
    <w:rsid w:val="0BB10187"/>
    <w:rsid w:val="0C077163"/>
    <w:rsid w:val="0C462CA8"/>
    <w:rsid w:val="0C7137EE"/>
    <w:rsid w:val="0CBD6908"/>
    <w:rsid w:val="0CF602B9"/>
    <w:rsid w:val="0D3C32AC"/>
    <w:rsid w:val="0DAE673D"/>
    <w:rsid w:val="0DB67576"/>
    <w:rsid w:val="0E06609E"/>
    <w:rsid w:val="0E462918"/>
    <w:rsid w:val="0E6D3530"/>
    <w:rsid w:val="0ED35B18"/>
    <w:rsid w:val="0EE05570"/>
    <w:rsid w:val="0EEA0603"/>
    <w:rsid w:val="0F7C0A5E"/>
    <w:rsid w:val="10347C6B"/>
    <w:rsid w:val="105113E1"/>
    <w:rsid w:val="10F35A79"/>
    <w:rsid w:val="11340302"/>
    <w:rsid w:val="1176045B"/>
    <w:rsid w:val="118B5F8A"/>
    <w:rsid w:val="120D5781"/>
    <w:rsid w:val="12420353"/>
    <w:rsid w:val="12B66520"/>
    <w:rsid w:val="13276A0E"/>
    <w:rsid w:val="133F5EF7"/>
    <w:rsid w:val="13702C49"/>
    <w:rsid w:val="137D6C5D"/>
    <w:rsid w:val="13844C50"/>
    <w:rsid w:val="13EE6904"/>
    <w:rsid w:val="145D29CB"/>
    <w:rsid w:val="14863F75"/>
    <w:rsid w:val="14F56125"/>
    <w:rsid w:val="15D023E1"/>
    <w:rsid w:val="16126DDA"/>
    <w:rsid w:val="16CB091A"/>
    <w:rsid w:val="17244A9A"/>
    <w:rsid w:val="181D73A4"/>
    <w:rsid w:val="1863523D"/>
    <w:rsid w:val="18C21AF1"/>
    <w:rsid w:val="19355618"/>
    <w:rsid w:val="196E0920"/>
    <w:rsid w:val="19D674A8"/>
    <w:rsid w:val="19E074A6"/>
    <w:rsid w:val="1A2A046E"/>
    <w:rsid w:val="1A5F2FF9"/>
    <w:rsid w:val="1A8A6890"/>
    <w:rsid w:val="1A8F6A5B"/>
    <w:rsid w:val="1B133BCA"/>
    <w:rsid w:val="1B537071"/>
    <w:rsid w:val="1BE044FE"/>
    <w:rsid w:val="1BEE7124"/>
    <w:rsid w:val="1C0D18F5"/>
    <w:rsid w:val="1CC103E8"/>
    <w:rsid w:val="1D28187E"/>
    <w:rsid w:val="1D8901A5"/>
    <w:rsid w:val="1D9D4633"/>
    <w:rsid w:val="1DD71937"/>
    <w:rsid w:val="1DD71A40"/>
    <w:rsid w:val="1E4525F0"/>
    <w:rsid w:val="1E800ECE"/>
    <w:rsid w:val="1E811F2D"/>
    <w:rsid w:val="1EAA14DD"/>
    <w:rsid w:val="1EAF0002"/>
    <w:rsid w:val="1ED41261"/>
    <w:rsid w:val="1F051986"/>
    <w:rsid w:val="1FBF7AA1"/>
    <w:rsid w:val="20292739"/>
    <w:rsid w:val="205F1DDC"/>
    <w:rsid w:val="206300A8"/>
    <w:rsid w:val="207B38A4"/>
    <w:rsid w:val="20977747"/>
    <w:rsid w:val="21BA76AF"/>
    <w:rsid w:val="21D62A90"/>
    <w:rsid w:val="21EF57B9"/>
    <w:rsid w:val="227D2BB6"/>
    <w:rsid w:val="228F28EA"/>
    <w:rsid w:val="22C22788"/>
    <w:rsid w:val="23587F51"/>
    <w:rsid w:val="23A377A4"/>
    <w:rsid w:val="240D363E"/>
    <w:rsid w:val="240D5E3C"/>
    <w:rsid w:val="242668EE"/>
    <w:rsid w:val="24455271"/>
    <w:rsid w:val="24DD0D9F"/>
    <w:rsid w:val="25761B3F"/>
    <w:rsid w:val="25846BE9"/>
    <w:rsid w:val="258C6A3A"/>
    <w:rsid w:val="25B15618"/>
    <w:rsid w:val="25DC1D81"/>
    <w:rsid w:val="25F071DA"/>
    <w:rsid w:val="25FC5ED2"/>
    <w:rsid w:val="264F7A39"/>
    <w:rsid w:val="275E4067"/>
    <w:rsid w:val="27F75D2D"/>
    <w:rsid w:val="281007E5"/>
    <w:rsid w:val="284819FF"/>
    <w:rsid w:val="28EF5908"/>
    <w:rsid w:val="28FB3842"/>
    <w:rsid w:val="29A72857"/>
    <w:rsid w:val="29BB2FBA"/>
    <w:rsid w:val="29D64754"/>
    <w:rsid w:val="2A3B4896"/>
    <w:rsid w:val="2AB44067"/>
    <w:rsid w:val="2AF431BC"/>
    <w:rsid w:val="2B8F1ED2"/>
    <w:rsid w:val="2BFE1A74"/>
    <w:rsid w:val="2C1A12E0"/>
    <w:rsid w:val="2C276DF0"/>
    <w:rsid w:val="2C970772"/>
    <w:rsid w:val="2CD45AC9"/>
    <w:rsid w:val="2D2C09C7"/>
    <w:rsid w:val="2D97648F"/>
    <w:rsid w:val="2E0A4DE3"/>
    <w:rsid w:val="2E5D5E8C"/>
    <w:rsid w:val="2E914D5E"/>
    <w:rsid w:val="2F3054D7"/>
    <w:rsid w:val="2FE268F1"/>
    <w:rsid w:val="2FE54655"/>
    <w:rsid w:val="30460994"/>
    <w:rsid w:val="30C909CA"/>
    <w:rsid w:val="31950B3C"/>
    <w:rsid w:val="32350E38"/>
    <w:rsid w:val="325E210A"/>
    <w:rsid w:val="328C4682"/>
    <w:rsid w:val="32AB3878"/>
    <w:rsid w:val="32E34FD8"/>
    <w:rsid w:val="331E668C"/>
    <w:rsid w:val="33A20BB5"/>
    <w:rsid w:val="341A67FB"/>
    <w:rsid w:val="352F19CD"/>
    <w:rsid w:val="35535BAE"/>
    <w:rsid w:val="36316C35"/>
    <w:rsid w:val="36AD0CC0"/>
    <w:rsid w:val="36E9371D"/>
    <w:rsid w:val="37163DCB"/>
    <w:rsid w:val="37896841"/>
    <w:rsid w:val="37E64902"/>
    <w:rsid w:val="37EE23AF"/>
    <w:rsid w:val="38120B24"/>
    <w:rsid w:val="384E46DC"/>
    <w:rsid w:val="38EF5871"/>
    <w:rsid w:val="39523466"/>
    <w:rsid w:val="397D35E3"/>
    <w:rsid w:val="3A176A0C"/>
    <w:rsid w:val="3ADB44C6"/>
    <w:rsid w:val="3B4E1B66"/>
    <w:rsid w:val="3B927FC0"/>
    <w:rsid w:val="3B973F04"/>
    <w:rsid w:val="3BA1661B"/>
    <w:rsid w:val="3C0D76D7"/>
    <w:rsid w:val="3C4168BF"/>
    <w:rsid w:val="3C6C1155"/>
    <w:rsid w:val="3CC870D7"/>
    <w:rsid w:val="3D3B070D"/>
    <w:rsid w:val="3E581A30"/>
    <w:rsid w:val="3EC531C0"/>
    <w:rsid w:val="3EF436BA"/>
    <w:rsid w:val="3EF43A7A"/>
    <w:rsid w:val="3F1B51C8"/>
    <w:rsid w:val="3F864857"/>
    <w:rsid w:val="3FA64212"/>
    <w:rsid w:val="3FB34286"/>
    <w:rsid w:val="3FCA10BA"/>
    <w:rsid w:val="403B4E5B"/>
    <w:rsid w:val="407D1676"/>
    <w:rsid w:val="40C9514D"/>
    <w:rsid w:val="41574677"/>
    <w:rsid w:val="430B26BB"/>
    <w:rsid w:val="430F052D"/>
    <w:rsid w:val="432711BB"/>
    <w:rsid w:val="437F29F8"/>
    <w:rsid w:val="43A833B4"/>
    <w:rsid w:val="446B40B2"/>
    <w:rsid w:val="44EB4583"/>
    <w:rsid w:val="453E5ADB"/>
    <w:rsid w:val="459221AF"/>
    <w:rsid w:val="45A0681F"/>
    <w:rsid w:val="45AA1447"/>
    <w:rsid w:val="467A2B43"/>
    <w:rsid w:val="46B64F68"/>
    <w:rsid w:val="471E3036"/>
    <w:rsid w:val="475447B9"/>
    <w:rsid w:val="47B553DC"/>
    <w:rsid w:val="47C812FA"/>
    <w:rsid w:val="481212DA"/>
    <w:rsid w:val="482A569D"/>
    <w:rsid w:val="48344F93"/>
    <w:rsid w:val="48CA6540"/>
    <w:rsid w:val="492E25E8"/>
    <w:rsid w:val="494D5B12"/>
    <w:rsid w:val="496C59D8"/>
    <w:rsid w:val="4A294BF0"/>
    <w:rsid w:val="4ABB6F11"/>
    <w:rsid w:val="4ADE6B3E"/>
    <w:rsid w:val="4B0F5DBD"/>
    <w:rsid w:val="4B4165E7"/>
    <w:rsid w:val="4B840F58"/>
    <w:rsid w:val="4BC46433"/>
    <w:rsid w:val="4C0C2FE0"/>
    <w:rsid w:val="4CC21DE8"/>
    <w:rsid w:val="4CD77D18"/>
    <w:rsid w:val="4CF345BD"/>
    <w:rsid w:val="4DCF02B9"/>
    <w:rsid w:val="4DD35A19"/>
    <w:rsid w:val="4DDA5C4B"/>
    <w:rsid w:val="4DDF644F"/>
    <w:rsid w:val="4DE304D6"/>
    <w:rsid w:val="4EB836A9"/>
    <w:rsid w:val="4EBA0A2E"/>
    <w:rsid w:val="4F7638BE"/>
    <w:rsid w:val="4F895663"/>
    <w:rsid w:val="4FAF3CEF"/>
    <w:rsid w:val="4FF0236A"/>
    <w:rsid w:val="504F4E23"/>
    <w:rsid w:val="50787D2F"/>
    <w:rsid w:val="50EF420C"/>
    <w:rsid w:val="51506CEE"/>
    <w:rsid w:val="515676A3"/>
    <w:rsid w:val="51846FF5"/>
    <w:rsid w:val="51F85989"/>
    <w:rsid w:val="52982042"/>
    <w:rsid w:val="52F67C97"/>
    <w:rsid w:val="538B71AA"/>
    <w:rsid w:val="53F457AC"/>
    <w:rsid w:val="54011CBD"/>
    <w:rsid w:val="54E60E9E"/>
    <w:rsid w:val="54EB3797"/>
    <w:rsid w:val="55256529"/>
    <w:rsid w:val="55E01770"/>
    <w:rsid w:val="5624200F"/>
    <w:rsid w:val="56765354"/>
    <w:rsid w:val="57C1696A"/>
    <w:rsid w:val="57D16367"/>
    <w:rsid w:val="57F468E6"/>
    <w:rsid w:val="58DC4DC9"/>
    <w:rsid w:val="594B05CE"/>
    <w:rsid w:val="598D7122"/>
    <w:rsid w:val="59AC533B"/>
    <w:rsid w:val="5A5773F1"/>
    <w:rsid w:val="5A9C7A2D"/>
    <w:rsid w:val="5AA67CE7"/>
    <w:rsid w:val="5ACA788E"/>
    <w:rsid w:val="5B570375"/>
    <w:rsid w:val="5B5D1179"/>
    <w:rsid w:val="5B650361"/>
    <w:rsid w:val="5BAC74A6"/>
    <w:rsid w:val="5BB112D2"/>
    <w:rsid w:val="5CCA7E92"/>
    <w:rsid w:val="5D2E44D2"/>
    <w:rsid w:val="5D4B5084"/>
    <w:rsid w:val="5E8B00E2"/>
    <w:rsid w:val="5EA72CF2"/>
    <w:rsid w:val="5F1836CD"/>
    <w:rsid w:val="5F497AD2"/>
    <w:rsid w:val="5F5844DC"/>
    <w:rsid w:val="5F734876"/>
    <w:rsid w:val="5F7B095B"/>
    <w:rsid w:val="5FC45888"/>
    <w:rsid w:val="607B3DA1"/>
    <w:rsid w:val="60BF0CD2"/>
    <w:rsid w:val="60F24CDB"/>
    <w:rsid w:val="6187621A"/>
    <w:rsid w:val="62C70D09"/>
    <w:rsid w:val="632D5177"/>
    <w:rsid w:val="63690766"/>
    <w:rsid w:val="63A83743"/>
    <w:rsid w:val="63EC1FDA"/>
    <w:rsid w:val="64A0775E"/>
    <w:rsid w:val="64D84A58"/>
    <w:rsid w:val="651833E8"/>
    <w:rsid w:val="65836EA5"/>
    <w:rsid w:val="65FF0204"/>
    <w:rsid w:val="66633E6E"/>
    <w:rsid w:val="66703465"/>
    <w:rsid w:val="66931727"/>
    <w:rsid w:val="67570EB1"/>
    <w:rsid w:val="67647781"/>
    <w:rsid w:val="68EF6D3E"/>
    <w:rsid w:val="693D23AB"/>
    <w:rsid w:val="694A02F2"/>
    <w:rsid w:val="69530FDA"/>
    <w:rsid w:val="69BC0C28"/>
    <w:rsid w:val="69CF799B"/>
    <w:rsid w:val="6A542C1F"/>
    <w:rsid w:val="6B731339"/>
    <w:rsid w:val="6B995F45"/>
    <w:rsid w:val="6C940E00"/>
    <w:rsid w:val="6D1241A0"/>
    <w:rsid w:val="6E406318"/>
    <w:rsid w:val="6E6A2640"/>
    <w:rsid w:val="6F6C2DCC"/>
    <w:rsid w:val="707B3132"/>
    <w:rsid w:val="70BE708F"/>
    <w:rsid w:val="70D92C27"/>
    <w:rsid w:val="71982220"/>
    <w:rsid w:val="71E35433"/>
    <w:rsid w:val="71FE401B"/>
    <w:rsid w:val="72352623"/>
    <w:rsid w:val="723E4C29"/>
    <w:rsid w:val="72C8211B"/>
    <w:rsid w:val="735B0C23"/>
    <w:rsid w:val="73BD1ADF"/>
    <w:rsid w:val="73E9130F"/>
    <w:rsid w:val="740D3E60"/>
    <w:rsid w:val="746A213F"/>
    <w:rsid w:val="74A54D32"/>
    <w:rsid w:val="75856752"/>
    <w:rsid w:val="75E635B5"/>
    <w:rsid w:val="77636A64"/>
    <w:rsid w:val="778E46D4"/>
    <w:rsid w:val="77C6261E"/>
    <w:rsid w:val="77EA25B1"/>
    <w:rsid w:val="787D7EFC"/>
    <w:rsid w:val="790243F1"/>
    <w:rsid w:val="796A35B7"/>
    <w:rsid w:val="79710303"/>
    <w:rsid w:val="7A3E4ED4"/>
    <w:rsid w:val="7A566539"/>
    <w:rsid w:val="7A802674"/>
    <w:rsid w:val="7AB06959"/>
    <w:rsid w:val="7B0001E5"/>
    <w:rsid w:val="7B89704B"/>
    <w:rsid w:val="7BD90934"/>
    <w:rsid w:val="7BF62539"/>
    <w:rsid w:val="7C305C04"/>
    <w:rsid w:val="7D007E4C"/>
    <w:rsid w:val="7E3D576A"/>
    <w:rsid w:val="7E9F6E46"/>
    <w:rsid w:val="7ECE188F"/>
    <w:rsid w:val="7EDE1DB6"/>
    <w:rsid w:val="7EDE20FC"/>
    <w:rsid w:val="7EE5009B"/>
    <w:rsid w:val="7F430977"/>
    <w:rsid w:val="7F721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rFonts w:eastAsia="宋体"/>
      <w:sz w:val="18"/>
      <w:szCs w:val="18"/>
    </w:rPr>
  </w:style>
  <w:style w:type="paragraph" w:styleId="3">
    <w:name w:val="Body Text"/>
    <w:basedOn w:val="1"/>
    <w:qFormat/>
    <w:uiPriority w:val="0"/>
    <w:rPr>
      <w:rFonts w:ascii="仿宋_GB2312" w:cs="仿宋_GB2312"/>
      <w:szCs w:val="32"/>
      <w:lang w:val="zh-CN" w:bidi="zh-CN"/>
    </w:rPr>
  </w:style>
  <w:style w:type="paragraph" w:styleId="4">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character" w:customStyle="1" w:styleId="7">
    <w:name w:val="font31"/>
    <w:basedOn w:val="6"/>
    <w:qFormat/>
    <w:uiPriority w:val="0"/>
    <w:rPr>
      <w:rFonts w:hint="eastAsia" w:ascii="宋体" w:hAnsi="宋体" w:eastAsia="宋体" w:cs="宋体"/>
      <w:color w:val="000000"/>
      <w:sz w:val="24"/>
      <w:szCs w:val="24"/>
      <w:u w:val="none"/>
    </w:rPr>
  </w:style>
  <w:style w:type="character" w:customStyle="1" w:styleId="8">
    <w:name w:val="font01"/>
    <w:basedOn w:val="6"/>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6713</Words>
  <Characters>7237</Characters>
  <Lines>60</Lines>
  <Paragraphs>17</Paragraphs>
  <TotalTime>82</TotalTime>
  <ScaleCrop>false</ScaleCrop>
  <LinksUpToDate>false</LinksUpToDate>
  <CharactersWithSpaces>7877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2023-03-17T07:44:00Z</dcterms:created>
  <dc:creator>WPS_1676363659</dc:creator>
  <cp:lastModifiedBy>茗涵</cp:lastModifiedBy>
  <dcterms:modified xsi:type="dcterms:W3CDTF">2023-04-18T02:29:25Z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AE19C68C866E4F36BD8829F1C1A31B4E</vt:lpwstr>
  </property>
</Properties>
</file>