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77193"/>
      <w:bookmarkStart w:id="1" w:name="_Toc15377425"/>
      <w:bookmarkStart w:id="2" w:name="_Toc15396475"/>
      <w:bookmarkStart w:id="3" w:name="_Toc15378441"/>
      <w:bookmarkStart w:id="4" w:name="_Toc15396597"/>
      <w:bookmarkStart w:id="5"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_GBK" w:hAnsi="方正小标宋_GBK" w:eastAsia="方正小标宋_GBK" w:cs="方正小标宋_GBK"/>
          <w:sz w:val="72"/>
          <w:szCs w:val="72"/>
          <w:lang w:eastAsia="zh-CN"/>
        </w:rPr>
      </w:pPr>
      <w:bookmarkStart w:id="6" w:name="_Toc15377194"/>
      <w:bookmarkStart w:id="7" w:name="_Toc15396598"/>
      <w:bookmarkStart w:id="8" w:name="_Toc15377426"/>
      <w:bookmarkStart w:id="9" w:name="_Toc15378442"/>
      <w:bookmarkStart w:id="10" w:name="_Toc15396476"/>
      <w:r>
        <w:rPr>
          <w:rFonts w:hint="eastAsia" w:ascii="方正小标宋_GBK" w:hAnsi="方正小标宋_GBK" w:eastAsia="方正小标宋_GBK" w:cs="方正小标宋_GBK"/>
          <w:sz w:val="72"/>
          <w:szCs w:val="72"/>
        </w:rPr>
        <w:t>达州市达川区</w:t>
      </w:r>
      <w:bookmarkEnd w:id="5"/>
      <w:bookmarkStart w:id="11" w:name="_Toc15306268"/>
      <w:r>
        <w:rPr>
          <w:rFonts w:hint="eastAsia" w:ascii="方正小标宋_GBK" w:hAnsi="方正小标宋_GBK" w:eastAsia="方正小标宋_GBK" w:cs="方正小标宋_GBK"/>
          <w:sz w:val="72"/>
          <w:szCs w:val="72"/>
          <w:lang w:eastAsia="zh-CN"/>
        </w:rPr>
        <w:t>逸夫小学</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eastAsia="方正小标宋简体"/>
          <w:sz w:val="52"/>
          <w:szCs w:val="52"/>
        </w:rPr>
      </w:pPr>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hint="eastAsia" w:ascii="仿宋" w:hAnsi="仿宋" w:eastAsia="仿宋" w:cs="仿宋"/>
          <w:sz w:val="28"/>
          <w:szCs w:val="28"/>
        </w:rPr>
      </w:pPr>
    </w:p>
    <w:p>
      <w:pPr>
        <w:spacing w:line="578" w:lineRule="exact"/>
        <w:ind w:firstLine="640" w:firstLineChars="200"/>
        <w:rPr>
          <w:rFonts w:eastAsia="方正仿宋_GBK"/>
          <w:sz w:val="32"/>
          <w:szCs w:val="32"/>
        </w:rPr>
      </w:pPr>
      <w:bookmarkStart w:id="12" w:name="_Toc15396599"/>
      <w:bookmarkStart w:id="13" w:name="_Toc15377196"/>
      <w:r>
        <w:rPr>
          <w:rFonts w:hint="eastAsia" w:ascii="方正楷体_GBK" w:hAnsi="方正楷体_GBK" w:eastAsia="方正楷体_GBK" w:cs="方正楷体_GBK"/>
          <w:sz w:val="32"/>
          <w:szCs w:val="32"/>
        </w:rPr>
        <w:t>第一部分 部门概况</w:t>
      </w:r>
    </w:p>
    <w:p>
      <w:pPr>
        <w:spacing w:line="578" w:lineRule="exact"/>
        <w:ind w:firstLine="640" w:firstLineChars="200"/>
        <w:rPr>
          <w:rFonts w:hint="eastAsia" w:eastAsia="方正仿宋_GBK"/>
          <w:sz w:val="32"/>
          <w:szCs w:val="32"/>
        </w:rPr>
      </w:pPr>
      <w:r>
        <w:rPr>
          <w:rFonts w:eastAsia="方正仿宋_GBK"/>
          <w:sz w:val="32"/>
          <w:szCs w:val="32"/>
        </w:rPr>
        <w:t>一、部门职责</w:t>
      </w:r>
    </w:p>
    <w:p>
      <w:pPr>
        <w:spacing w:line="578" w:lineRule="exact"/>
        <w:ind w:firstLine="640" w:firstLineChars="200"/>
        <w:rPr>
          <w:rFonts w:hint="eastAsia" w:eastAsia="方正仿宋_GBK"/>
          <w:sz w:val="32"/>
          <w:szCs w:val="32"/>
        </w:rPr>
      </w:pPr>
      <w:r>
        <w:rPr>
          <w:rFonts w:eastAsia="方正仿宋_GBK"/>
          <w:sz w:val="32"/>
          <w:szCs w:val="32"/>
        </w:rPr>
        <w:t>二、机构设置</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第二部分 2022年度部门决算情况说明</w:t>
      </w:r>
      <w:r>
        <w:rPr>
          <w:rFonts w:eastAsia="方正仿宋_GBK"/>
          <w:sz w:val="32"/>
          <w:szCs w:val="32"/>
        </w:rPr>
        <w:t xml:space="preserve"> </w:t>
      </w:r>
    </w:p>
    <w:p>
      <w:pPr>
        <w:spacing w:line="578" w:lineRule="exact"/>
        <w:ind w:firstLine="640" w:firstLineChars="200"/>
        <w:rPr>
          <w:rFonts w:hint="eastAsia" w:eastAsia="方正仿宋_GBK"/>
          <w:sz w:val="32"/>
          <w:szCs w:val="32"/>
        </w:rPr>
      </w:pPr>
      <w:r>
        <w:rPr>
          <w:rFonts w:eastAsia="方正仿宋_GBK"/>
          <w:sz w:val="32"/>
          <w:szCs w:val="32"/>
        </w:rPr>
        <w:t>一、收入支出决算总体情况说明</w:t>
      </w:r>
    </w:p>
    <w:p>
      <w:pPr>
        <w:spacing w:line="578" w:lineRule="exact"/>
        <w:ind w:firstLine="640" w:firstLineChars="200"/>
        <w:rPr>
          <w:rFonts w:hint="eastAsia" w:eastAsia="方正仿宋_GBK"/>
          <w:sz w:val="32"/>
          <w:szCs w:val="32"/>
        </w:rPr>
      </w:pPr>
      <w:r>
        <w:rPr>
          <w:rFonts w:eastAsia="方正仿宋_GBK"/>
          <w:sz w:val="32"/>
          <w:szCs w:val="32"/>
        </w:rPr>
        <w:t>二、收入决算情况说明</w:t>
      </w:r>
    </w:p>
    <w:p>
      <w:pPr>
        <w:spacing w:line="578" w:lineRule="exact"/>
        <w:ind w:firstLine="640" w:firstLineChars="200"/>
        <w:rPr>
          <w:rFonts w:eastAsia="方正仿宋_GBK"/>
          <w:sz w:val="32"/>
          <w:szCs w:val="32"/>
        </w:rPr>
      </w:pPr>
      <w:r>
        <w:rPr>
          <w:rFonts w:eastAsia="方正仿宋_GBK"/>
          <w:sz w:val="32"/>
          <w:szCs w:val="32"/>
        </w:rPr>
        <w:t>三、支出决算情况说明</w:t>
      </w:r>
    </w:p>
    <w:p>
      <w:pPr>
        <w:spacing w:line="578" w:lineRule="exact"/>
        <w:ind w:firstLine="640" w:firstLineChars="200"/>
        <w:rPr>
          <w:rFonts w:eastAsia="方正仿宋_GBK"/>
          <w:sz w:val="32"/>
          <w:szCs w:val="32"/>
        </w:rPr>
      </w:pPr>
      <w:r>
        <w:rPr>
          <w:rFonts w:eastAsia="方正仿宋_GBK"/>
          <w:sz w:val="32"/>
          <w:szCs w:val="32"/>
        </w:rPr>
        <w:t>四、财政拨款收入支出决算总体情况说明</w:t>
      </w:r>
    </w:p>
    <w:p>
      <w:pPr>
        <w:spacing w:line="578" w:lineRule="exact"/>
        <w:ind w:firstLine="640" w:firstLineChars="200"/>
        <w:rPr>
          <w:rFonts w:eastAsia="方正仿宋_GBK"/>
          <w:sz w:val="32"/>
          <w:szCs w:val="32"/>
        </w:rPr>
      </w:pPr>
      <w:r>
        <w:rPr>
          <w:rFonts w:eastAsia="方正仿宋_GBK"/>
          <w:sz w:val="32"/>
          <w:szCs w:val="32"/>
        </w:rPr>
        <w:t>五、一般公共预算财政拨款支出决算情况说明</w:t>
      </w:r>
    </w:p>
    <w:p>
      <w:pPr>
        <w:spacing w:line="578" w:lineRule="exact"/>
        <w:ind w:firstLine="640" w:firstLineChars="200"/>
        <w:rPr>
          <w:rFonts w:eastAsia="方正仿宋_GBK"/>
          <w:sz w:val="32"/>
          <w:szCs w:val="32"/>
        </w:rPr>
      </w:pPr>
      <w:r>
        <w:rPr>
          <w:rFonts w:eastAsia="方正仿宋_GBK"/>
          <w:sz w:val="32"/>
          <w:szCs w:val="32"/>
        </w:rPr>
        <w:t>六、一般公共预算财政拨款基本支出决算情况说明</w:t>
      </w:r>
    </w:p>
    <w:p>
      <w:pPr>
        <w:spacing w:line="578" w:lineRule="exact"/>
        <w:ind w:firstLine="640" w:firstLineChars="200"/>
        <w:rPr>
          <w:rFonts w:eastAsia="方正仿宋_GBK"/>
          <w:sz w:val="32"/>
          <w:szCs w:val="32"/>
        </w:rPr>
      </w:pPr>
      <w:r>
        <w:rPr>
          <w:rFonts w:eastAsia="方正仿宋_GBK"/>
          <w:sz w:val="32"/>
          <w:szCs w:val="32"/>
        </w:rPr>
        <w:t>七、财政拨款“三公”经费支出决算情况说明</w:t>
      </w:r>
    </w:p>
    <w:p>
      <w:pPr>
        <w:spacing w:line="578" w:lineRule="exact"/>
        <w:ind w:firstLine="640" w:firstLineChars="200"/>
        <w:rPr>
          <w:rFonts w:eastAsia="方正仿宋_GBK"/>
          <w:sz w:val="32"/>
          <w:szCs w:val="32"/>
        </w:rPr>
      </w:pPr>
      <w:r>
        <w:rPr>
          <w:rFonts w:eastAsia="方正仿宋_GBK"/>
          <w:sz w:val="32"/>
          <w:szCs w:val="32"/>
        </w:rPr>
        <w:t>八、政府性基金预算支出决算情况说明</w:t>
      </w:r>
    </w:p>
    <w:p>
      <w:pPr>
        <w:spacing w:line="578" w:lineRule="exact"/>
        <w:ind w:firstLine="640" w:firstLineChars="200"/>
        <w:rPr>
          <w:rFonts w:eastAsia="方正仿宋_GBK"/>
          <w:sz w:val="32"/>
          <w:szCs w:val="32"/>
        </w:rPr>
      </w:pPr>
      <w:r>
        <w:rPr>
          <w:rFonts w:eastAsia="方正仿宋_GBK"/>
          <w:sz w:val="32"/>
          <w:szCs w:val="32"/>
        </w:rPr>
        <w:t>九、国有资本经营预算支出决算情况说明</w:t>
      </w:r>
    </w:p>
    <w:p>
      <w:pPr>
        <w:spacing w:line="578" w:lineRule="exact"/>
        <w:ind w:firstLine="640" w:firstLineChars="200"/>
        <w:rPr>
          <w:rFonts w:eastAsia="方正仿宋_GBK"/>
          <w:sz w:val="32"/>
          <w:szCs w:val="32"/>
        </w:rPr>
      </w:pPr>
      <w:r>
        <w:rPr>
          <w:rFonts w:eastAsia="方正仿宋_GBK"/>
          <w:sz w:val="32"/>
          <w:szCs w:val="32"/>
        </w:rPr>
        <w:t>十、其他重要事项的情况说明</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第三部分 名词解释</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第四部分 附件</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第五部分 附表</w:t>
      </w:r>
    </w:p>
    <w:p>
      <w:pPr>
        <w:spacing w:line="578" w:lineRule="exact"/>
        <w:ind w:firstLine="640" w:firstLineChars="200"/>
        <w:rPr>
          <w:rFonts w:eastAsia="方正仿宋_GBK"/>
          <w:sz w:val="32"/>
          <w:szCs w:val="32"/>
        </w:rPr>
      </w:pPr>
      <w:r>
        <w:rPr>
          <w:rFonts w:eastAsia="方正仿宋_GBK"/>
          <w:sz w:val="32"/>
          <w:szCs w:val="32"/>
        </w:rPr>
        <w:t>一、收入支出决算总表</w:t>
      </w:r>
    </w:p>
    <w:p>
      <w:pPr>
        <w:spacing w:line="578" w:lineRule="exact"/>
        <w:ind w:firstLine="640" w:firstLineChars="200"/>
        <w:rPr>
          <w:rFonts w:eastAsia="方正仿宋_GBK"/>
          <w:sz w:val="32"/>
          <w:szCs w:val="32"/>
        </w:rPr>
      </w:pPr>
      <w:r>
        <w:rPr>
          <w:rFonts w:eastAsia="方正仿宋_GBK"/>
          <w:sz w:val="32"/>
          <w:szCs w:val="32"/>
        </w:rPr>
        <w:t>二、收入决算表</w:t>
      </w:r>
    </w:p>
    <w:p>
      <w:pPr>
        <w:spacing w:line="578" w:lineRule="exact"/>
        <w:ind w:firstLine="640" w:firstLineChars="200"/>
        <w:rPr>
          <w:rFonts w:eastAsia="方正仿宋_GBK"/>
          <w:sz w:val="32"/>
          <w:szCs w:val="32"/>
        </w:rPr>
      </w:pPr>
      <w:r>
        <w:rPr>
          <w:rFonts w:eastAsia="方正仿宋_GBK"/>
          <w:sz w:val="32"/>
          <w:szCs w:val="32"/>
        </w:rPr>
        <w:t>三、支出决算表</w:t>
      </w:r>
    </w:p>
    <w:p>
      <w:pPr>
        <w:spacing w:line="578" w:lineRule="exact"/>
        <w:ind w:firstLine="640" w:firstLineChars="200"/>
        <w:rPr>
          <w:rFonts w:eastAsia="方正仿宋_GBK"/>
          <w:sz w:val="32"/>
          <w:szCs w:val="32"/>
        </w:rPr>
      </w:pPr>
      <w:r>
        <w:rPr>
          <w:rFonts w:eastAsia="方正仿宋_GBK"/>
          <w:sz w:val="32"/>
          <w:szCs w:val="32"/>
        </w:rPr>
        <w:t>四、财政拨款收入支出决算总表</w:t>
      </w:r>
    </w:p>
    <w:p>
      <w:pPr>
        <w:spacing w:line="578" w:lineRule="exact"/>
        <w:ind w:firstLine="640" w:firstLineChars="200"/>
        <w:rPr>
          <w:rFonts w:eastAsia="方正仿宋_GBK"/>
          <w:sz w:val="32"/>
          <w:szCs w:val="32"/>
        </w:rPr>
      </w:pPr>
      <w:r>
        <w:rPr>
          <w:rFonts w:eastAsia="方正仿宋_GBK"/>
          <w:sz w:val="32"/>
          <w:szCs w:val="32"/>
        </w:rPr>
        <w:t>五、财政拨款支出决算明细表</w:t>
      </w:r>
    </w:p>
    <w:p>
      <w:pPr>
        <w:spacing w:line="578" w:lineRule="exact"/>
        <w:ind w:firstLine="640" w:firstLineChars="200"/>
        <w:rPr>
          <w:rFonts w:eastAsia="方正仿宋_GBK"/>
          <w:sz w:val="32"/>
          <w:szCs w:val="32"/>
        </w:rPr>
      </w:pPr>
      <w:r>
        <w:rPr>
          <w:rFonts w:eastAsia="方正仿宋_GBK"/>
          <w:sz w:val="32"/>
          <w:szCs w:val="32"/>
        </w:rPr>
        <w:t>六、一般公共预算财政拨款支出决算表</w:t>
      </w:r>
    </w:p>
    <w:p>
      <w:pPr>
        <w:spacing w:line="578" w:lineRule="exact"/>
        <w:ind w:firstLine="640" w:firstLineChars="200"/>
        <w:rPr>
          <w:rFonts w:eastAsia="方正仿宋_GBK"/>
          <w:sz w:val="32"/>
          <w:szCs w:val="32"/>
        </w:rPr>
      </w:pPr>
      <w:r>
        <w:rPr>
          <w:rFonts w:eastAsia="方正仿宋_GBK"/>
          <w:sz w:val="32"/>
          <w:szCs w:val="32"/>
        </w:rPr>
        <w:t>七、一般公共预算财政拨款支出决算明细表</w:t>
      </w:r>
    </w:p>
    <w:p>
      <w:pPr>
        <w:spacing w:line="578" w:lineRule="exact"/>
        <w:ind w:firstLine="640" w:firstLineChars="200"/>
        <w:rPr>
          <w:rFonts w:eastAsia="方正仿宋_GBK"/>
          <w:sz w:val="32"/>
          <w:szCs w:val="32"/>
        </w:rPr>
      </w:pPr>
      <w:r>
        <w:rPr>
          <w:rFonts w:eastAsia="方正仿宋_GBK"/>
          <w:sz w:val="32"/>
          <w:szCs w:val="32"/>
        </w:rPr>
        <w:t>八、一般公共预算财政拨款基本支出决算明细表</w:t>
      </w:r>
    </w:p>
    <w:p>
      <w:pPr>
        <w:spacing w:line="578" w:lineRule="exact"/>
        <w:ind w:firstLine="640" w:firstLineChars="200"/>
        <w:rPr>
          <w:rFonts w:eastAsia="方正仿宋_GBK"/>
          <w:sz w:val="32"/>
          <w:szCs w:val="32"/>
        </w:rPr>
      </w:pPr>
      <w:r>
        <w:rPr>
          <w:rFonts w:eastAsia="方正仿宋_GBK"/>
          <w:sz w:val="32"/>
          <w:szCs w:val="32"/>
        </w:rPr>
        <w:t>九、一般公共预算财政拨款项目支出决算表</w:t>
      </w:r>
    </w:p>
    <w:p>
      <w:pPr>
        <w:spacing w:line="578" w:lineRule="exact"/>
        <w:ind w:firstLine="640" w:firstLineChars="200"/>
        <w:rPr>
          <w:rFonts w:eastAsia="方正仿宋_GBK"/>
          <w:sz w:val="32"/>
          <w:szCs w:val="32"/>
        </w:rPr>
      </w:pPr>
      <w:r>
        <w:rPr>
          <w:rFonts w:eastAsia="方正仿宋_GBK"/>
          <w:sz w:val="32"/>
          <w:szCs w:val="32"/>
        </w:rPr>
        <w:t>十、政府性基金预算财政拨款收入支出决算表</w:t>
      </w:r>
    </w:p>
    <w:p>
      <w:pPr>
        <w:spacing w:line="578" w:lineRule="exact"/>
        <w:ind w:firstLine="640" w:firstLineChars="200"/>
        <w:rPr>
          <w:rFonts w:eastAsia="方正仿宋_GBK"/>
          <w:sz w:val="32"/>
          <w:szCs w:val="32"/>
        </w:rPr>
      </w:pPr>
      <w:r>
        <w:rPr>
          <w:rFonts w:eastAsia="方正仿宋_GBK"/>
          <w:sz w:val="32"/>
          <w:szCs w:val="32"/>
        </w:rPr>
        <w:t>十一、国有资本经营预算财政拨款收入支出决算表</w:t>
      </w:r>
    </w:p>
    <w:p>
      <w:pPr>
        <w:spacing w:line="578" w:lineRule="exact"/>
        <w:ind w:firstLine="640" w:firstLineChars="200"/>
        <w:rPr>
          <w:rFonts w:eastAsia="方正仿宋_GBK"/>
          <w:sz w:val="32"/>
          <w:szCs w:val="32"/>
        </w:rPr>
      </w:pPr>
      <w:r>
        <w:rPr>
          <w:rFonts w:eastAsia="方正仿宋_GBK"/>
          <w:sz w:val="32"/>
          <w:szCs w:val="32"/>
        </w:rPr>
        <w:t>十二、国有资本经营预算财政拨款支出决算表</w:t>
      </w:r>
    </w:p>
    <w:p>
      <w:pPr>
        <w:spacing w:line="578" w:lineRule="exact"/>
        <w:ind w:firstLine="640" w:firstLineChars="200"/>
        <w:rPr>
          <w:rFonts w:eastAsia="方正仿宋_GBK"/>
          <w:sz w:val="32"/>
          <w:szCs w:val="32"/>
        </w:rPr>
      </w:pPr>
      <w:r>
        <w:rPr>
          <w:rFonts w:eastAsia="方正仿宋_GBK"/>
          <w:sz w:val="32"/>
          <w:szCs w:val="32"/>
        </w:rPr>
        <w:t>十三、财政拨款“三公”经费支出决算表</w:t>
      </w:r>
    </w:p>
    <w:p>
      <w:pPr>
        <w:widowControl/>
        <w:spacing w:line="440" w:lineRule="exact"/>
        <w:jc w:val="left"/>
        <w:rPr>
          <w:rFonts w:eastAsia="仿宋"/>
          <w:b/>
          <w:sz w:val="24"/>
        </w:rPr>
      </w:pPr>
    </w:p>
    <w:p>
      <w:pPr>
        <w:pStyle w:val="6"/>
        <w:spacing w:before="130"/>
        <w:sectPr>
          <w:headerReference r:id="rId3" w:type="default"/>
          <w:footerReference r:id="rId4" w:type="default"/>
          <w:pgSz w:w="11906" w:h="16838"/>
          <w:pgMar w:top="1701" w:right="1474" w:bottom="1134" w:left="1588" w:header="851" w:footer="992" w:gutter="0"/>
          <w:pgNumType w:fmt="numberInDash"/>
          <w:cols w:space="425" w:num="1"/>
          <w:docGrid w:type="lines" w:linePitch="435" w:charSpace="0"/>
        </w:sectPr>
      </w:pPr>
    </w:p>
    <w:p>
      <w:pPr>
        <w:pStyle w:val="3"/>
        <w:pageBreakBefore w:val="0"/>
        <w:kinsoku/>
        <w:wordWrap/>
        <w:overflowPunct/>
        <w:topLinePunct w:val="0"/>
        <w:autoSpaceDE/>
        <w:autoSpaceDN/>
        <w:bidi w:val="0"/>
        <w:adjustRightInd/>
        <w:snapToGrid/>
        <w:spacing w:before="0" w:after="0" w:line="578" w:lineRule="exact"/>
        <w:jc w:val="center"/>
        <w:textAlignment w:val="auto"/>
        <w:rPr>
          <w:rStyle w:val="29"/>
          <w:rFonts w:eastAsia="黑体"/>
          <w:b/>
          <w:bCs w:val="0"/>
        </w:rPr>
      </w:pPr>
      <w:bookmarkStart w:id="59" w:name="_GoBack"/>
      <w:bookmarkEnd w:id="59"/>
      <w:r>
        <w:rPr>
          <w:rFonts w:eastAsia="黑体"/>
          <w:b w:val="0"/>
        </w:rPr>
        <w:t xml:space="preserve">第一部分 </w:t>
      </w:r>
      <w:r>
        <w:rPr>
          <w:rStyle w:val="29"/>
          <w:rFonts w:eastAsia="黑体"/>
          <w:b w:val="0"/>
          <w:bCs w:val="0"/>
        </w:rPr>
        <w:t>部门概况</w:t>
      </w:r>
      <w:bookmarkEnd w:id="12"/>
      <w:bookmarkEnd w:id="13"/>
    </w:p>
    <w:p>
      <w:pPr>
        <w:pageBreakBefore w:val="0"/>
        <w:widowControl/>
        <w:kinsoku/>
        <w:wordWrap/>
        <w:overflowPunct/>
        <w:topLinePunct w:val="0"/>
        <w:autoSpaceDE/>
        <w:autoSpaceDN/>
        <w:bidi w:val="0"/>
        <w:adjustRightInd/>
        <w:snapToGrid/>
        <w:spacing w:line="578" w:lineRule="exact"/>
        <w:jc w:val="left"/>
        <w:textAlignment w:val="auto"/>
        <w:rPr>
          <w:rFonts w:eastAsia="黑体"/>
          <w:sz w:val="32"/>
          <w:szCs w:val="32"/>
        </w:rPr>
      </w:pPr>
    </w:p>
    <w:p>
      <w:pPr>
        <w:pStyle w:val="4"/>
        <w:pageBreakBefore w:val="0"/>
        <w:kinsoku/>
        <w:wordWrap/>
        <w:overflowPunct/>
        <w:topLinePunct w:val="0"/>
        <w:autoSpaceDE/>
        <w:autoSpaceDN/>
        <w:bidi w:val="0"/>
        <w:adjustRightInd/>
        <w:snapToGrid/>
        <w:spacing w:before="0" w:after="0" w:line="578" w:lineRule="exact"/>
        <w:ind w:firstLine="640" w:firstLineChars="200"/>
        <w:textAlignment w:val="auto"/>
        <w:rPr>
          <w:rFonts w:ascii="Times New Roman" w:hAnsi="Times New Roman" w:eastAsia="黑体" w:cs="Times New Roman"/>
          <w:b w:val="0"/>
        </w:rPr>
      </w:pPr>
      <w:r>
        <w:rPr>
          <w:rFonts w:ascii="Times New Roman" w:hAnsi="Times New Roman" w:eastAsia="黑体" w:cs="Times New Roman"/>
          <w:b w:val="0"/>
        </w:rPr>
        <w:t>一、部门职责</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（一）达川区</w:t>
      </w:r>
      <w:r>
        <w:rPr>
          <w:rFonts w:hint="eastAsia" w:ascii="方正楷体_GBK" w:hAnsi="方正楷体_GBK" w:eastAsia="方正楷体_GBK" w:cs="方正楷体_GBK"/>
          <w:sz w:val="32"/>
          <w:szCs w:val="32"/>
          <w:lang w:eastAsia="zh-CN"/>
        </w:rPr>
        <w:t>逸夫小学</w:t>
      </w:r>
      <w:r>
        <w:rPr>
          <w:rFonts w:hint="eastAsia" w:ascii="方正楷体_GBK" w:hAnsi="方正楷体_GBK" w:eastAsia="方正楷体_GBK" w:cs="方正楷体_GBK"/>
          <w:sz w:val="32"/>
          <w:szCs w:val="32"/>
        </w:rPr>
        <w:t>职能简介。</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（二）达川区</w:t>
      </w:r>
      <w:r>
        <w:rPr>
          <w:rFonts w:hint="eastAsia" w:ascii="方正楷体_GBK" w:hAnsi="方正楷体_GBK" w:eastAsia="方正楷体_GBK" w:cs="方正楷体_GBK"/>
          <w:sz w:val="32"/>
          <w:szCs w:val="32"/>
          <w:lang w:eastAsia="zh-CN"/>
        </w:rPr>
        <w:t>逸夫小学</w:t>
      </w:r>
      <w:r>
        <w:rPr>
          <w:rFonts w:hint="eastAsia" w:ascii="方正楷体_GBK" w:hAnsi="方正楷体_GBK" w:eastAsia="方正楷体_GBK" w:cs="方正楷体_GBK"/>
          <w:sz w:val="32"/>
          <w:szCs w:val="32"/>
        </w:rPr>
        <w:t>2022年重点工作完成情况</w:t>
      </w:r>
      <w:r>
        <w:rPr>
          <w:rFonts w:hint="eastAsia" w:ascii="方正楷体_GBK" w:hAnsi="方正楷体_GBK" w:eastAsia="方正楷体_GBK" w:cs="方正楷体_GBK"/>
          <w:sz w:val="32"/>
          <w:szCs w:val="32"/>
          <w:lang w:eastAsia="zh-CN"/>
        </w:rPr>
        <w:t>如下</w:t>
      </w:r>
      <w:r>
        <w:rPr>
          <w:rFonts w:hint="eastAsia" w:ascii="方正楷体_GBK" w:hAnsi="方正楷体_GBK" w:eastAsia="方正楷体_GBK" w:cs="方正楷体_GBK"/>
          <w:sz w:val="32"/>
          <w:szCs w:val="32"/>
        </w:rPr>
        <w:t>。</w:t>
      </w:r>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eastAsia="仿宋"/>
          <w:sz w:val="32"/>
          <w:szCs w:val="32"/>
        </w:rPr>
        <w:t>1.达川区</w:t>
      </w:r>
      <w:r>
        <w:rPr>
          <w:rFonts w:hint="eastAsia" w:eastAsia="仿宋"/>
          <w:sz w:val="32"/>
          <w:szCs w:val="32"/>
          <w:lang w:eastAsia="zh-CN"/>
        </w:rPr>
        <w:t>逸夫小学</w:t>
      </w:r>
      <w:r>
        <w:rPr>
          <w:rFonts w:eastAsia="仿宋"/>
          <w:sz w:val="32"/>
          <w:szCs w:val="32"/>
        </w:rPr>
        <w:t>成立于20</w:t>
      </w:r>
      <w:r>
        <w:rPr>
          <w:rFonts w:hint="eastAsia" w:eastAsia="仿宋"/>
          <w:sz w:val="32"/>
          <w:szCs w:val="32"/>
          <w:lang w:val="en-US" w:eastAsia="zh-CN"/>
        </w:rPr>
        <w:t>01</w:t>
      </w:r>
      <w:r>
        <w:rPr>
          <w:rFonts w:eastAsia="仿宋"/>
          <w:sz w:val="32"/>
          <w:szCs w:val="32"/>
        </w:rPr>
        <w:t>年</w:t>
      </w:r>
      <w:r>
        <w:rPr>
          <w:rFonts w:hint="eastAsia" w:eastAsia="仿宋"/>
          <w:sz w:val="32"/>
          <w:szCs w:val="32"/>
          <w:lang w:val="en-US" w:eastAsia="zh-CN"/>
        </w:rPr>
        <w:t>8</w:t>
      </w:r>
      <w:r>
        <w:rPr>
          <w:rFonts w:eastAsia="仿宋"/>
          <w:sz w:val="32"/>
          <w:szCs w:val="32"/>
        </w:rPr>
        <w:t>月，隶属于达州市达川区教育局，单位性质为公益一类事业单位，经费来源为财政拨款。</w:t>
      </w:r>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eastAsia="仿宋"/>
          <w:sz w:val="32"/>
          <w:szCs w:val="32"/>
        </w:rPr>
        <w:t>2.学校主要承担适龄儿童少年接受义务教育</w:t>
      </w:r>
      <w:r>
        <w:rPr>
          <w:rFonts w:hint="eastAsia" w:eastAsia="仿宋"/>
          <w:sz w:val="32"/>
          <w:szCs w:val="32"/>
          <w:lang w:eastAsia="zh-CN"/>
        </w:rPr>
        <w:t>任务</w:t>
      </w:r>
      <w:r>
        <w:rPr>
          <w:rFonts w:eastAsia="仿宋"/>
          <w:sz w:val="32"/>
          <w:szCs w:val="32"/>
        </w:rPr>
        <w:t>。</w:t>
      </w:r>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eastAsia="仿宋"/>
          <w:sz w:val="32"/>
          <w:szCs w:val="32"/>
        </w:rPr>
        <w:t>2022年，我们紧密地团结在以习近平同志为核心的党中央周围，以习近平新时代中国特色社会主义思想为指导，认真贯彻党中央大政方针和省市区各级决策部署，迎难而上、埋头苦干，扎实做好学校的各项工作，</w:t>
      </w:r>
      <w:r>
        <w:rPr>
          <w:rFonts w:hint="eastAsia" w:eastAsia="仿宋"/>
          <w:sz w:val="32"/>
          <w:szCs w:val="32"/>
          <w:lang w:eastAsia="zh-CN"/>
        </w:rPr>
        <w:t>为</w:t>
      </w:r>
      <w:r>
        <w:rPr>
          <w:rFonts w:eastAsia="仿宋"/>
          <w:sz w:val="32"/>
          <w:szCs w:val="32"/>
        </w:rPr>
        <w:t>推进</w:t>
      </w:r>
      <w:r>
        <w:rPr>
          <w:rFonts w:hint="eastAsia" w:eastAsia="仿宋"/>
          <w:sz w:val="32"/>
          <w:szCs w:val="32"/>
          <w:lang w:eastAsia="zh-CN"/>
        </w:rPr>
        <w:t>义务</w:t>
      </w:r>
      <w:r>
        <w:rPr>
          <w:rFonts w:eastAsia="仿宋"/>
          <w:sz w:val="32"/>
          <w:szCs w:val="32"/>
        </w:rPr>
        <w:t>教育事业再上新台阶</w:t>
      </w:r>
      <w:r>
        <w:rPr>
          <w:rFonts w:hint="eastAsia" w:eastAsia="仿宋"/>
          <w:sz w:val="32"/>
          <w:szCs w:val="32"/>
          <w:lang w:eastAsia="zh-CN"/>
        </w:rPr>
        <w:t>作</w:t>
      </w:r>
      <w:r>
        <w:rPr>
          <w:rFonts w:eastAsia="仿宋"/>
          <w:sz w:val="32"/>
          <w:szCs w:val="32"/>
        </w:rPr>
        <w:t>出了相应的贡献。</w:t>
      </w:r>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hint="eastAsia" w:ascii="微软雅黑" w:hAnsi="微软雅黑" w:eastAsia="微软雅黑" w:cs="微软雅黑"/>
          <w:sz w:val="32"/>
          <w:szCs w:val="32"/>
        </w:rPr>
        <w:t>①</w:t>
      </w:r>
      <w:r>
        <w:rPr>
          <w:rFonts w:eastAsia="仿宋"/>
          <w:sz w:val="32"/>
          <w:szCs w:val="32"/>
        </w:rPr>
        <w:t>强化了单位日常管理，保证日常工作正常运行。</w:t>
      </w:r>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hint="eastAsia" w:ascii="微软雅黑" w:hAnsi="微软雅黑" w:eastAsia="微软雅黑" w:cs="微软雅黑"/>
          <w:sz w:val="32"/>
          <w:szCs w:val="32"/>
        </w:rPr>
        <w:t>②</w:t>
      </w:r>
      <w:r>
        <w:rPr>
          <w:rFonts w:eastAsia="仿宋"/>
          <w:sz w:val="32"/>
          <w:szCs w:val="32"/>
        </w:rPr>
        <w:t>加强人员、财产和安全管理，强化内部管理，做好应急预案，努力规避工作中的各种风险，确保本年度单位无重大责任事故发生。</w:t>
      </w:r>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hint="eastAsia" w:ascii="微软雅黑" w:hAnsi="微软雅黑" w:eastAsia="微软雅黑" w:cs="微软雅黑"/>
          <w:sz w:val="32"/>
          <w:szCs w:val="32"/>
        </w:rPr>
        <w:t>③</w:t>
      </w:r>
      <w:r>
        <w:rPr>
          <w:rFonts w:eastAsia="仿宋"/>
          <w:sz w:val="32"/>
          <w:szCs w:val="32"/>
        </w:rPr>
        <w:t>严格执行学校财务管理制度，保证学生经费、办公经费、耗材费、差旅费等支出控制在学校经费预算范围之内。</w:t>
      </w:r>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hint="eastAsia" w:ascii="微软雅黑" w:hAnsi="微软雅黑" w:eastAsia="微软雅黑" w:cs="微软雅黑"/>
          <w:sz w:val="32"/>
          <w:szCs w:val="32"/>
        </w:rPr>
        <w:t>④</w:t>
      </w:r>
      <w:r>
        <w:rPr>
          <w:rFonts w:eastAsia="仿宋"/>
          <w:sz w:val="32"/>
          <w:szCs w:val="32"/>
        </w:rPr>
        <w:t>根据工作需要，全面落实好学校各项工作部署和具体任务，建立完善相应的工作制度。</w:t>
      </w:r>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hint="eastAsia" w:ascii="微软雅黑" w:hAnsi="微软雅黑" w:eastAsia="微软雅黑" w:cs="微软雅黑"/>
          <w:sz w:val="32"/>
          <w:szCs w:val="32"/>
        </w:rPr>
        <w:t>⑤</w:t>
      </w:r>
      <w:r>
        <w:rPr>
          <w:rFonts w:eastAsia="仿宋"/>
          <w:sz w:val="32"/>
          <w:szCs w:val="32"/>
        </w:rPr>
        <w:t>完成了上级各部门交办的其他工作任务。</w:t>
      </w:r>
    </w:p>
    <w:p>
      <w:pPr>
        <w:pStyle w:val="4"/>
        <w:pageBreakBefore w:val="0"/>
        <w:kinsoku/>
        <w:wordWrap/>
        <w:overflowPunct/>
        <w:topLinePunct w:val="0"/>
        <w:autoSpaceDE/>
        <w:autoSpaceDN/>
        <w:bidi w:val="0"/>
        <w:adjustRightInd/>
        <w:snapToGrid/>
        <w:spacing w:before="100" w:beforeAutospacing="1" w:after="100" w:afterAutospacing="1" w:line="578" w:lineRule="exact"/>
        <w:ind w:firstLine="640" w:firstLineChars="200"/>
        <w:textAlignment w:val="auto"/>
        <w:rPr>
          <w:rStyle w:val="30"/>
          <w:rFonts w:ascii="Times New Roman" w:hAnsi="Times New Roman" w:cs="Times New Roman"/>
          <w:b w:val="0"/>
          <w:bCs w:val="0"/>
        </w:rPr>
      </w:pPr>
      <w:bookmarkStart w:id="14" w:name="_Toc15377200"/>
      <w:bookmarkStart w:id="15" w:name="_Toc15396601"/>
      <w:r>
        <w:rPr>
          <w:rFonts w:ascii="Times New Roman" w:hAnsi="Times New Roman" w:eastAsia="黑体" w:cs="Times New Roman"/>
          <w:b w:val="0"/>
        </w:rPr>
        <w:t>二、机</w:t>
      </w:r>
      <w:r>
        <w:rPr>
          <w:rStyle w:val="30"/>
          <w:rFonts w:ascii="Times New Roman" w:hAnsi="Times New Roman" w:eastAsia="黑体" w:cs="Times New Roman"/>
          <w:b w:val="0"/>
          <w:bCs w:val="0"/>
        </w:rPr>
        <w:t>构设置</w:t>
      </w:r>
      <w:bookmarkEnd w:id="14"/>
      <w:bookmarkEnd w:id="15"/>
    </w:p>
    <w:p>
      <w:pPr>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eastAsia="仿宋"/>
          <w:sz w:val="32"/>
          <w:szCs w:val="32"/>
        </w:rPr>
        <w:t>达川区</w:t>
      </w:r>
      <w:r>
        <w:rPr>
          <w:rFonts w:hint="eastAsia" w:eastAsia="仿宋"/>
          <w:sz w:val="32"/>
          <w:szCs w:val="32"/>
          <w:lang w:eastAsia="zh-CN"/>
        </w:rPr>
        <w:t>逸夫小学</w:t>
      </w:r>
      <w:r>
        <w:rPr>
          <w:rFonts w:eastAsia="仿宋"/>
          <w:sz w:val="32"/>
          <w:szCs w:val="32"/>
        </w:rPr>
        <w:t>属于达州市达川区教育局下属的二级预算单位，下设独立编制机构0个，其中行政机构0个，参照公务员法管理的事业机构0个，其他事业机构0个。</w:t>
      </w:r>
    </w:p>
    <w:p>
      <w:pPr>
        <w:spacing w:line="578" w:lineRule="exact"/>
        <w:ind w:firstLine="640" w:firstLineChars="200"/>
        <w:rPr>
          <w:rFonts w:eastAsia="仿宋"/>
          <w:kern w:val="0"/>
          <w:sz w:val="32"/>
          <w:szCs w:val="32"/>
        </w:rPr>
      </w:pPr>
      <w:r>
        <w:rPr>
          <w:rFonts w:eastAsia="仿宋"/>
          <w:sz w:val="32"/>
          <w:szCs w:val="32"/>
        </w:rPr>
        <w:br w:type="page"/>
      </w:r>
    </w:p>
    <w:p>
      <w:pPr>
        <w:pStyle w:val="3"/>
        <w:spacing w:before="0" w:after="0" w:line="240" w:lineRule="auto"/>
        <w:jc w:val="center"/>
        <w:rPr>
          <w:rStyle w:val="29"/>
          <w:rFonts w:eastAsia="黑体"/>
          <w:b w:val="0"/>
          <w:bCs/>
        </w:rPr>
      </w:pPr>
      <w:bookmarkStart w:id="16" w:name="_Toc15396602"/>
      <w:bookmarkStart w:id="17" w:name="_Toc15377204"/>
      <w:r>
        <w:rPr>
          <w:rFonts w:eastAsia="黑体"/>
          <w:b w:val="0"/>
        </w:rPr>
        <w:t>第二部分 2022年度</w:t>
      </w:r>
      <w:r>
        <w:rPr>
          <w:rStyle w:val="29"/>
          <w:rFonts w:eastAsia="黑体"/>
          <w:b w:val="0"/>
          <w:bCs/>
        </w:rPr>
        <w:t>部门决算情况说明</w:t>
      </w:r>
      <w:bookmarkEnd w:id="16"/>
      <w:bookmarkEnd w:id="17"/>
    </w:p>
    <w:p/>
    <w:p>
      <w:pPr>
        <w:pStyle w:val="28"/>
        <w:spacing w:line="578" w:lineRule="exact"/>
        <w:ind w:firstLine="640"/>
        <w:rPr>
          <w:rStyle w:val="30"/>
          <w:rFonts w:hint="eastAsia" w:ascii="方正楷体_GBK" w:hAnsi="方正楷体_GBK" w:eastAsia="方正楷体_GBK" w:cs="方正楷体_GBK"/>
          <w:b w:val="0"/>
          <w:bCs w:val="0"/>
        </w:rPr>
      </w:pPr>
      <w:bookmarkStart w:id="18" w:name="_Toc15377205"/>
      <w:bookmarkStart w:id="19" w:name="_Toc15396603"/>
      <w:r>
        <w:rPr>
          <w:rFonts w:hint="eastAsia" w:ascii="方正楷体_GBK" w:hAnsi="方正楷体_GBK" w:eastAsia="方正楷体_GBK" w:cs="方正楷体_GBK"/>
          <w:sz w:val="32"/>
          <w:szCs w:val="32"/>
        </w:rPr>
        <w:t>一、收</w:t>
      </w:r>
      <w:r>
        <w:rPr>
          <w:rStyle w:val="30"/>
          <w:rFonts w:hint="eastAsia" w:ascii="方正楷体_GBK" w:hAnsi="方正楷体_GBK" w:eastAsia="方正楷体_GBK" w:cs="方正楷体_GBK"/>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r>
        <w:rPr>
          <w:rFonts w:eastAsia="仿宋"/>
          <w:sz w:val="32"/>
          <w:szCs w:val="32"/>
        </w:rPr>
        <w:t>2022年度收支总计</w:t>
      </w:r>
      <w:r>
        <w:rPr>
          <w:rFonts w:hint="eastAsia" w:eastAsia="仿宋"/>
          <w:sz w:val="32"/>
          <w:szCs w:val="32"/>
          <w:lang w:val="en-US" w:eastAsia="zh-CN"/>
        </w:rPr>
        <w:t>5774.14</w:t>
      </w:r>
      <w:r>
        <w:rPr>
          <w:rFonts w:eastAsia="仿宋"/>
          <w:sz w:val="32"/>
          <w:szCs w:val="32"/>
        </w:rPr>
        <w:t>万元。与2021年相比，收、支总计各</w:t>
      </w:r>
      <w:r>
        <w:rPr>
          <w:rFonts w:hint="eastAsia" w:eastAsia="仿宋"/>
          <w:sz w:val="32"/>
          <w:szCs w:val="32"/>
          <w:lang w:eastAsia="zh-CN"/>
        </w:rPr>
        <w:t>减少</w:t>
      </w:r>
      <w:r>
        <w:rPr>
          <w:rFonts w:hint="eastAsia" w:eastAsia="仿宋"/>
          <w:sz w:val="32"/>
          <w:szCs w:val="32"/>
          <w:lang w:val="en-US" w:eastAsia="zh-CN"/>
        </w:rPr>
        <w:t>2484.91</w:t>
      </w:r>
      <w:r>
        <w:rPr>
          <w:rFonts w:eastAsia="仿宋"/>
          <w:sz w:val="32"/>
          <w:szCs w:val="32"/>
        </w:rPr>
        <w:t>万元，</w:t>
      </w:r>
      <w:r>
        <w:rPr>
          <w:rFonts w:hint="eastAsia" w:eastAsia="仿宋"/>
          <w:sz w:val="32"/>
          <w:szCs w:val="32"/>
          <w:lang w:eastAsia="zh-CN"/>
        </w:rPr>
        <w:t>减少</w:t>
      </w:r>
      <w:r>
        <w:rPr>
          <w:rFonts w:hint="eastAsia" w:eastAsia="仿宋"/>
          <w:sz w:val="32"/>
          <w:szCs w:val="32"/>
          <w:lang w:val="en-US" w:eastAsia="zh-CN"/>
        </w:rPr>
        <w:t>30.09</w:t>
      </w:r>
      <w:r>
        <w:rPr>
          <w:rFonts w:eastAsia="仿宋"/>
          <w:sz w:val="32"/>
          <w:szCs w:val="32"/>
        </w:rPr>
        <w:t>%。主要变动原因是2022年度项目投入</w:t>
      </w:r>
      <w:r>
        <w:rPr>
          <w:rFonts w:hint="eastAsia" w:eastAsia="仿宋"/>
          <w:sz w:val="32"/>
          <w:szCs w:val="32"/>
          <w:lang w:eastAsia="zh-CN"/>
        </w:rPr>
        <w:t>减少</w:t>
      </w:r>
      <w:r>
        <w:rPr>
          <w:rFonts w:eastAsia="仿宋"/>
          <w:sz w:val="32"/>
          <w:szCs w:val="32"/>
        </w:rPr>
        <w:t>。</w:t>
      </w:r>
    </w:p>
    <w:p>
      <w:pPr>
        <w:pStyle w:val="6"/>
        <w:ind w:left="0" w:leftChars="0" w:firstLine="1479" w:firstLineChars="493"/>
      </w:pPr>
      <w:r>
        <w:drawing>
          <wp:inline distT="0" distB="0" distL="114300" distR="114300">
            <wp:extent cx="4267200" cy="3876675"/>
            <wp:effectExtent l="4445" t="4445" r="1460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78" w:lineRule="exact"/>
        <w:ind w:firstLine="2240" w:firstLineChars="700"/>
        <w:jc w:val="both"/>
        <w:rPr>
          <w:rFonts w:eastAsia="仿宋"/>
          <w:sz w:val="32"/>
          <w:szCs w:val="32"/>
        </w:rPr>
      </w:pPr>
      <w:r>
        <w:rPr>
          <w:rFonts w:eastAsia="仿宋"/>
          <w:sz w:val="32"/>
          <w:szCs w:val="32"/>
        </w:rPr>
        <w:t>图1</w:t>
      </w:r>
      <w:r>
        <w:rPr>
          <w:rFonts w:hint="eastAsia" w:eastAsia="仿宋"/>
          <w:sz w:val="32"/>
          <w:szCs w:val="32"/>
          <w:lang w:val="en-US" w:eastAsia="zh-CN"/>
        </w:rPr>
        <w:t xml:space="preserve"> </w:t>
      </w:r>
      <w:r>
        <w:rPr>
          <w:rFonts w:eastAsia="仿宋"/>
          <w:sz w:val="32"/>
          <w:szCs w:val="32"/>
        </w:rPr>
        <w:t>收、支决算总计变动情况图</w:t>
      </w:r>
    </w:p>
    <w:p>
      <w:pPr>
        <w:spacing w:line="578" w:lineRule="exact"/>
        <w:ind w:left="640"/>
        <w:rPr>
          <w:rStyle w:val="30"/>
          <w:rFonts w:ascii="Times New Roman" w:hAnsi="Times New Roman" w:eastAsia="黑体" w:cs="Times New Roman"/>
          <w:b w:val="0"/>
        </w:rPr>
      </w:pPr>
      <w:bookmarkStart w:id="20" w:name="_Toc15377206"/>
      <w:bookmarkStart w:id="21" w:name="_Toc15396604"/>
      <w:r>
        <w:rPr>
          <w:rFonts w:eastAsia="黑体"/>
          <w:sz w:val="32"/>
          <w:szCs w:val="32"/>
        </w:rPr>
        <w:t>二、收</w:t>
      </w:r>
      <w:r>
        <w:rPr>
          <w:rStyle w:val="30"/>
          <w:rFonts w:ascii="Times New Roman" w:hAnsi="Times New Roman" w:eastAsia="黑体" w:cs="Times New Roman"/>
          <w:b w:val="0"/>
        </w:rPr>
        <w:t>入决算情况说明</w:t>
      </w:r>
      <w:bookmarkEnd w:id="20"/>
      <w:bookmarkEnd w:id="21"/>
    </w:p>
    <w:p>
      <w:pPr>
        <w:spacing w:line="578" w:lineRule="exact"/>
        <w:ind w:firstLine="640" w:firstLineChars="200"/>
        <w:rPr>
          <w:rFonts w:eastAsia="仿宋"/>
          <w:sz w:val="32"/>
          <w:szCs w:val="32"/>
        </w:rPr>
      </w:pPr>
      <w:r>
        <w:rPr>
          <w:rFonts w:eastAsia="仿宋"/>
          <w:sz w:val="32"/>
          <w:szCs w:val="32"/>
        </w:rPr>
        <w:t>2022年本年收入合计</w:t>
      </w:r>
      <w:r>
        <w:rPr>
          <w:rFonts w:hint="eastAsia" w:eastAsia="仿宋"/>
          <w:sz w:val="32"/>
          <w:szCs w:val="32"/>
          <w:lang w:val="en-US" w:eastAsia="zh-CN"/>
        </w:rPr>
        <w:t>5114.71</w:t>
      </w:r>
      <w:r>
        <w:rPr>
          <w:rFonts w:eastAsia="仿宋"/>
          <w:sz w:val="32"/>
          <w:szCs w:val="32"/>
        </w:rPr>
        <w:t>万元，其中：一般公共预算财政拨款收入</w:t>
      </w:r>
      <w:r>
        <w:rPr>
          <w:rFonts w:hint="eastAsia" w:eastAsia="仿宋"/>
          <w:sz w:val="32"/>
          <w:szCs w:val="32"/>
          <w:lang w:val="en-US" w:eastAsia="zh-CN"/>
        </w:rPr>
        <w:t>3326.76</w:t>
      </w:r>
      <w:r>
        <w:rPr>
          <w:rFonts w:eastAsia="仿宋"/>
          <w:sz w:val="32"/>
          <w:szCs w:val="32"/>
        </w:rPr>
        <w:t>万元，占</w:t>
      </w:r>
      <w:r>
        <w:rPr>
          <w:rFonts w:hint="eastAsia" w:eastAsia="仿宋"/>
          <w:sz w:val="32"/>
          <w:szCs w:val="32"/>
          <w:lang w:val="en-US" w:eastAsia="zh-CN"/>
        </w:rPr>
        <w:t>65</w:t>
      </w:r>
      <w:r>
        <w:rPr>
          <w:rFonts w:eastAsia="仿宋"/>
          <w:sz w:val="32"/>
          <w:szCs w:val="32"/>
        </w:rPr>
        <w:t>%；政府性基金预算财政拨款收入</w:t>
      </w:r>
      <w:r>
        <w:rPr>
          <w:rFonts w:hint="eastAsia" w:eastAsia="仿宋"/>
          <w:sz w:val="32"/>
          <w:szCs w:val="32"/>
          <w:lang w:val="en-US" w:eastAsia="zh-CN"/>
        </w:rPr>
        <w:t>1787.95</w:t>
      </w:r>
      <w:r>
        <w:rPr>
          <w:rFonts w:eastAsia="仿宋"/>
          <w:sz w:val="32"/>
          <w:szCs w:val="32"/>
        </w:rPr>
        <w:t>万元，占</w:t>
      </w:r>
      <w:r>
        <w:rPr>
          <w:rFonts w:hint="eastAsia" w:eastAsia="仿宋"/>
          <w:sz w:val="32"/>
          <w:szCs w:val="32"/>
          <w:lang w:val="en-US" w:eastAsia="zh-CN"/>
        </w:rPr>
        <w:t>35</w:t>
      </w:r>
      <w:r>
        <w:rPr>
          <w:rFonts w:eastAsia="仿宋"/>
          <w:sz w:val="32"/>
          <w:szCs w:val="32"/>
        </w:rPr>
        <w:t>%；国有资本经营预算财政拨款收入0万元，占0%；上级补助收入0万元，占0%；事业收入0元，</w:t>
      </w:r>
    </w:p>
    <w:p>
      <w:pPr>
        <w:spacing w:line="578" w:lineRule="exact"/>
        <w:rPr>
          <w:rFonts w:eastAsia="仿宋"/>
          <w:sz w:val="32"/>
          <w:szCs w:val="32"/>
        </w:rPr>
      </w:pPr>
      <w:r>
        <w:rPr>
          <w:rFonts w:eastAsia="仿宋"/>
          <w:sz w:val="32"/>
          <w:szCs w:val="32"/>
        </w:rPr>
        <w:t>占0%；经营收入0万元，占0%；附属单位上缴收入0万元，占0%；其他收入0万元，占0%。</w:t>
      </w:r>
    </w:p>
    <w:p>
      <w:pPr>
        <w:spacing w:line="578" w:lineRule="exact"/>
        <w:ind w:firstLine="420" w:firstLineChars="200"/>
        <w:rPr>
          <w:rFonts w:eastAsia="仿宋"/>
          <w:sz w:val="32"/>
          <w:szCs w:val="32"/>
        </w:rPr>
      </w:pPr>
      <w:r>
        <w:drawing>
          <wp:anchor distT="0" distB="0" distL="114300" distR="114300" simplePos="0" relativeHeight="251660288" behindDoc="0" locked="0" layoutInCell="1" allowOverlap="1">
            <wp:simplePos x="0" y="0"/>
            <wp:positionH relativeFrom="column">
              <wp:posOffset>795020</wp:posOffset>
            </wp:positionH>
            <wp:positionV relativeFrom="paragraph">
              <wp:posOffset>142875</wp:posOffset>
            </wp:positionV>
            <wp:extent cx="3552825" cy="2743200"/>
            <wp:effectExtent l="4445" t="4445" r="5080"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jc w:val="center"/>
        <w:rPr>
          <w:rFonts w:eastAsia="仿宋"/>
          <w:sz w:val="32"/>
          <w:szCs w:val="32"/>
        </w:rPr>
      </w:pPr>
      <w:r>
        <w:rPr>
          <w:rFonts w:eastAsia="仿宋"/>
          <w:sz w:val="32"/>
          <w:szCs w:val="32"/>
        </w:rPr>
        <w:t>图2</w:t>
      </w:r>
      <w:r>
        <w:rPr>
          <w:rFonts w:hint="eastAsia" w:eastAsia="仿宋"/>
          <w:sz w:val="32"/>
          <w:szCs w:val="32"/>
          <w:lang w:val="en-US" w:eastAsia="zh-CN"/>
        </w:rPr>
        <w:t xml:space="preserve"> </w:t>
      </w:r>
      <w:r>
        <w:rPr>
          <w:rFonts w:eastAsia="仿宋"/>
          <w:sz w:val="32"/>
          <w:szCs w:val="32"/>
        </w:rPr>
        <w:t>收入决算结构图</w:t>
      </w:r>
    </w:p>
    <w:p>
      <w:pPr>
        <w:spacing w:line="578" w:lineRule="exact"/>
        <w:ind w:left="720"/>
        <w:rPr>
          <w:rFonts w:eastAsia="黑体"/>
          <w:sz w:val="32"/>
          <w:szCs w:val="32"/>
        </w:rPr>
      </w:pPr>
      <w:bookmarkStart w:id="22" w:name="_Toc15396605"/>
      <w:bookmarkStart w:id="23" w:name="_Toc15377207"/>
    </w:p>
    <w:p>
      <w:pPr>
        <w:spacing w:line="578" w:lineRule="exact"/>
        <w:ind w:left="720"/>
        <w:rPr>
          <w:rStyle w:val="30"/>
          <w:rFonts w:ascii="Times New Roman" w:hAnsi="Times New Roman" w:eastAsia="黑体" w:cs="Times New Roman"/>
          <w:b w:val="0"/>
        </w:rPr>
      </w:pPr>
      <w:r>
        <w:rPr>
          <w:rFonts w:eastAsia="黑体"/>
          <w:sz w:val="32"/>
          <w:szCs w:val="32"/>
        </w:rPr>
        <w:t>三、支</w:t>
      </w:r>
      <w:r>
        <w:rPr>
          <w:rStyle w:val="30"/>
          <w:rFonts w:ascii="Times New Roman" w:hAnsi="Times New Roman" w:eastAsia="黑体" w:cs="Times New Roman"/>
          <w:b w:val="0"/>
        </w:rPr>
        <w:t>出决算情况说明</w:t>
      </w:r>
      <w:bookmarkEnd w:id="22"/>
      <w:bookmarkEnd w:id="23"/>
    </w:p>
    <w:p>
      <w:pPr>
        <w:spacing w:line="578" w:lineRule="exact"/>
        <w:ind w:firstLine="420" w:firstLineChars="200"/>
        <w:rPr>
          <w:rFonts w:eastAsia="仿宋"/>
          <w:sz w:val="32"/>
          <w:szCs w:val="32"/>
        </w:rPr>
      </w:pPr>
      <w:r>
        <w:drawing>
          <wp:anchor distT="0" distB="0" distL="114300" distR="114300" simplePos="0" relativeHeight="251661312" behindDoc="0" locked="0" layoutInCell="1" allowOverlap="1">
            <wp:simplePos x="0" y="0"/>
            <wp:positionH relativeFrom="column">
              <wp:posOffset>342900</wp:posOffset>
            </wp:positionH>
            <wp:positionV relativeFrom="paragraph">
              <wp:posOffset>1500505</wp:posOffset>
            </wp:positionV>
            <wp:extent cx="5162550" cy="2505710"/>
            <wp:effectExtent l="4445" t="4445" r="14605" b="2349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sz w:val="32"/>
          <w:szCs w:val="32"/>
        </w:rPr>
        <w:t>2022年本年支出合计</w:t>
      </w:r>
      <w:r>
        <w:rPr>
          <w:rFonts w:hint="eastAsia" w:eastAsia="仿宋"/>
          <w:sz w:val="32"/>
          <w:szCs w:val="32"/>
          <w:lang w:val="en-US" w:eastAsia="zh-CN"/>
        </w:rPr>
        <w:t>5114.71</w:t>
      </w:r>
      <w:r>
        <w:rPr>
          <w:rFonts w:eastAsia="仿宋"/>
          <w:sz w:val="32"/>
          <w:szCs w:val="32"/>
        </w:rPr>
        <w:t>万元，其中：基本支出</w:t>
      </w:r>
      <w:r>
        <w:rPr>
          <w:rFonts w:hint="eastAsia" w:eastAsia="仿宋"/>
          <w:sz w:val="32"/>
          <w:szCs w:val="32"/>
          <w:lang w:val="en-US" w:eastAsia="zh-CN"/>
        </w:rPr>
        <w:t>3038.26</w:t>
      </w:r>
      <w:r>
        <w:rPr>
          <w:rFonts w:eastAsia="仿宋"/>
          <w:sz w:val="32"/>
          <w:szCs w:val="32"/>
        </w:rPr>
        <w:t>万元，占</w:t>
      </w:r>
      <w:r>
        <w:rPr>
          <w:rFonts w:hint="eastAsia" w:eastAsia="仿宋"/>
          <w:sz w:val="32"/>
          <w:szCs w:val="32"/>
          <w:lang w:val="en-US" w:eastAsia="zh-CN"/>
        </w:rPr>
        <w:t>59</w:t>
      </w:r>
      <w:r>
        <w:rPr>
          <w:rFonts w:eastAsia="仿宋"/>
          <w:sz w:val="32"/>
          <w:szCs w:val="32"/>
        </w:rPr>
        <w:t>%；项目支出</w:t>
      </w:r>
      <w:r>
        <w:rPr>
          <w:rFonts w:hint="eastAsia" w:eastAsia="仿宋"/>
          <w:sz w:val="32"/>
          <w:szCs w:val="32"/>
          <w:lang w:val="en-US" w:eastAsia="zh-CN"/>
        </w:rPr>
        <w:t>2076.45</w:t>
      </w:r>
      <w:r>
        <w:rPr>
          <w:rFonts w:eastAsia="仿宋"/>
          <w:sz w:val="32"/>
          <w:szCs w:val="32"/>
        </w:rPr>
        <w:t>万元，占</w:t>
      </w:r>
      <w:r>
        <w:rPr>
          <w:rFonts w:hint="eastAsia" w:eastAsia="仿宋"/>
          <w:sz w:val="32"/>
          <w:szCs w:val="32"/>
          <w:lang w:val="en-US" w:eastAsia="zh-CN"/>
        </w:rPr>
        <w:t>41</w:t>
      </w:r>
      <w:r>
        <w:rPr>
          <w:rFonts w:eastAsia="仿宋"/>
          <w:sz w:val="32"/>
          <w:szCs w:val="32"/>
        </w:rPr>
        <w:t>%；上缴上级支出0万元，占0%；经营支出0万元，占0%；对附属单位补助支出0万元，占0%。</w:t>
      </w:r>
    </w:p>
    <w:p>
      <w:pPr>
        <w:spacing w:before="435" w:beforeLines="100" w:line="578" w:lineRule="exact"/>
        <w:ind w:firstLine="640" w:firstLineChars="200"/>
        <w:jc w:val="center"/>
        <w:rPr>
          <w:rFonts w:eastAsia="仿宋"/>
          <w:sz w:val="32"/>
          <w:szCs w:val="32"/>
        </w:rPr>
      </w:pPr>
      <w:r>
        <w:rPr>
          <w:rFonts w:eastAsia="仿宋"/>
          <w:sz w:val="32"/>
          <w:szCs w:val="32"/>
        </w:rPr>
        <w:t>图3</w:t>
      </w:r>
      <w:r>
        <w:rPr>
          <w:rFonts w:hint="eastAsia" w:eastAsia="仿宋"/>
          <w:sz w:val="32"/>
          <w:szCs w:val="32"/>
          <w:lang w:val="en-US" w:eastAsia="zh-CN"/>
        </w:rPr>
        <w:t xml:space="preserve"> </w:t>
      </w:r>
      <w:r>
        <w:rPr>
          <w:rFonts w:eastAsia="仿宋"/>
          <w:sz w:val="32"/>
          <w:szCs w:val="32"/>
        </w:rPr>
        <w:t>支出决算结构图</w:t>
      </w:r>
    </w:p>
    <w:p>
      <w:pPr>
        <w:spacing w:line="578" w:lineRule="exact"/>
        <w:ind w:firstLine="640" w:firstLineChars="200"/>
        <w:rPr>
          <w:rStyle w:val="30"/>
          <w:rFonts w:ascii="Times New Roman" w:hAnsi="Times New Roman" w:eastAsia="黑体" w:cs="Times New Roman"/>
          <w:b w:val="0"/>
        </w:rPr>
      </w:pPr>
      <w:bookmarkStart w:id="24" w:name="_Toc15396606"/>
      <w:bookmarkStart w:id="25" w:name="_Toc15377208"/>
      <w:r>
        <w:rPr>
          <w:rFonts w:eastAsia="黑体"/>
          <w:sz w:val="32"/>
          <w:szCs w:val="32"/>
        </w:rPr>
        <w:t>四、财</w:t>
      </w:r>
      <w:r>
        <w:rPr>
          <w:rStyle w:val="30"/>
          <w:rFonts w:ascii="Times New Roman" w:hAnsi="Times New Roman" w:eastAsia="黑体" w:cs="Times New Roman"/>
          <w:b w:val="0"/>
        </w:rPr>
        <w:t>政拨款收入支出决算总体情况说明</w:t>
      </w:r>
      <w:bookmarkEnd w:id="24"/>
      <w:bookmarkEnd w:id="25"/>
    </w:p>
    <w:p>
      <w:pPr>
        <w:spacing w:line="578" w:lineRule="exact"/>
        <w:ind w:firstLine="420" w:firstLineChars="200"/>
        <w:rPr>
          <w:rFonts w:eastAsia="仿宋"/>
          <w:sz w:val="32"/>
          <w:szCs w:val="32"/>
        </w:rPr>
      </w:pPr>
      <w:r>
        <w:drawing>
          <wp:anchor distT="0" distB="0" distL="114300" distR="114300" simplePos="0" relativeHeight="251662336" behindDoc="0" locked="0" layoutInCell="1" allowOverlap="1">
            <wp:simplePos x="0" y="0"/>
            <wp:positionH relativeFrom="column">
              <wp:posOffset>616585</wp:posOffset>
            </wp:positionH>
            <wp:positionV relativeFrom="paragraph">
              <wp:posOffset>1528445</wp:posOffset>
            </wp:positionV>
            <wp:extent cx="4267200" cy="3876675"/>
            <wp:effectExtent l="4445" t="4445" r="14605" b="5080"/>
            <wp:wrapSquare wrapText="bothSides"/>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
          <w:sz w:val="32"/>
          <w:szCs w:val="32"/>
        </w:rPr>
        <w:t>2022年财政拨款收、支总计</w:t>
      </w:r>
      <w:r>
        <w:rPr>
          <w:rFonts w:hint="eastAsia" w:eastAsia="仿宋"/>
          <w:sz w:val="32"/>
          <w:szCs w:val="32"/>
          <w:lang w:val="en-US" w:eastAsia="zh-CN"/>
        </w:rPr>
        <w:t>5774.14</w:t>
      </w:r>
      <w:r>
        <w:rPr>
          <w:rFonts w:eastAsia="仿宋"/>
          <w:sz w:val="32"/>
          <w:szCs w:val="32"/>
        </w:rPr>
        <w:t>万元。与2021年相比，财政拨款收、支总计</w:t>
      </w:r>
      <w:r>
        <w:rPr>
          <w:rFonts w:hint="eastAsia" w:eastAsia="仿宋"/>
          <w:sz w:val="32"/>
          <w:szCs w:val="32"/>
          <w:lang w:eastAsia="zh-CN"/>
        </w:rPr>
        <w:t>减少</w:t>
      </w:r>
      <w:r>
        <w:rPr>
          <w:rFonts w:hint="eastAsia" w:eastAsia="仿宋"/>
          <w:sz w:val="32"/>
          <w:szCs w:val="32"/>
          <w:lang w:val="en-US" w:eastAsia="zh-CN"/>
        </w:rPr>
        <w:t>2484.91</w:t>
      </w:r>
      <w:r>
        <w:rPr>
          <w:rFonts w:eastAsia="仿宋"/>
          <w:sz w:val="32"/>
          <w:szCs w:val="32"/>
        </w:rPr>
        <w:t>万元，</w:t>
      </w:r>
      <w:r>
        <w:rPr>
          <w:rFonts w:hint="eastAsia" w:eastAsia="仿宋"/>
          <w:sz w:val="32"/>
          <w:szCs w:val="32"/>
          <w:lang w:eastAsia="zh-CN"/>
        </w:rPr>
        <w:t>减少</w:t>
      </w:r>
      <w:r>
        <w:rPr>
          <w:rFonts w:hint="eastAsia" w:eastAsia="仿宋"/>
          <w:sz w:val="32"/>
          <w:szCs w:val="32"/>
          <w:lang w:val="en-US" w:eastAsia="zh-CN"/>
        </w:rPr>
        <w:t>30.09</w:t>
      </w:r>
      <w:r>
        <w:rPr>
          <w:rFonts w:eastAsia="仿宋"/>
          <w:sz w:val="32"/>
          <w:szCs w:val="32"/>
        </w:rPr>
        <w:t>%。主要变动原因是2022年度</w:t>
      </w:r>
      <w:r>
        <w:rPr>
          <w:rFonts w:hint="default" w:eastAsia="仿宋"/>
          <w:sz w:val="32"/>
          <w:szCs w:val="32"/>
        </w:rPr>
        <w:t>项目投入减少和财政拨款投入减少</w:t>
      </w:r>
      <w:r>
        <w:rPr>
          <w:rFonts w:eastAsia="仿宋"/>
          <w:sz w:val="32"/>
          <w:szCs w:val="32"/>
        </w:rPr>
        <w:t>。</w:t>
      </w: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jc w:val="center"/>
        <w:rPr>
          <w:rFonts w:eastAsia="仿宋"/>
          <w:sz w:val="32"/>
          <w:szCs w:val="32"/>
        </w:rPr>
      </w:pPr>
      <w:r>
        <w:rPr>
          <w:rFonts w:eastAsia="仿宋"/>
          <w:sz w:val="32"/>
          <w:szCs w:val="32"/>
        </w:rPr>
        <w:t>图4</w:t>
      </w:r>
      <w:r>
        <w:rPr>
          <w:rFonts w:hint="eastAsia" w:eastAsia="仿宋"/>
          <w:sz w:val="32"/>
          <w:szCs w:val="32"/>
          <w:lang w:val="en-US" w:eastAsia="zh-CN"/>
        </w:rPr>
        <w:t xml:space="preserve"> </w:t>
      </w:r>
      <w:r>
        <w:rPr>
          <w:rFonts w:eastAsia="仿宋"/>
          <w:sz w:val="32"/>
          <w:szCs w:val="32"/>
        </w:rPr>
        <w:t>财政拨款收、支决算总计变动情况</w:t>
      </w:r>
    </w:p>
    <w:p>
      <w:pPr>
        <w:spacing w:line="578" w:lineRule="exact"/>
        <w:ind w:firstLine="640" w:firstLineChars="200"/>
        <w:rPr>
          <w:rStyle w:val="30"/>
          <w:rFonts w:ascii="Times New Roman" w:hAnsi="Times New Roman" w:eastAsia="黑体" w:cs="Times New Roman"/>
          <w:b w:val="0"/>
        </w:rPr>
      </w:pPr>
      <w:bookmarkStart w:id="26" w:name="_Toc15377209"/>
      <w:bookmarkStart w:id="27" w:name="_Toc15396607"/>
      <w:r>
        <w:rPr>
          <w:rFonts w:eastAsia="黑体"/>
          <w:sz w:val="32"/>
          <w:szCs w:val="32"/>
        </w:rPr>
        <w:t>五、</w:t>
      </w:r>
      <w:r>
        <w:rPr>
          <w:rFonts w:eastAsia="黑体"/>
          <w:b/>
          <w:sz w:val="32"/>
          <w:szCs w:val="32"/>
        </w:rPr>
        <w:t>一</w:t>
      </w:r>
      <w:r>
        <w:rPr>
          <w:rStyle w:val="30"/>
          <w:rFonts w:ascii="Times New Roman" w:hAnsi="Times New Roman" w:eastAsia="黑体" w:cs="Times New Roman"/>
          <w:b w:val="0"/>
        </w:rPr>
        <w:t>般公共预算财政拨款支出决算情况说明</w:t>
      </w:r>
      <w:bookmarkEnd w:id="26"/>
      <w:bookmarkEnd w:id="27"/>
    </w:p>
    <w:p>
      <w:pPr>
        <w:spacing w:line="578" w:lineRule="exact"/>
        <w:ind w:firstLine="640" w:firstLineChars="200"/>
        <w:rPr>
          <w:rFonts w:hint="eastAsia" w:ascii="方正楷体_GBK" w:hAnsi="方正楷体_GBK" w:eastAsia="方正楷体_GBK" w:cs="方正楷体_GBK"/>
          <w:b w:val="0"/>
          <w:bCs/>
          <w:sz w:val="32"/>
          <w:szCs w:val="32"/>
        </w:rPr>
      </w:pPr>
      <w:bookmarkStart w:id="28" w:name="_Toc15377210"/>
      <w:r>
        <w:rPr>
          <w:rFonts w:hint="eastAsia" w:ascii="方正楷体_GBK" w:hAnsi="方正楷体_GBK" w:eastAsia="方正楷体_GBK" w:cs="方正楷体_GBK"/>
          <w:b w:val="0"/>
          <w:bCs/>
          <w:sz w:val="32"/>
          <w:szCs w:val="32"/>
        </w:rPr>
        <w:t>（一）一般公共预算财政拨款支出决算总体情况</w:t>
      </w:r>
      <w:bookmarkEnd w:id="28"/>
    </w:p>
    <w:p>
      <w:pPr>
        <w:spacing w:line="578" w:lineRule="exact"/>
        <w:ind w:firstLine="640" w:firstLineChars="200"/>
        <w:rPr>
          <w:rFonts w:eastAsia="仿宋"/>
          <w:sz w:val="32"/>
          <w:szCs w:val="32"/>
        </w:rPr>
      </w:pPr>
      <w:r>
        <w:rPr>
          <w:rFonts w:eastAsia="仿宋"/>
          <w:sz w:val="32"/>
          <w:szCs w:val="32"/>
        </w:rPr>
        <w:t>2022年一般公共预算财政拨款支出</w:t>
      </w:r>
      <w:r>
        <w:rPr>
          <w:rFonts w:hint="eastAsia" w:eastAsia="仿宋"/>
          <w:sz w:val="32"/>
          <w:szCs w:val="32"/>
          <w:lang w:val="en-US" w:eastAsia="zh-CN"/>
        </w:rPr>
        <w:t>3326.76</w:t>
      </w:r>
      <w:r>
        <w:rPr>
          <w:rFonts w:eastAsia="仿宋"/>
          <w:sz w:val="32"/>
          <w:szCs w:val="32"/>
        </w:rPr>
        <w:t>万元，占本年支出合计的</w:t>
      </w:r>
      <w:r>
        <w:rPr>
          <w:rFonts w:hint="eastAsia" w:eastAsia="仿宋"/>
          <w:sz w:val="32"/>
          <w:szCs w:val="32"/>
          <w:lang w:val="en-US" w:eastAsia="zh-CN"/>
        </w:rPr>
        <w:t>65.04</w:t>
      </w:r>
      <w:r>
        <w:rPr>
          <w:rFonts w:eastAsia="仿宋"/>
          <w:sz w:val="32"/>
          <w:szCs w:val="32"/>
        </w:rPr>
        <w:t>%。与2021年相比，一般公共预算财政拨款支出增加</w:t>
      </w:r>
      <w:r>
        <w:rPr>
          <w:rFonts w:hint="eastAsia" w:eastAsia="仿宋"/>
          <w:sz w:val="32"/>
          <w:szCs w:val="32"/>
          <w:lang w:val="en-US" w:eastAsia="zh-CN"/>
        </w:rPr>
        <w:t>350.44</w:t>
      </w:r>
      <w:r>
        <w:rPr>
          <w:rFonts w:eastAsia="仿宋"/>
          <w:sz w:val="32"/>
          <w:szCs w:val="32"/>
        </w:rPr>
        <w:t>万元，增长</w:t>
      </w:r>
      <w:r>
        <w:rPr>
          <w:rFonts w:hint="eastAsia" w:eastAsia="仿宋"/>
          <w:sz w:val="32"/>
          <w:szCs w:val="32"/>
          <w:lang w:val="en-US" w:eastAsia="zh-CN"/>
        </w:rPr>
        <w:t>11.77</w:t>
      </w:r>
      <w:r>
        <w:rPr>
          <w:rFonts w:eastAsia="仿宋"/>
          <w:sz w:val="32"/>
          <w:szCs w:val="32"/>
        </w:rPr>
        <w:t>%。主要变动原因是2022年度</w:t>
      </w:r>
      <w:r>
        <w:rPr>
          <w:rFonts w:hint="eastAsia" w:eastAsia="仿宋"/>
          <w:sz w:val="32"/>
          <w:szCs w:val="32"/>
          <w:lang w:eastAsia="zh-CN"/>
        </w:rPr>
        <w:t>人员经费和公用经费、项目支出</w:t>
      </w:r>
      <w:r>
        <w:rPr>
          <w:rFonts w:eastAsia="仿宋"/>
          <w:sz w:val="32"/>
          <w:szCs w:val="32"/>
        </w:rPr>
        <w:t>增加。</w:t>
      </w:r>
    </w:p>
    <w:p>
      <w:pPr>
        <w:spacing w:line="578" w:lineRule="exact"/>
        <w:ind w:firstLine="420" w:firstLineChars="200"/>
        <w:rPr>
          <w:rFonts w:eastAsia="仿宋"/>
          <w:sz w:val="32"/>
          <w:szCs w:val="32"/>
        </w:rPr>
      </w:pPr>
      <w:r>
        <w:drawing>
          <wp:anchor distT="0" distB="0" distL="114300" distR="114300" simplePos="0" relativeHeight="251663360" behindDoc="0" locked="0" layoutInCell="1" allowOverlap="1">
            <wp:simplePos x="0" y="0"/>
            <wp:positionH relativeFrom="column">
              <wp:posOffset>1128395</wp:posOffset>
            </wp:positionH>
            <wp:positionV relativeFrom="paragraph">
              <wp:posOffset>162560</wp:posOffset>
            </wp:positionV>
            <wp:extent cx="3200400" cy="2543175"/>
            <wp:effectExtent l="4445" t="4445" r="14605" b="5080"/>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ind w:firstLine="640" w:firstLineChars="200"/>
        <w:rPr>
          <w:rFonts w:eastAsia="仿宋"/>
          <w:sz w:val="32"/>
          <w:szCs w:val="32"/>
        </w:rPr>
      </w:pPr>
    </w:p>
    <w:p>
      <w:pPr>
        <w:spacing w:line="578" w:lineRule="exact"/>
        <w:jc w:val="both"/>
        <w:rPr>
          <w:rFonts w:eastAsia="仿宋"/>
          <w:sz w:val="32"/>
          <w:szCs w:val="32"/>
        </w:rPr>
      </w:pPr>
    </w:p>
    <w:p>
      <w:pPr>
        <w:spacing w:line="578" w:lineRule="exact"/>
        <w:ind w:firstLine="640" w:firstLineChars="200"/>
        <w:jc w:val="center"/>
        <w:rPr>
          <w:rFonts w:eastAsia="仿宋"/>
          <w:sz w:val="32"/>
          <w:szCs w:val="32"/>
        </w:rPr>
      </w:pPr>
    </w:p>
    <w:p>
      <w:pPr>
        <w:spacing w:line="578" w:lineRule="exact"/>
        <w:ind w:firstLine="640" w:firstLineChars="200"/>
        <w:jc w:val="center"/>
        <w:rPr>
          <w:rFonts w:eastAsia="仿宋"/>
          <w:sz w:val="32"/>
          <w:szCs w:val="32"/>
        </w:rPr>
      </w:pPr>
      <w:r>
        <w:rPr>
          <w:rFonts w:eastAsia="仿宋"/>
          <w:sz w:val="32"/>
          <w:szCs w:val="32"/>
        </w:rPr>
        <w:t>图5</w:t>
      </w:r>
      <w:r>
        <w:rPr>
          <w:rFonts w:hint="eastAsia" w:eastAsia="仿宋"/>
          <w:sz w:val="32"/>
          <w:szCs w:val="32"/>
          <w:lang w:val="en-US" w:eastAsia="zh-CN"/>
        </w:rPr>
        <w:t xml:space="preserve"> </w:t>
      </w:r>
      <w:r>
        <w:rPr>
          <w:rFonts w:eastAsia="仿宋"/>
          <w:sz w:val="32"/>
          <w:szCs w:val="32"/>
        </w:rPr>
        <w:t>一般公共预算财政拨款支出决算变动情况</w:t>
      </w:r>
    </w:p>
    <w:p>
      <w:pPr>
        <w:spacing w:line="578" w:lineRule="exact"/>
        <w:ind w:firstLine="640" w:firstLineChars="200"/>
        <w:rPr>
          <w:rFonts w:hint="eastAsia" w:ascii="方正楷体_GBK" w:hAnsi="方正楷体_GBK" w:eastAsia="方正楷体_GBK" w:cs="方正楷体_GBK"/>
          <w:b w:val="0"/>
          <w:bCs/>
          <w:sz w:val="32"/>
          <w:szCs w:val="32"/>
        </w:rPr>
      </w:pPr>
      <w:bookmarkStart w:id="29" w:name="_Toc15377211"/>
      <w:r>
        <w:rPr>
          <w:rFonts w:hint="eastAsia" w:ascii="方正楷体_GBK" w:hAnsi="方正楷体_GBK" w:eastAsia="方正楷体_GBK" w:cs="方正楷体_GBK"/>
          <w:b w:val="0"/>
          <w:bCs/>
          <w:sz w:val="32"/>
          <w:szCs w:val="32"/>
        </w:rPr>
        <w:t>（二）一般公共预算财政拨款支出决算结构情况</w:t>
      </w:r>
      <w:bookmarkEnd w:id="29"/>
    </w:p>
    <w:p>
      <w:pPr>
        <w:spacing w:line="578" w:lineRule="exact"/>
        <w:ind w:firstLine="640" w:firstLineChars="200"/>
        <w:rPr>
          <w:rFonts w:eastAsia="仿宋"/>
          <w:sz w:val="32"/>
          <w:szCs w:val="32"/>
        </w:rPr>
      </w:pPr>
      <w:r>
        <w:rPr>
          <w:rFonts w:eastAsia="仿宋"/>
          <w:sz w:val="32"/>
          <w:szCs w:val="32"/>
        </w:rPr>
        <w:t>2022年一般公共预算财政拨款支出</w:t>
      </w:r>
      <w:r>
        <w:rPr>
          <w:rFonts w:hint="eastAsia" w:eastAsia="仿宋"/>
          <w:sz w:val="32"/>
          <w:szCs w:val="32"/>
          <w:lang w:val="en-US" w:eastAsia="zh-CN"/>
        </w:rPr>
        <w:t>3326.76</w:t>
      </w:r>
      <w:r>
        <w:rPr>
          <w:rFonts w:eastAsia="仿宋"/>
          <w:sz w:val="32"/>
          <w:szCs w:val="32"/>
        </w:rPr>
        <w:t>万元，主要用于以下方面：一般公共服务支出0万元，占0%；教育支出</w:t>
      </w:r>
      <w:r>
        <w:rPr>
          <w:rFonts w:hint="eastAsia" w:eastAsia="仿宋"/>
          <w:sz w:val="32"/>
          <w:szCs w:val="32"/>
          <w:lang w:val="en-US" w:eastAsia="zh-CN"/>
        </w:rPr>
        <w:t>2802.87</w:t>
      </w:r>
      <w:r>
        <w:rPr>
          <w:rFonts w:eastAsia="仿宋"/>
          <w:sz w:val="32"/>
          <w:szCs w:val="32"/>
        </w:rPr>
        <w:t>万元，占</w:t>
      </w:r>
      <w:r>
        <w:rPr>
          <w:rFonts w:hint="eastAsia" w:eastAsia="仿宋"/>
          <w:sz w:val="32"/>
          <w:szCs w:val="32"/>
          <w:lang w:val="en-US" w:eastAsia="zh-CN"/>
        </w:rPr>
        <w:t>84.25</w:t>
      </w:r>
      <w:r>
        <w:rPr>
          <w:rFonts w:eastAsia="仿宋"/>
          <w:sz w:val="32"/>
          <w:szCs w:val="32"/>
        </w:rPr>
        <w:t>%；科学技术支出0万元，占0%；文化旅游体育与传媒支出0万元，占0%；社会保障和就业支出</w:t>
      </w:r>
      <w:r>
        <w:rPr>
          <w:rFonts w:hint="eastAsia" w:eastAsia="仿宋"/>
          <w:sz w:val="32"/>
          <w:szCs w:val="32"/>
          <w:lang w:val="en-US" w:eastAsia="zh-CN"/>
        </w:rPr>
        <w:t>243.78</w:t>
      </w:r>
      <w:r>
        <w:rPr>
          <w:rFonts w:eastAsia="仿宋"/>
          <w:sz w:val="32"/>
          <w:szCs w:val="32"/>
        </w:rPr>
        <w:t>万元，占</w:t>
      </w:r>
      <w:r>
        <w:rPr>
          <w:rFonts w:hint="eastAsia" w:eastAsia="仿宋"/>
          <w:sz w:val="32"/>
          <w:szCs w:val="32"/>
          <w:lang w:val="en-US" w:eastAsia="zh-CN"/>
        </w:rPr>
        <w:t>7.33</w:t>
      </w:r>
      <w:r>
        <w:rPr>
          <w:rFonts w:eastAsia="仿宋"/>
          <w:sz w:val="32"/>
          <w:szCs w:val="32"/>
        </w:rPr>
        <w:t>%；卫生健康支出</w:t>
      </w:r>
      <w:r>
        <w:rPr>
          <w:rFonts w:hint="eastAsia" w:eastAsia="仿宋"/>
          <w:sz w:val="32"/>
          <w:szCs w:val="32"/>
          <w:lang w:val="en-US" w:eastAsia="zh-CN"/>
        </w:rPr>
        <w:t>105.98</w:t>
      </w:r>
      <w:r>
        <w:rPr>
          <w:rFonts w:eastAsia="仿宋"/>
          <w:sz w:val="32"/>
          <w:szCs w:val="32"/>
        </w:rPr>
        <w:t>万元，占</w:t>
      </w:r>
      <w:r>
        <w:rPr>
          <w:rFonts w:hint="eastAsia" w:eastAsia="仿宋"/>
          <w:sz w:val="32"/>
          <w:szCs w:val="32"/>
          <w:lang w:val="en-US" w:eastAsia="zh-CN"/>
        </w:rPr>
        <w:t>3.19</w:t>
      </w:r>
      <w:r>
        <w:rPr>
          <w:rFonts w:eastAsia="仿宋"/>
          <w:sz w:val="32"/>
          <w:szCs w:val="32"/>
        </w:rPr>
        <w:t>%；住房保障支出</w:t>
      </w:r>
      <w:r>
        <w:rPr>
          <w:rFonts w:hint="eastAsia" w:eastAsia="仿宋"/>
          <w:sz w:val="32"/>
          <w:szCs w:val="32"/>
          <w:lang w:val="en-US" w:eastAsia="zh-CN"/>
        </w:rPr>
        <w:t>174.13</w:t>
      </w:r>
      <w:r>
        <w:rPr>
          <w:rFonts w:eastAsia="仿宋"/>
          <w:sz w:val="32"/>
          <w:szCs w:val="32"/>
        </w:rPr>
        <w:t>万元，占</w:t>
      </w:r>
      <w:r>
        <w:rPr>
          <w:rFonts w:hint="eastAsia" w:eastAsia="仿宋"/>
          <w:sz w:val="32"/>
          <w:szCs w:val="32"/>
          <w:lang w:val="en-US" w:eastAsia="zh-CN"/>
        </w:rPr>
        <w:t>5.23</w:t>
      </w:r>
      <w:r>
        <w:rPr>
          <w:rFonts w:eastAsia="仿宋"/>
          <w:sz w:val="32"/>
          <w:szCs w:val="32"/>
        </w:rPr>
        <w:t>%。</w:t>
      </w:r>
    </w:p>
    <w:p>
      <w:pPr>
        <w:pStyle w:val="6"/>
      </w:pPr>
      <w:r>
        <w:rPr>
          <w:rFonts w:hint="eastAsia"/>
          <w:lang w:val="en-US" w:eastAsia="zh-CN"/>
        </w:rPr>
        <w:t xml:space="preserve">          </w:t>
      </w:r>
      <w:r>
        <w:drawing>
          <wp:inline distT="0" distB="0" distL="114300" distR="114300">
            <wp:extent cx="4086225" cy="2019935"/>
            <wp:effectExtent l="4445" t="4445" r="5080" b="1397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78" w:lineRule="exact"/>
        <w:ind w:firstLine="1920" w:firstLineChars="600"/>
        <w:jc w:val="both"/>
        <w:rPr>
          <w:rFonts w:eastAsia="仿宋"/>
          <w:sz w:val="32"/>
          <w:szCs w:val="32"/>
        </w:rPr>
      </w:pPr>
      <w:r>
        <w:rPr>
          <w:rFonts w:eastAsia="仿宋"/>
          <w:sz w:val="32"/>
          <w:szCs w:val="32"/>
        </w:rPr>
        <w:t>图6</w:t>
      </w:r>
      <w:r>
        <w:rPr>
          <w:rFonts w:hint="eastAsia" w:eastAsia="仿宋"/>
          <w:sz w:val="32"/>
          <w:szCs w:val="32"/>
          <w:lang w:val="en-US" w:eastAsia="zh-CN"/>
        </w:rPr>
        <w:t xml:space="preserve"> </w:t>
      </w:r>
      <w:r>
        <w:rPr>
          <w:rFonts w:eastAsia="仿宋"/>
          <w:sz w:val="32"/>
          <w:szCs w:val="32"/>
        </w:rPr>
        <w:t>一般公共预算财政拨款支出决算结构</w:t>
      </w:r>
    </w:p>
    <w:p>
      <w:pPr>
        <w:spacing w:line="578" w:lineRule="exact"/>
        <w:ind w:firstLine="640" w:firstLineChars="200"/>
        <w:rPr>
          <w:rFonts w:hint="eastAsia" w:ascii="方正楷体_GBK" w:hAnsi="方正楷体_GBK" w:eastAsia="方正楷体_GBK" w:cs="方正楷体_GBK"/>
          <w:b w:val="0"/>
          <w:bCs/>
          <w:sz w:val="32"/>
          <w:szCs w:val="32"/>
        </w:rPr>
      </w:pPr>
      <w:bookmarkStart w:id="30" w:name="_Toc15377212"/>
      <w:r>
        <w:rPr>
          <w:rFonts w:hint="eastAsia" w:ascii="方正楷体_GBK" w:hAnsi="方正楷体_GBK" w:eastAsia="方正楷体_GBK" w:cs="方正楷体_GBK"/>
          <w:b w:val="0"/>
          <w:bCs/>
          <w:sz w:val="32"/>
          <w:szCs w:val="32"/>
        </w:rPr>
        <w:t>（三）一般公共预算财政拨款支出决算具体情况</w:t>
      </w:r>
      <w:bookmarkEnd w:id="30"/>
    </w:p>
    <w:p>
      <w:pPr>
        <w:spacing w:line="578" w:lineRule="exact"/>
        <w:ind w:firstLine="640" w:firstLineChars="200"/>
        <w:rPr>
          <w:rFonts w:eastAsia="仿宋"/>
          <w:sz w:val="32"/>
          <w:szCs w:val="32"/>
        </w:rPr>
      </w:pPr>
      <w:bookmarkStart w:id="31" w:name="_Toc15377213"/>
      <w:bookmarkStart w:id="32" w:name="_Toc15378460"/>
      <w:bookmarkStart w:id="33" w:name="_Toc15377444"/>
      <w:r>
        <w:rPr>
          <w:rFonts w:eastAsia="仿宋"/>
          <w:sz w:val="32"/>
          <w:szCs w:val="32"/>
        </w:rPr>
        <w:t>2022年一般公共预算支出决算数为</w:t>
      </w:r>
      <w:r>
        <w:rPr>
          <w:rFonts w:hint="eastAsia" w:eastAsia="仿宋"/>
          <w:sz w:val="32"/>
          <w:szCs w:val="32"/>
          <w:lang w:val="en-US" w:eastAsia="zh-CN"/>
        </w:rPr>
        <w:t>3326.76</w:t>
      </w:r>
      <w:r>
        <w:rPr>
          <w:rFonts w:eastAsia="仿宋"/>
          <w:sz w:val="32"/>
          <w:szCs w:val="32"/>
        </w:rPr>
        <w:t>，</w:t>
      </w:r>
      <w:r>
        <w:rPr>
          <w:rStyle w:val="17"/>
          <w:rFonts w:eastAsia="仿宋"/>
          <w:b w:val="0"/>
          <w:bCs/>
          <w:sz w:val="32"/>
          <w:szCs w:val="32"/>
        </w:rPr>
        <w:t>完成预算100%。其中：</w:t>
      </w:r>
      <w:bookmarkEnd w:id="31"/>
      <w:bookmarkEnd w:id="32"/>
      <w:bookmarkEnd w:id="33"/>
    </w:p>
    <w:p>
      <w:pPr>
        <w:spacing w:line="578" w:lineRule="exact"/>
        <w:ind w:firstLine="640" w:firstLineChars="200"/>
        <w:rPr>
          <w:rFonts w:eastAsia="仿宋"/>
          <w:sz w:val="32"/>
          <w:szCs w:val="32"/>
        </w:rPr>
      </w:pPr>
      <w:r>
        <w:rPr>
          <w:rStyle w:val="17"/>
          <w:rFonts w:eastAsia="仿宋"/>
          <w:b w:val="0"/>
          <w:bCs/>
          <w:sz w:val="32"/>
          <w:szCs w:val="32"/>
        </w:rPr>
        <w:t>1.教育（205类）普通教育（02款））</w:t>
      </w:r>
      <w:r>
        <w:rPr>
          <w:rStyle w:val="17"/>
          <w:rFonts w:hint="eastAsia" w:eastAsia="仿宋"/>
          <w:b w:val="0"/>
          <w:bCs/>
          <w:sz w:val="32"/>
          <w:szCs w:val="32"/>
          <w:lang w:eastAsia="zh-CN"/>
        </w:rPr>
        <w:t>小学</w:t>
      </w:r>
      <w:r>
        <w:rPr>
          <w:rStyle w:val="17"/>
          <w:rFonts w:eastAsia="仿宋"/>
          <w:b w:val="0"/>
          <w:bCs/>
          <w:sz w:val="32"/>
          <w:szCs w:val="32"/>
        </w:rPr>
        <w:t>教育（0</w:t>
      </w:r>
      <w:r>
        <w:rPr>
          <w:rStyle w:val="17"/>
          <w:rFonts w:hint="eastAsia" w:eastAsia="仿宋"/>
          <w:b w:val="0"/>
          <w:bCs/>
          <w:sz w:val="32"/>
          <w:szCs w:val="32"/>
          <w:lang w:val="en-US" w:eastAsia="zh-CN"/>
        </w:rPr>
        <w:t>2</w:t>
      </w:r>
      <w:r>
        <w:rPr>
          <w:rStyle w:val="17"/>
          <w:rFonts w:eastAsia="仿宋"/>
          <w:b w:val="0"/>
          <w:bCs/>
          <w:sz w:val="32"/>
          <w:szCs w:val="32"/>
        </w:rPr>
        <w:t>项）：支出决算为</w:t>
      </w:r>
      <w:r>
        <w:rPr>
          <w:rStyle w:val="17"/>
          <w:rFonts w:hint="eastAsia" w:eastAsia="仿宋"/>
          <w:b w:val="0"/>
          <w:bCs/>
          <w:sz w:val="32"/>
          <w:szCs w:val="32"/>
          <w:lang w:val="en-US" w:eastAsia="zh-CN"/>
        </w:rPr>
        <w:t>2802.87</w:t>
      </w:r>
      <w:r>
        <w:rPr>
          <w:rStyle w:val="17"/>
          <w:rFonts w:eastAsia="仿宋"/>
          <w:b w:val="0"/>
          <w:bCs/>
          <w:sz w:val="32"/>
          <w:szCs w:val="32"/>
        </w:rPr>
        <w:t>万元，完成预算100%。</w:t>
      </w:r>
    </w:p>
    <w:p>
      <w:pPr>
        <w:spacing w:line="578" w:lineRule="exact"/>
        <w:ind w:firstLine="640" w:firstLineChars="200"/>
        <w:rPr>
          <w:rFonts w:eastAsia="仿宋"/>
          <w:sz w:val="32"/>
          <w:szCs w:val="32"/>
        </w:rPr>
      </w:pPr>
      <w:r>
        <w:rPr>
          <w:rStyle w:val="17"/>
          <w:rFonts w:eastAsia="仿宋"/>
          <w:b w:val="0"/>
          <w:bCs/>
          <w:sz w:val="32"/>
          <w:szCs w:val="32"/>
        </w:rPr>
        <w:t>2.社会保障和就业（208类）行政事业单位养老支出（05款）机关事业单位基本养老保险缴费支出（05项）：支出决算为</w:t>
      </w:r>
      <w:r>
        <w:rPr>
          <w:rStyle w:val="17"/>
          <w:rFonts w:hint="eastAsia" w:eastAsia="仿宋"/>
          <w:b w:val="0"/>
          <w:bCs/>
          <w:sz w:val="32"/>
          <w:szCs w:val="32"/>
          <w:lang w:val="en-US" w:eastAsia="zh-CN"/>
        </w:rPr>
        <w:t>243.78</w:t>
      </w:r>
      <w:r>
        <w:rPr>
          <w:rStyle w:val="17"/>
          <w:rFonts w:eastAsia="仿宋"/>
          <w:b w:val="0"/>
          <w:bCs/>
          <w:sz w:val="32"/>
          <w:szCs w:val="32"/>
        </w:rPr>
        <w:t>万元，完成预算100%。</w:t>
      </w:r>
    </w:p>
    <w:p>
      <w:pPr>
        <w:spacing w:line="578" w:lineRule="exact"/>
        <w:ind w:firstLine="640" w:firstLineChars="200"/>
        <w:rPr>
          <w:rFonts w:eastAsia="仿宋"/>
          <w:sz w:val="32"/>
          <w:szCs w:val="32"/>
        </w:rPr>
      </w:pPr>
      <w:r>
        <w:rPr>
          <w:rStyle w:val="17"/>
          <w:rFonts w:eastAsia="仿宋"/>
          <w:b w:val="0"/>
          <w:bCs/>
          <w:sz w:val="32"/>
          <w:szCs w:val="32"/>
        </w:rPr>
        <w:t>3.</w:t>
      </w:r>
      <w:r>
        <w:rPr>
          <w:rFonts w:eastAsia="仿宋"/>
          <w:bCs/>
          <w:sz w:val="32"/>
          <w:szCs w:val="32"/>
        </w:rPr>
        <w:t>卫生健康</w:t>
      </w:r>
      <w:r>
        <w:rPr>
          <w:rStyle w:val="17"/>
          <w:rFonts w:eastAsia="仿宋"/>
          <w:b w:val="0"/>
          <w:bCs/>
          <w:sz w:val="32"/>
          <w:szCs w:val="32"/>
        </w:rPr>
        <w:t>（201类）行政事业单位医疗（11款）事业单位医疗（02项）：支出决算为</w:t>
      </w:r>
      <w:r>
        <w:rPr>
          <w:rStyle w:val="17"/>
          <w:rFonts w:hint="eastAsia" w:eastAsia="仿宋"/>
          <w:b w:val="0"/>
          <w:bCs/>
          <w:sz w:val="32"/>
          <w:szCs w:val="32"/>
          <w:lang w:val="en-US" w:eastAsia="zh-CN"/>
        </w:rPr>
        <w:t>105.98</w:t>
      </w:r>
      <w:r>
        <w:rPr>
          <w:rStyle w:val="17"/>
          <w:rFonts w:eastAsia="仿宋"/>
          <w:b w:val="0"/>
          <w:bCs/>
          <w:sz w:val="32"/>
          <w:szCs w:val="32"/>
        </w:rPr>
        <w:t>万元，完成预算100%。</w:t>
      </w:r>
    </w:p>
    <w:p>
      <w:pPr>
        <w:spacing w:line="578" w:lineRule="exact"/>
        <w:ind w:firstLine="640" w:firstLineChars="200"/>
        <w:rPr>
          <w:rFonts w:eastAsia="仿宋"/>
          <w:b/>
          <w:sz w:val="32"/>
          <w:szCs w:val="32"/>
        </w:rPr>
      </w:pPr>
      <w:r>
        <w:rPr>
          <w:rStyle w:val="17"/>
          <w:rFonts w:hint="eastAsia" w:eastAsia="仿宋"/>
          <w:b w:val="0"/>
          <w:bCs/>
          <w:sz w:val="32"/>
          <w:szCs w:val="32"/>
          <w:lang w:val="en-US" w:eastAsia="zh-CN"/>
        </w:rPr>
        <w:t>4</w:t>
      </w:r>
      <w:r>
        <w:rPr>
          <w:rStyle w:val="17"/>
          <w:rFonts w:eastAsia="仿宋"/>
          <w:b w:val="0"/>
          <w:bCs/>
          <w:sz w:val="32"/>
          <w:szCs w:val="32"/>
        </w:rPr>
        <w:t>.</w:t>
      </w:r>
      <w:r>
        <w:rPr>
          <w:rFonts w:eastAsia="仿宋"/>
          <w:bCs/>
          <w:sz w:val="32"/>
          <w:szCs w:val="32"/>
        </w:rPr>
        <w:t>住房保障支出</w:t>
      </w:r>
      <w:r>
        <w:rPr>
          <w:rStyle w:val="17"/>
          <w:rFonts w:eastAsia="仿宋"/>
          <w:b w:val="0"/>
          <w:bCs/>
          <w:sz w:val="32"/>
          <w:szCs w:val="32"/>
        </w:rPr>
        <w:t>（221类）住房改革支出（02款）住房公积金（01项）：支出决算为</w:t>
      </w:r>
      <w:r>
        <w:rPr>
          <w:rStyle w:val="17"/>
          <w:rFonts w:hint="eastAsia" w:eastAsia="仿宋"/>
          <w:b w:val="0"/>
          <w:bCs/>
          <w:sz w:val="32"/>
          <w:szCs w:val="32"/>
          <w:lang w:val="en-US" w:eastAsia="zh-CN"/>
        </w:rPr>
        <w:t>174.13</w:t>
      </w:r>
      <w:r>
        <w:rPr>
          <w:rStyle w:val="17"/>
          <w:rFonts w:eastAsia="仿宋"/>
          <w:b w:val="0"/>
          <w:bCs/>
          <w:sz w:val="32"/>
          <w:szCs w:val="32"/>
        </w:rPr>
        <w:t>万元，完成预算100%。</w:t>
      </w:r>
    </w:p>
    <w:p>
      <w:pPr>
        <w:tabs>
          <w:tab w:val="right" w:pos="8306"/>
        </w:tabs>
        <w:spacing w:line="578" w:lineRule="exact"/>
        <w:ind w:firstLine="640" w:firstLineChars="200"/>
        <w:rPr>
          <w:rStyle w:val="30"/>
          <w:rFonts w:ascii="Times New Roman" w:hAnsi="Times New Roman" w:cs="Times New Roman"/>
        </w:rPr>
      </w:pPr>
      <w:bookmarkStart w:id="34" w:name="_Toc15396608"/>
      <w:bookmarkStart w:id="35" w:name="_Toc15377214"/>
      <w:r>
        <w:rPr>
          <w:rFonts w:eastAsia="黑体"/>
          <w:sz w:val="32"/>
          <w:szCs w:val="32"/>
        </w:rPr>
        <w:t>六</w:t>
      </w:r>
      <w:r>
        <w:rPr>
          <w:rFonts w:eastAsia="黑体"/>
          <w:b/>
          <w:sz w:val="32"/>
          <w:szCs w:val="32"/>
        </w:rPr>
        <w:t>、一</w:t>
      </w:r>
      <w:r>
        <w:rPr>
          <w:rStyle w:val="30"/>
          <w:rFonts w:ascii="Times New Roman" w:hAnsi="Times New Roman" w:eastAsia="黑体" w:cs="Times New Roman"/>
          <w:b w:val="0"/>
        </w:rPr>
        <w:t>般公共预算财政拨款基本支出决算情况说明</w:t>
      </w:r>
      <w:bookmarkEnd w:id="34"/>
      <w:bookmarkEnd w:id="35"/>
    </w:p>
    <w:p>
      <w:pPr>
        <w:spacing w:line="578" w:lineRule="exact"/>
        <w:ind w:firstLine="640" w:firstLineChars="200"/>
        <w:rPr>
          <w:rFonts w:eastAsia="仿宋"/>
          <w:sz w:val="32"/>
          <w:szCs w:val="32"/>
        </w:rPr>
      </w:pPr>
      <w:r>
        <w:rPr>
          <w:rFonts w:eastAsia="仿宋"/>
          <w:sz w:val="32"/>
          <w:szCs w:val="32"/>
        </w:rPr>
        <w:t>2022年一般公共预算财政拨款基本支出</w:t>
      </w:r>
      <w:r>
        <w:rPr>
          <w:rFonts w:hint="eastAsia" w:eastAsia="仿宋"/>
          <w:sz w:val="32"/>
          <w:szCs w:val="32"/>
          <w:lang w:val="en-US" w:eastAsia="zh-CN"/>
        </w:rPr>
        <w:t>3038.26</w:t>
      </w:r>
      <w:r>
        <w:rPr>
          <w:rFonts w:eastAsia="仿宋"/>
          <w:sz w:val="32"/>
          <w:szCs w:val="32"/>
        </w:rPr>
        <w:t>万元，其中：</w:t>
      </w:r>
    </w:p>
    <w:p>
      <w:pPr>
        <w:spacing w:line="578" w:lineRule="exact"/>
        <w:ind w:firstLine="640" w:firstLineChars="200"/>
        <w:rPr>
          <w:rFonts w:eastAsia="仿宋"/>
          <w:sz w:val="32"/>
          <w:szCs w:val="32"/>
        </w:rPr>
      </w:pPr>
      <w:r>
        <w:rPr>
          <w:rFonts w:eastAsia="仿宋"/>
          <w:sz w:val="32"/>
          <w:szCs w:val="32"/>
        </w:rPr>
        <w:t>人员经费</w:t>
      </w:r>
      <w:r>
        <w:rPr>
          <w:rFonts w:hint="eastAsia" w:eastAsia="仿宋"/>
          <w:sz w:val="32"/>
          <w:szCs w:val="32"/>
          <w:lang w:val="en-US" w:eastAsia="zh-CN"/>
        </w:rPr>
        <w:t>2641.36</w:t>
      </w:r>
      <w:r>
        <w:rPr>
          <w:rFonts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78" w:lineRule="exact"/>
        <w:ind w:firstLine="640" w:firstLineChars="200"/>
        <w:rPr>
          <w:rFonts w:eastAsia="仿宋"/>
          <w:sz w:val="32"/>
          <w:szCs w:val="32"/>
        </w:rPr>
      </w:pPr>
      <w:r>
        <w:rPr>
          <w:rFonts w:eastAsia="仿宋"/>
          <w:sz w:val="32"/>
          <w:szCs w:val="32"/>
        </w:rPr>
        <w:t>公用经费</w:t>
      </w:r>
      <w:r>
        <w:rPr>
          <w:rFonts w:hint="eastAsia" w:eastAsia="仿宋"/>
          <w:sz w:val="32"/>
          <w:szCs w:val="32"/>
          <w:lang w:val="en-US" w:eastAsia="zh-CN"/>
        </w:rPr>
        <w:t>396.90</w:t>
      </w:r>
      <w:r>
        <w:rPr>
          <w:rFonts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8" w:lineRule="exact"/>
        <w:ind w:firstLine="640" w:firstLineChars="200"/>
        <w:rPr>
          <w:rStyle w:val="30"/>
          <w:rFonts w:ascii="Times New Roman" w:hAnsi="Times New Roman" w:eastAsia="黑体" w:cs="Times New Roman"/>
          <w:b w:val="0"/>
        </w:rPr>
      </w:pPr>
      <w:bookmarkStart w:id="36" w:name="_Toc15396609"/>
      <w:bookmarkStart w:id="37" w:name="_Toc15377215"/>
      <w:r>
        <w:rPr>
          <w:rFonts w:eastAsia="黑体"/>
          <w:sz w:val="32"/>
          <w:szCs w:val="32"/>
        </w:rPr>
        <w:t>七、</w:t>
      </w:r>
      <w:r>
        <w:rPr>
          <w:rStyle w:val="30"/>
          <w:rFonts w:ascii="Times New Roman" w:hAnsi="Times New Roman" w:eastAsia="黑体" w:cs="Times New Roman"/>
          <w:b w:val="0"/>
        </w:rPr>
        <w:t>财政拨款</w:t>
      </w:r>
      <w:r>
        <w:rPr>
          <w:rStyle w:val="30"/>
          <w:rFonts w:ascii="Times New Roman" w:hAnsi="Times New Roman" w:eastAsia="黑体" w:cs="Times New Roman"/>
        </w:rPr>
        <w:t>“</w:t>
      </w:r>
      <w:r>
        <w:rPr>
          <w:rStyle w:val="30"/>
          <w:rFonts w:ascii="Times New Roman" w:hAnsi="Times New Roman" w:eastAsia="黑体" w:cs="Times New Roman"/>
          <w:b w:val="0"/>
        </w:rPr>
        <w:t>三公”经费支出决算情况说明</w:t>
      </w:r>
      <w:bookmarkEnd w:id="36"/>
      <w:bookmarkEnd w:id="37"/>
    </w:p>
    <w:p>
      <w:pPr>
        <w:spacing w:line="578" w:lineRule="exact"/>
        <w:ind w:firstLine="640" w:firstLineChars="200"/>
        <w:rPr>
          <w:rFonts w:hint="eastAsia" w:ascii="方正楷体_GBK" w:hAnsi="方正楷体_GBK" w:eastAsia="方正楷体_GBK" w:cs="方正楷体_GBK"/>
          <w:b w:val="0"/>
          <w:bCs/>
          <w:sz w:val="32"/>
          <w:szCs w:val="32"/>
        </w:rPr>
      </w:pPr>
      <w:bookmarkStart w:id="38" w:name="_Toc15377216"/>
      <w:r>
        <w:rPr>
          <w:rFonts w:hint="eastAsia" w:ascii="方正楷体_GBK" w:hAnsi="方正楷体_GBK" w:eastAsia="方正楷体_GBK" w:cs="方正楷体_GBK"/>
          <w:b w:val="0"/>
          <w:bCs/>
          <w:sz w:val="32"/>
          <w:szCs w:val="32"/>
        </w:rPr>
        <w:t>（一）“三公”经费财政拨款支出决算总体情况说明</w:t>
      </w:r>
      <w:bookmarkEnd w:id="38"/>
    </w:p>
    <w:p>
      <w:pPr>
        <w:spacing w:line="578" w:lineRule="exact"/>
        <w:ind w:firstLine="640" w:firstLineChars="200"/>
        <w:rPr>
          <w:rFonts w:eastAsia="仿宋"/>
          <w:sz w:val="32"/>
          <w:szCs w:val="32"/>
        </w:rPr>
      </w:pPr>
      <w:r>
        <w:rPr>
          <w:rFonts w:eastAsia="仿宋"/>
          <w:sz w:val="32"/>
          <w:szCs w:val="32"/>
        </w:rPr>
        <w:t>2022年“三公”经费财政拨款支出决算为0万元，完成预算0%，与上年持平，增减变化率0%。决算数与预算数持平。</w:t>
      </w:r>
    </w:p>
    <w:p>
      <w:pPr>
        <w:spacing w:line="578" w:lineRule="exact"/>
        <w:ind w:firstLine="640" w:firstLineChars="200"/>
        <w:rPr>
          <w:rFonts w:hint="eastAsia" w:ascii="方正楷体_GBK" w:hAnsi="方正楷体_GBK" w:eastAsia="方正楷体_GBK" w:cs="方正楷体_GBK"/>
          <w:b w:val="0"/>
          <w:bCs/>
          <w:sz w:val="32"/>
          <w:szCs w:val="32"/>
        </w:rPr>
      </w:pPr>
      <w:bookmarkStart w:id="39" w:name="_Toc15377217"/>
      <w:r>
        <w:rPr>
          <w:rFonts w:hint="eastAsia" w:ascii="方正楷体_GBK" w:hAnsi="方正楷体_GBK" w:eastAsia="方正楷体_GBK" w:cs="方正楷体_GBK"/>
          <w:b w:val="0"/>
          <w:bCs/>
          <w:sz w:val="32"/>
          <w:szCs w:val="32"/>
        </w:rPr>
        <w:t>（二）“三公”经费财政拨款支出决算具体情况说明</w:t>
      </w:r>
      <w:bookmarkEnd w:id="39"/>
    </w:p>
    <w:p>
      <w:pPr>
        <w:spacing w:line="578" w:lineRule="exact"/>
        <w:ind w:firstLine="640" w:firstLineChars="200"/>
        <w:rPr>
          <w:rFonts w:eastAsia="仿宋"/>
          <w:sz w:val="32"/>
          <w:szCs w:val="32"/>
        </w:rPr>
      </w:pPr>
      <w:r>
        <w:rPr>
          <w:rFonts w:eastAsia="仿宋"/>
          <w:sz w:val="32"/>
          <w:szCs w:val="32"/>
        </w:rPr>
        <w:t>2022年“三公”经费财政拨款支出决算中，因公出国（境）费支出决算0万元，占0%；公务用车购置及运行维护费支出决算0万元，占0%；公务接待费支出决算0万元，占0%。</w:t>
      </w:r>
    </w:p>
    <w:p>
      <w:pPr>
        <w:spacing w:line="578" w:lineRule="exact"/>
        <w:ind w:firstLine="640" w:firstLineChars="200"/>
        <w:jc w:val="center"/>
        <w:rPr>
          <w:rFonts w:eastAsia="仿宋"/>
          <w:sz w:val="32"/>
          <w:szCs w:val="32"/>
        </w:rPr>
      </w:pPr>
      <w:r>
        <w:rPr>
          <w:rFonts w:eastAsia="仿宋"/>
          <w:sz w:val="32"/>
          <w:szCs w:val="32"/>
        </w:rPr>
        <mc:AlternateContent>
          <mc:Choice Requires="wpg">
            <w:drawing>
              <wp:anchor distT="0" distB="0" distL="114300" distR="114300" simplePos="0" relativeHeight="251659264" behindDoc="0" locked="0" layoutInCell="1" allowOverlap="1">
                <wp:simplePos x="0" y="0"/>
                <wp:positionH relativeFrom="column">
                  <wp:posOffset>713105</wp:posOffset>
                </wp:positionH>
                <wp:positionV relativeFrom="paragraph">
                  <wp:posOffset>184785</wp:posOffset>
                </wp:positionV>
                <wp:extent cx="4584065" cy="2755265"/>
                <wp:effectExtent l="0" t="0" r="7620" b="7620"/>
                <wp:wrapNone/>
                <wp:docPr id="3" name="组合 3"/>
                <wp:cNvGraphicFramePr/>
                <a:graphic xmlns:a="http://schemas.openxmlformats.org/drawingml/2006/main">
                  <a:graphicData uri="http://schemas.microsoft.com/office/word/2010/wordprocessingGroup">
                    <wpg:wgp>
                      <wpg:cNvGrpSpPr/>
                      <wpg:grpSpPr>
                        <a:xfrm>
                          <a:off x="0" y="0"/>
                          <a:ext cx="4583875" cy="2755075"/>
                          <a:chOff x="0" y="0"/>
                          <a:chExt cx="4583875" cy="2755075"/>
                        </a:xfrm>
                      </wpg:grpSpPr>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0" y="0"/>
                            <a:ext cx="4583875" cy="2755075"/>
                          </a:xfrm>
                          <a:prstGeom prst="rect">
                            <a:avLst/>
                          </a:prstGeom>
                          <a:noFill/>
                        </pic:spPr>
                      </pic:pic>
                      <wps:wsp>
                        <wps:cNvPr id="2" name="椭圆 2"/>
                        <wps:cNvSpPr/>
                        <wps:spPr>
                          <a:xfrm>
                            <a:off x="926275" y="688769"/>
                            <a:ext cx="1697990" cy="169799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6.15pt;margin-top:14.55pt;height:216.95pt;width:360.95pt;z-index:251659264;mso-width-relative:page;mso-height-relative:page;" coordsize="4583875,2755075" o:gfxdata="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">
                <o:lock v:ext="edit" aspectratio="f"/>
                <v:shape id="_x0000_s1026" o:spid="_x0000_s1026" o:spt="75" type="#_x0000_t75" style="position:absolute;left:0;top:0;height:2755075;width:4583875;" filled="f" o:preferrelative="t" stroked="f" coordsize="21600,21600" o:gfxdata="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3HNirsAAADa&#10;AAAADwAAAAAAAAABACAAAAAiAAAAZHJzL2Rvd25yZXYueG1sUEsBAhQAFAAAAAgAh07iQDMvBZ47&#10;AAAAOQAAABAAAAAAAAAAAQAgAAAACgEAAGRycy9zaGFwZXhtbC54bWxQSwUGAAAAAAYABgBbAQAA&#10;tAMAAAAA&#10;">
                  <v:fill on="f" focussize="0,0"/>
                  <v:stroke on="f"/>
                  <v:imagedata r:id="rId14" o:title=""/>
                  <o:lock v:ext="edit" aspectratio="t"/>
                </v:shape>
                <v:shape id="_x0000_s1026" o:spid="_x0000_s1026" o:spt="3" type="#_x0000_t3" style="position:absolute;left:926275;top:688769;height:1697990;width:1697990;v-text-anchor:middle;" filled="f" stroked="t" coordsize="21600,21600" o:gfxdata="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A2SLsAAADa&#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shape>
              </v:group>
            </w:pict>
          </mc:Fallback>
        </mc:AlternateContent>
      </w:r>
    </w:p>
    <w:p>
      <w:pPr>
        <w:spacing w:line="578" w:lineRule="exact"/>
        <w:ind w:firstLine="640" w:firstLineChars="200"/>
        <w:jc w:val="center"/>
        <w:rPr>
          <w:rFonts w:eastAsia="仿宋"/>
          <w:sz w:val="32"/>
          <w:szCs w:val="32"/>
        </w:rPr>
      </w:pPr>
    </w:p>
    <w:p>
      <w:pPr>
        <w:spacing w:line="578" w:lineRule="exact"/>
        <w:ind w:firstLine="640" w:firstLineChars="200"/>
        <w:jc w:val="center"/>
        <w:rPr>
          <w:rFonts w:eastAsia="仿宋"/>
          <w:sz w:val="32"/>
          <w:szCs w:val="32"/>
        </w:rPr>
      </w:pPr>
    </w:p>
    <w:p>
      <w:pPr>
        <w:spacing w:line="578" w:lineRule="exact"/>
        <w:ind w:firstLine="640" w:firstLineChars="200"/>
        <w:jc w:val="center"/>
        <w:rPr>
          <w:rFonts w:eastAsia="仿宋"/>
          <w:sz w:val="32"/>
          <w:szCs w:val="32"/>
        </w:rPr>
      </w:pPr>
    </w:p>
    <w:p>
      <w:pPr>
        <w:spacing w:line="578" w:lineRule="exact"/>
        <w:ind w:firstLine="640" w:firstLineChars="200"/>
        <w:jc w:val="center"/>
        <w:rPr>
          <w:rFonts w:eastAsia="仿宋"/>
          <w:sz w:val="32"/>
          <w:szCs w:val="32"/>
        </w:rPr>
      </w:pPr>
    </w:p>
    <w:p>
      <w:pPr>
        <w:spacing w:line="578" w:lineRule="exact"/>
        <w:ind w:firstLine="640" w:firstLineChars="200"/>
        <w:jc w:val="center"/>
        <w:rPr>
          <w:rFonts w:eastAsia="仿宋"/>
          <w:sz w:val="32"/>
          <w:szCs w:val="32"/>
        </w:rPr>
      </w:pPr>
    </w:p>
    <w:p>
      <w:pPr>
        <w:spacing w:line="578" w:lineRule="exact"/>
        <w:ind w:firstLine="640" w:firstLineChars="200"/>
        <w:jc w:val="center"/>
        <w:rPr>
          <w:rFonts w:eastAsia="仿宋"/>
          <w:sz w:val="32"/>
          <w:szCs w:val="32"/>
        </w:rPr>
      </w:pPr>
    </w:p>
    <w:p>
      <w:pPr>
        <w:spacing w:line="578" w:lineRule="exact"/>
        <w:ind w:firstLine="640" w:firstLineChars="200"/>
        <w:jc w:val="center"/>
        <w:rPr>
          <w:rFonts w:eastAsia="仿宋"/>
          <w:sz w:val="32"/>
          <w:szCs w:val="32"/>
        </w:rPr>
      </w:pPr>
    </w:p>
    <w:p>
      <w:pPr>
        <w:spacing w:line="578" w:lineRule="exact"/>
        <w:ind w:firstLine="640" w:firstLineChars="200"/>
        <w:jc w:val="center"/>
        <w:rPr>
          <w:rFonts w:eastAsia="仿宋"/>
          <w:sz w:val="32"/>
          <w:szCs w:val="32"/>
        </w:rPr>
      </w:pPr>
      <w:r>
        <w:rPr>
          <w:rFonts w:eastAsia="仿宋"/>
          <w:sz w:val="32"/>
          <w:szCs w:val="32"/>
        </w:rPr>
        <w:t>图7</w:t>
      </w:r>
      <w:r>
        <w:rPr>
          <w:rFonts w:hint="eastAsia" w:eastAsia="仿宋"/>
          <w:sz w:val="32"/>
          <w:szCs w:val="32"/>
          <w:lang w:val="en-US" w:eastAsia="zh-CN"/>
        </w:rPr>
        <w:t xml:space="preserve">  </w:t>
      </w:r>
      <w:r>
        <w:rPr>
          <w:rFonts w:eastAsia="仿宋"/>
          <w:sz w:val="32"/>
          <w:szCs w:val="32"/>
        </w:rPr>
        <w:t>“三公”经费财政拨款支出结构</w:t>
      </w:r>
    </w:p>
    <w:p>
      <w:pPr>
        <w:spacing w:line="578" w:lineRule="exact"/>
        <w:ind w:firstLine="640" w:firstLineChars="200"/>
        <w:rPr>
          <w:rFonts w:eastAsia="仿宋"/>
          <w:sz w:val="32"/>
          <w:szCs w:val="32"/>
        </w:rPr>
      </w:pPr>
      <w:r>
        <w:rPr>
          <w:rFonts w:eastAsia="仿宋"/>
          <w:sz w:val="32"/>
          <w:szCs w:val="32"/>
        </w:rPr>
        <w:t>具体情况如下：</w:t>
      </w:r>
    </w:p>
    <w:p>
      <w:pPr>
        <w:spacing w:line="578" w:lineRule="exact"/>
        <w:ind w:firstLine="640" w:firstLineChars="200"/>
        <w:rPr>
          <w:rFonts w:eastAsia="仿宋"/>
          <w:sz w:val="32"/>
          <w:szCs w:val="32"/>
        </w:rPr>
      </w:pPr>
      <w:r>
        <w:rPr>
          <w:rFonts w:eastAsia="仿宋"/>
          <w:sz w:val="32"/>
          <w:szCs w:val="32"/>
        </w:rPr>
        <w:t>1.因公出国（境）经费支出0万元，完成预算0%。全年安排因公出国（境）团组0次，出国（境）0人。因公出国（境）支出决算与2021年持平。</w:t>
      </w:r>
    </w:p>
    <w:p>
      <w:pPr>
        <w:spacing w:line="578" w:lineRule="exact"/>
        <w:ind w:firstLine="640" w:firstLineChars="200"/>
        <w:rPr>
          <w:rFonts w:eastAsia="仿宋"/>
          <w:sz w:val="32"/>
          <w:szCs w:val="32"/>
        </w:rPr>
      </w:pPr>
      <w:r>
        <w:rPr>
          <w:rFonts w:eastAsia="仿宋"/>
          <w:sz w:val="32"/>
          <w:szCs w:val="32"/>
        </w:rPr>
        <w:t>2.公务用车购置及运行维护费支出0万元，完成预算0%。公务用车购置及运行维护费支出决算与2021年持平。</w:t>
      </w:r>
    </w:p>
    <w:p>
      <w:pPr>
        <w:spacing w:line="578" w:lineRule="exact"/>
        <w:ind w:firstLine="640" w:firstLineChars="200"/>
        <w:rPr>
          <w:rFonts w:eastAsia="仿宋"/>
          <w:sz w:val="32"/>
          <w:szCs w:val="32"/>
        </w:rPr>
      </w:pPr>
      <w:r>
        <w:rPr>
          <w:rFonts w:eastAsia="仿宋"/>
          <w:sz w:val="32"/>
          <w:szCs w:val="32"/>
        </w:rPr>
        <w:t>其中：公务用车购置支出0万元。全年按规定更新购置公务用车0辆，其中：轿车0辆、金额0万元，越野车0辆、金额0万元，载客汽车0辆、金额0万元0。截至2022年12月底，单位共有公务用车0辆，其中：轿车0辆、越野车0辆、载客汽车0辆。</w:t>
      </w:r>
    </w:p>
    <w:p>
      <w:pPr>
        <w:spacing w:line="578" w:lineRule="exact"/>
        <w:ind w:firstLine="640" w:firstLineChars="200"/>
        <w:rPr>
          <w:rFonts w:eastAsia="仿宋"/>
          <w:sz w:val="32"/>
          <w:szCs w:val="32"/>
        </w:rPr>
      </w:pPr>
      <w:r>
        <w:rPr>
          <w:rFonts w:eastAsia="仿宋"/>
          <w:sz w:val="32"/>
          <w:szCs w:val="32"/>
        </w:rPr>
        <w:t>公务用车运行维护费支出0万元。</w:t>
      </w:r>
    </w:p>
    <w:p>
      <w:pPr>
        <w:spacing w:line="578" w:lineRule="exact"/>
        <w:ind w:firstLine="640" w:firstLineChars="200"/>
        <w:rPr>
          <w:rFonts w:eastAsia="仿宋"/>
          <w:sz w:val="32"/>
          <w:szCs w:val="32"/>
        </w:rPr>
      </w:pPr>
      <w:r>
        <w:rPr>
          <w:rFonts w:eastAsia="仿宋"/>
          <w:sz w:val="32"/>
          <w:szCs w:val="32"/>
        </w:rPr>
        <w:t>3.公务接待费支出0万元，完成预算0%。公务接待费支出决算与2021年持平。</w:t>
      </w:r>
    </w:p>
    <w:p>
      <w:pPr>
        <w:spacing w:line="578" w:lineRule="exact"/>
        <w:ind w:firstLine="640" w:firstLineChars="200"/>
        <w:rPr>
          <w:rFonts w:eastAsia="仿宋"/>
          <w:sz w:val="32"/>
          <w:szCs w:val="32"/>
        </w:rPr>
      </w:pPr>
      <w:r>
        <w:rPr>
          <w:rFonts w:eastAsia="仿宋"/>
          <w:sz w:val="32"/>
          <w:szCs w:val="32"/>
        </w:rPr>
        <w:t>国内公务接待支出0万元。国内公务接待0批次，0人次（不包括陪同人员），共计支出0万元。</w:t>
      </w:r>
    </w:p>
    <w:p>
      <w:pPr>
        <w:spacing w:line="578" w:lineRule="exact"/>
        <w:ind w:firstLine="640" w:firstLineChars="200"/>
        <w:rPr>
          <w:rFonts w:eastAsia="仿宋"/>
          <w:sz w:val="32"/>
          <w:szCs w:val="32"/>
        </w:rPr>
      </w:pPr>
      <w:r>
        <w:rPr>
          <w:rFonts w:eastAsia="仿宋"/>
          <w:sz w:val="32"/>
          <w:szCs w:val="32"/>
        </w:rPr>
        <w:t>外事接待支出0万元。外事接待0批次，0人次（不包括陪同人员），共计支出0万元。</w:t>
      </w:r>
    </w:p>
    <w:p>
      <w:pPr>
        <w:spacing w:line="578" w:lineRule="exact"/>
        <w:ind w:firstLine="640" w:firstLineChars="200"/>
        <w:rPr>
          <w:rStyle w:val="30"/>
          <w:rFonts w:ascii="Times New Roman" w:hAnsi="Times New Roman" w:eastAsia="黑体" w:cs="Times New Roman"/>
        </w:rPr>
      </w:pPr>
      <w:bookmarkStart w:id="40" w:name="_Toc15377218"/>
      <w:bookmarkStart w:id="41" w:name="_Toc15396610"/>
      <w:r>
        <w:rPr>
          <w:rFonts w:eastAsia="黑体"/>
          <w:sz w:val="32"/>
          <w:szCs w:val="32"/>
        </w:rPr>
        <w:t>八、</w:t>
      </w:r>
      <w:r>
        <w:rPr>
          <w:rStyle w:val="30"/>
          <w:rFonts w:ascii="Times New Roman" w:hAnsi="Times New Roman" w:eastAsia="黑体" w:cs="Times New Roman"/>
          <w:b w:val="0"/>
        </w:rPr>
        <w:t>政府性基金预算支出决算情况说明</w:t>
      </w:r>
      <w:bookmarkEnd w:id="40"/>
      <w:bookmarkEnd w:id="41"/>
    </w:p>
    <w:p>
      <w:pPr>
        <w:spacing w:line="578" w:lineRule="exact"/>
        <w:ind w:firstLine="640" w:firstLineChars="200"/>
        <w:rPr>
          <w:rFonts w:eastAsia="仿宋"/>
          <w:sz w:val="32"/>
          <w:szCs w:val="32"/>
        </w:rPr>
      </w:pPr>
      <w:r>
        <w:rPr>
          <w:rFonts w:eastAsia="仿宋"/>
          <w:sz w:val="32"/>
          <w:szCs w:val="32"/>
        </w:rPr>
        <w:t>2022年政府性基金预算财政拨款支出</w:t>
      </w:r>
      <w:r>
        <w:rPr>
          <w:rFonts w:hint="eastAsia" w:eastAsia="仿宋"/>
          <w:sz w:val="32"/>
          <w:szCs w:val="32"/>
          <w:lang w:val="en-US" w:eastAsia="zh-CN"/>
        </w:rPr>
        <w:t>1787.95</w:t>
      </w:r>
      <w:r>
        <w:rPr>
          <w:rFonts w:eastAsia="仿宋"/>
          <w:sz w:val="32"/>
          <w:szCs w:val="32"/>
        </w:rPr>
        <w:t>万元。</w:t>
      </w:r>
    </w:p>
    <w:p>
      <w:pPr>
        <w:numPr>
          <w:ilvl w:val="0"/>
          <w:numId w:val="1"/>
        </w:numPr>
        <w:spacing w:line="578" w:lineRule="exact"/>
        <w:ind w:firstLine="640" w:firstLineChars="200"/>
        <w:rPr>
          <w:rStyle w:val="30"/>
          <w:rFonts w:ascii="Times New Roman" w:hAnsi="Times New Roman" w:eastAsia="黑体" w:cs="Times New Roman"/>
          <w:b w:val="0"/>
        </w:rPr>
      </w:pPr>
      <w:bookmarkStart w:id="42" w:name="_Toc15396611"/>
      <w:bookmarkStart w:id="43" w:name="_Toc15377219"/>
      <w:r>
        <w:rPr>
          <w:rStyle w:val="30"/>
          <w:rFonts w:ascii="Times New Roman" w:hAnsi="Times New Roman" w:eastAsia="黑体" w:cs="Times New Roman"/>
          <w:b w:val="0"/>
        </w:rPr>
        <w:t>国有资本经营预算支出决算情况说明</w:t>
      </w:r>
      <w:bookmarkEnd w:id="42"/>
      <w:bookmarkEnd w:id="43"/>
    </w:p>
    <w:p>
      <w:pPr>
        <w:spacing w:line="578" w:lineRule="exact"/>
        <w:ind w:firstLine="640" w:firstLineChars="200"/>
        <w:rPr>
          <w:rFonts w:eastAsia="仿宋"/>
          <w:sz w:val="32"/>
          <w:szCs w:val="32"/>
        </w:rPr>
      </w:pPr>
      <w:r>
        <w:rPr>
          <w:rFonts w:eastAsia="仿宋"/>
          <w:sz w:val="32"/>
          <w:szCs w:val="32"/>
        </w:rPr>
        <w:t>2022年国有资本经营预算财政拨款支出0万元。</w:t>
      </w:r>
    </w:p>
    <w:p>
      <w:pPr>
        <w:numPr>
          <w:ilvl w:val="0"/>
          <w:numId w:val="1"/>
        </w:numPr>
        <w:spacing w:line="578" w:lineRule="exact"/>
        <w:ind w:firstLine="640" w:firstLineChars="200"/>
        <w:rPr>
          <w:rStyle w:val="30"/>
          <w:rFonts w:ascii="Times New Roman" w:hAnsi="Times New Roman" w:eastAsia="黑体" w:cs="Times New Roman"/>
          <w:b w:val="0"/>
        </w:rPr>
      </w:pPr>
      <w:bookmarkStart w:id="44" w:name="_Toc15377221"/>
      <w:bookmarkStart w:id="45" w:name="_Toc15396612"/>
      <w:r>
        <w:rPr>
          <w:rStyle w:val="30"/>
          <w:rFonts w:ascii="Times New Roman" w:hAnsi="Times New Roman" w:eastAsia="黑体" w:cs="Times New Roman"/>
          <w:b w:val="0"/>
        </w:rPr>
        <w:t>其他重要事项的情况说明</w:t>
      </w:r>
      <w:bookmarkEnd w:id="44"/>
      <w:bookmarkEnd w:id="45"/>
    </w:p>
    <w:p>
      <w:pPr>
        <w:spacing w:line="578" w:lineRule="exact"/>
        <w:ind w:firstLine="640" w:firstLineChars="200"/>
        <w:rPr>
          <w:rFonts w:hint="eastAsia" w:ascii="方正楷体_GBK" w:hAnsi="方正楷体_GBK" w:eastAsia="方正楷体_GBK" w:cs="方正楷体_GBK"/>
          <w:b w:val="0"/>
          <w:bCs/>
          <w:sz w:val="32"/>
          <w:szCs w:val="32"/>
        </w:rPr>
      </w:pPr>
      <w:bookmarkStart w:id="46" w:name="_Toc15377222"/>
      <w:r>
        <w:rPr>
          <w:rFonts w:hint="eastAsia" w:ascii="方正楷体_GBK" w:hAnsi="方正楷体_GBK" w:eastAsia="方正楷体_GBK" w:cs="方正楷体_GBK"/>
          <w:b w:val="0"/>
          <w:bCs/>
          <w:sz w:val="32"/>
          <w:szCs w:val="32"/>
        </w:rPr>
        <w:t>（一）机关运行经费支出情况</w:t>
      </w:r>
      <w:bookmarkEnd w:id="46"/>
    </w:p>
    <w:p>
      <w:pPr>
        <w:spacing w:line="578" w:lineRule="exact"/>
        <w:ind w:firstLine="640" w:firstLineChars="200"/>
        <w:rPr>
          <w:rFonts w:eastAsia="仿宋"/>
          <w:sz w:val="32"/>
          <w:szCs w:val="32"/>
        </w:rPr>
      </w:pPr>
      <w:r>
        <w:rPr>
          <w:rFonts w:eastAsia="仿宋"/>
          <w:sz w:val="32"/>
          <w:szCs w:val="32"/>
        </w:rPr>
        <w:t>2022年，本单位无机关运行经费支出。2021年本单位无机关运行经费支出。</w:t>
      </w:r>
    </w:p>
    <w:p>
      <w:pPr>
        <w:autoSpaceDE w:val="0"/>
        <w:autoSpaceDN w:val="0"/>
        <w:adjustRightInd w:val="0"/>
        <w:spacing w:line="578" w:lineRule="exact"/>
        <w:ind w:firstLine="640" w:firstLineChars="200"/>
        <w:rPr>
          <w:rFonts w:hint="eastAsia" w:ascii="方正楷体_GBK" w:hAnsi="方正楷体_GBK" w:eastAsia="方正楷体_GBK" w:cs="方正楷体_GBK"/>
          <w:b w:val="0"/>
          <w:bCs/>
          <w:sz w:val="32"/>
          <w:szCs w:val="32"/>
        </w:rPr>
      </w:pPr>
      <w:bookmarkStart w:id="47" w:name="_Toc15377223"/>
      <w:r>
        <w:rPr>
          <w:rFonts w:hint="eastAsia" w:ascii="方正楷体_GBK" w:hAnsi="方正楷体_GBK" w:eastAsia="方正楷体_GBK" w:cs="方正楷体_GBK"/>
          <w:b w:val="0"/>
          <w:bCs/>
          <w:sz w:val="32"/>
          <w:szCs w:val="32"/>
        </w:rPr>
        <w:t>（二）政府采购支出情况</w:t>
      </w:r>
      <w:bookmarkEnd w:id="47"/>
    </w:p>
    <w:p>
      <w:pPr>
        <w:spacing w:line="578" w:lineRule="exact"/>
        <w:ind w:firstLine="640" w:firstLineChars="200"/>
        <w:rPr>
          <w:rFonts w:eastAsia="仿宋"/>
          <w:sz w:val="32"/>
          <w:szCs w:val="32"/>
        </w:rPr>
      </w:pPr>
      <w:r>
        <w:rPr>
          <w:rFonts w:eastAsia="仿宋"/>
          <w:sz w:val="32"/>
          <w:szCs w:val="32"/>
        </w:rPr>
        <w:t>2022年，达川区</w:t>
      </w:r>
      <w:r>
        <w:rPr>
          <w:rFonts w:hint="eastAsia" w:eastAsia="仿宋"/>
          <w:sz w:val="32"/>
          <w:szCs w:val="32"/>
          <w:lang w:eastAsia="zh-CN"/>
        </w:rPr>
        <w:t>逸夫小学</w:t>
      </w:r>
      <w:r>
        <w:rPr>
          <w:rFonts w:eastAsia="仿宋"/>
          <w:sz w:val="32"/>
          <w:szCs w:val="32"/>
        </w:rPr>
        <w:t>政府采购支出总额0万元，其中：政府采购货物支出0万元、政府采购工程支出0万元、政府采购服务支出0万元。</w:t>
      </w:r>
    </w:p>
    <w:p>
      <w:pPr>
        <w:autoSpaceDE w:val="0"/>
        <w:autoSpaceDN w:val="0"/>
        <w:adjustRightInd w:val="0"/>
        <w:spacing w:line="578" w:lineRule="exact"/>
        <w:ind w:firstLine="640" w:firstLineChars="200"/>
        <w:rPr>
          <w:rFonts w:hint="eastAsia" w:ascii="方正楷体_GBK" w:hAnsi="方正楷体_GBK" w:eastAsia="方正楷体_GBK" w:cs="方正楷体_GBK"/>
          <w:b w:val="0"/>
          <w:bCs/>
          <w:sz w:val="32"/>
          <w:szCs w:val="32"/>
        </w:rPr>
      </w:pPr>
      <w:bookmarkStart w:id="48" w:name="_Toc15377224"/>
      <w:r>
        <w:rPr>
          <w:rFonts w:hint="eastAsia" w:ascii="方正楷体_GBK" w:hAnsi="方正楷体_GBK" w:eastAsia="方正楷体_GBK" w:cs="方正楷体_GBK"/>
          <w:b w:val="0"/>
          <w:bCs/>
          <w:sz w:val="32"/>
          <w:szCs w:val="32"/>
        </w:rPr>
        <w:t>（三）国有资产占有使用情况</w:t>
      </w:r>
      <w:bookmarkEnd w:id="48"/>
    </w:p>
    <w:p>
      <w:pPr>
        <w:autoSpaceDE w:val="0"/>
        <w:autoSpaceDN w:val="0"/>
        <w:adjustRightInd w:val="0"/>
        <w:spacing w:line="578" w:lineRule="exact"/>
        <w:ind w:firstLine="640" w:firstLineChars="200"/>
        <w:rPr>
          <w:rFonts w:eastAsia="仿宋_GB2312"/>
          <w:sz w:val="32"/>
          <w:szCs w:val="32"/>
        </w:rPr>
      </w:pPr>
      <w:r>
        <w:rPr>
          <w:rFonts w:eastAsia="仿宋"/>
          <w:sz w:val="32"/>
          <w:szCs w:val="32"/>
        </w:rPr>
        <w:t>截至2022年12月31日，达川区</w:t>
      </w:r>
      <w:r>
        <w:rPr>
          <w:rFonts w:hint="eastAsia" w:eastAsia="仿宋"/>
          <w:sz w:val="32"/>
          <w:szCs w:val="32"/>
          <w:lang w:eastAsia="zh-CN"/>
        </w:rPr>
        <w:t>逸夫小学</w:t>
      </w:r>
      <w:r>
        <w:rPr>
          <w:rFonts w:eastAsia="仿宋"/>
          <w:sz w:val="32"/>
          <w:szCs w:val="32"/>
        </w:rPr>
        <w:t>共有车辆0辆，其中：主要领导干部用车0辆、机要通信车0辆、应急保障用车0辆、其他用车0辆。单价100万元以上专用设备0台（套）。</w:t>
      </w:r>
    </w:p>
    <w:p>
      <w:pPr>
        <w:autoSpaceDE w:val="0"/>
        <w:autoSpaceDN w:val="0"/>
        <w:adjustRightInd w:val="0"/>
        <w:spacing w:line="578"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（四）预算绩效管理情况</w:t>
      </w:r>
    </w:p>
    <w:p>
      <w:pPr>
        <w:autoSpaceDE w:val="0"/>
        <w:autoSpaceDN w:val="0"/>
        <w:adjustRightInd w:val="0"/>
        <w:spacing w:line="578" w:lineRule="exact"/>
        <w:ind w:firstLine="640" w:firstLineChars="200"/>
        <w:rPr>
          <w:rFonts w:hint="eastAsia" w:eastAsia="仿宋"/>
          <w:sz w:val="32"/>
          <w:szCs w:val="32"/>
          <w:lang w:eastAsia="zh-CN"/>
        </w:rPr>
      </w:pPr>
      <w:r>
        <w:rPr>
          <w:rFonts w:hint="eastAsia" w:eastAsia="仿宋"/>
          <w:sz w:val="32"/>
          <w:szCs w:val="32"/>
          <w:lang w:eastAsia="zh-CN"/>
        </w:rPr>
        <w:t>根据预算绩效管理要求，本部门在2022年度预算编制阶段，组织对0个项目开展了预算事前绩效评估，对达川区逸夫小学购买安保服务专项等5个项目编制了绩效目标，预算执行过程中，选取达川区逸夫小学购买安保服务专项等</w:t>
      </w:r>
      <w:r>
        <w:rPr>
          <w:rFonts w:hint="eastAsia" w:eastAsia="仿宋"/>
          <w:sz w:val="32"/>
          <w:szCs w:val="32"/>
          <w:lang w:val="en-US" w:eastAsia="zh-CN"/>
        </w:rPr>
        <w:t>5</w:t>
      </w:r>
      <w:r>
        <w:rPr>
          <w:rFonts w:hint="eastAsia" w:eastAsia="仿宋"/>
          <w:sz w:val="32"/>
          <w:szCs w:val="32"/>
          <w:lang w:eastAsia="zh-CN"/>
        </w:rPr>
        <w:t>个项目开展绩效监控。</w:t>
      </w:r>
    </w:p>
    <w:p>
      <w:pPr>
        <w:autoSpaceDE w:val="0"/>
        <w:autoSpaceDN w:val="0"/>
        <w:adjustRightInd w:val="0"/>
        <w:spacing w:line="578" w:lineRule="exact"/>
        <w:ind w:firstLine="640" w:firstLineChars="200"/>
        <w:rPr>
          <w:rFonts w:hint="eastAsia" w:eastAsia="仿宋"/>
          <w:sz w:val="32"/>
          <w:szCs w:val="32"/>
          <w:lang w:eastAsia="zh-CN"/>
        </w:rPr>
      </w:pPr>
      <w:r>
        <w:rPr>
          <w:rFonts w:hint="eastAsia" w:eastAsia="仿宋"/>
          <w:sz w:val="32"/>
          <w:szCs w:val="32"/>
          <w:lang w:eastAsia="zh-CN"/>
        </w:rPr>
        <w:t>本部门组织对2022年度一般公共预算、政府性基金预算、国有资本经营预算、社会保险基金预算以及资本资产、债券资金等全面开展绩效自评，形成达川区逸夫小学部门整体（含部门预算项目）绩效自评报告、达川区逸夫小学购买安保服务专项项目等专项预算项目绩效自评报告。其中，达川区逸夫小学部门整体（含部门预算项目）绩效自评得分为8</w:t>
      </w:r>
      <w:r>
        <w:rPr>
          <w:rFonts w:hint="eastAsia" w:eastAsia="仿宋"/>
          <w:sz w:val="32"/>
          <w:szCs w:val="32"/>
          <w:lang w:val="en-US" w:eastAsia="zh-CN"/>
        </w:rPr>
        <w:t>6</w:t>
      </w:r>
      <w:r>
        <w:rPr>
          <w:rFonts w:hint="eastAsia" w:eastAsia="仿宋"/>
          <w:sz w:val="32"/>
          <w:szCs w:val="32"/>
          <w:lang w:eastAsia="zh-CN"/>
        </w:rPr>
        <w:t>分，绩效自评综述：按照2022年度区级部门整体支出绩效评价指标体系，绩效评价总分90分，我单位得分8</w:t>
      </w:r>
      <w:r>
        <w:rPr>
          <w:rFonts w:hint="eastAsia" w:eastAsia="仿宋"/>
          <w:sz w:val="32"/>
          <w:szCs w:val="32"/>
          <w:lang w:val="en-US" w:eastAsia="zh-CN"/>
        </w:rPr>
        <w:t>6</w:t>
      </w:r>
      <w:r>
        <w:rPr>
          <w:rFonts w:hint="eastAsia" w:eastAsia="仿宋"/>
          <w:sz w:val="32"/>
          <w:szCs w:val="32"/>
          <w:lang w:eastAsia="zh-CN"/>
        </w:rPr>
        <w:t>分（详见《2023年整体支出绩效评价指标体系表》）。基本完成了年度预算绩效管理目标，扣分项主要涉及预算调整金额偏大和个别时间节点，预算执行进度不高。</w:t>
      </w:r>
    </w:p>
    <w:p>
      <w:pPr>
        <w:autoSpaceDE w:val="0"/>
        <w:autoSpaceDN w:val="0"/>
        <w:adjustRightInd w:val="0"/>
        <w:spacing w:line="578" w:lineRule="exact"/>
        <w:ind w:firstLine="640" w:firstLineChars="200"/>
        <w:rPr>
          <w:rFonts w:hint="eastAsia" w:eastAsia="仿宋"/>
          <w:sz w:val="32"/>
          <w:szCs w:val="32"/>
          <w:lang w:eastAsia="zh-CN"/>
        </w:rPr>
      </w:pPr>
      <w:r>
        <w:rPr>
          <w:rFonts w:hint="eastAsia" w:eastAsia="仿宋"/>
          <w:sz w:val="32"/>
          <w:szCs w:val="32"/>
          <w:lang w:eastAsia="zh-CN"/>
        </w:rPr>
        <w:t>1.达川区逸夫小学宣传工作经费专项预算项目绩效自评得分为100分，绩效自评综述：该项目在年初制定申报财政预算金额共</w:t>
      </w:r>
      <w:r>
        <w:rPr>
          <w:rFonts w:hint="eastAsia" w:eastAsia="仿宋"/>
          <w:sz w:val="32"/>
          <w:szCs w:val="32"/>
          <w:lang w:val="en-US" w:eastAsia="zh-CN"/>
        </w:rPr>
        <w:t>9</w:t>
      </w:r>
      <w:r>
        <w:rPr>
          <w:rFonts w:hint="eastAsia" w:eastAsia="仿宋"/>
          <w:sz w:val="32"/>
          <w:szCs w:val="32"/>
          <w:lang w:eastAsia="zh-CN"/>
        </w:rPr>
        <w:t>万元，区财政局年初预算下达</w:t>
      </w:r>
      <w:r>
        <w:rPr>
          <w:rFonts w:hint="eastAsia" w:eastAsia="仿宋"/>
          <w:sz w:val="32"/>
          <w:szCs w:val="32"/>
          <w:lang w:val="en-US" w:eastAsia="zh-CN"/>
        </w:rPr>
        <w:t>9</w:t>
      </w:r>
      <w:r>
        <w:rPr>
          <w:rFonts w:hint="eastAsia" w:eastAsia="仿宋"/>
          <w:sz w:val="32"/>
          <w:szCs w:val="32"/>
          <w:lang w:eastAsia="zh-CN"/>
        </w:rPr>
        <w:t>万元，年底实际下达</w:t>
      </w:r>
      <w:r>
        <w:rPr>
          <w:rFonts w:hint="eastAsia" w:eastAsia="仿宋"/>
          <w:sz w:val="32"/>
          <w:szCs w:val="32"/>
          <w:lang w:val="en-US" w:eastAsia="zh-CN"/>
        </w:rPr>
        <w:t>9</w:t>
      </w:r>
      <w:r>
        <w:rPr>
          <w:rFonts w:hint="eastAsia" w:eastAsia="仿宋"/>
          <w:sz w:val="32"/>
          <w:szCs w:val="32"/>
          <w:lang w:eastAsia="zh-CN"/>
        </w:rPr>
        <w:t>万元。项目目标全部顺利完成，在项目管理上严格按照项目预算批复，项目批复后严格按专项资金有关规定执行，在项目完成上严格按照申报计划和上级批复要求进行实施，按质按量全面完成，并通过验收。</w:t>
      </w:r>
    </w:p>
    <w:p>
      <w:pPr>
        <w:autoSpaceDE w:val="0"/>
        <w:autoSpaceDN w:val="0"/>
        <w:adjustRightInd w:val="0"/>
        <w:spacing w:line="578" w:lineRule="exact"/>
        <w:ind w:firstLine="640" w:firstLineChars="200"/>
        <w:rPr>
          <w:rFonts w:hint="eastAsia" w:eastAsia="仿宋"/>
          <w:sz w:val="32"/>
          <w:szCs w:val="32"/>
          <w:lang w:eastAsia="zh-CN"/>
        </w:rPr>
      </w:pPr>
      <w:r>
        <w:rPr>
          <w:rFonts w:hint="eastAsia" w:eastAsia="仿宋"/>
          <w:sz w:val="32"/>
          <w:szCs w:val="32"/>
          <w:lang w:eastAsia="zh-CN"/>
        </w:rPr>
        <w:t>2.达川区逸夫小学购买安保服务专项预算项目绩效自评得分为100分，绩效自评综述：该项目在年初制定申报财政预算金额共</w:t>
      </w:r>
      <w:r>
        <w:rPr>
          <w:rFonts w:hint="eastAsia" w:eastAsia="仿宋"/>
          <w:sz w:val="32"/>
          <w:szCs w:val="32"/>
          <w:lang w:val="en-US" w:eastAsia="zh-CN"/>
        </w:rPr>
        <w:t>15</w:t>
      </w:r>
      <w:r>
        <w:rPr>
          <w:rFonts w:hint="eastAsia" w:eastAsia="仿宋"/>
          <w:sz w:val="32"/>
          <w:szCs w:val="32"/>
          <w:lang w:eastAsia="zh-CN"/>
        </w:rPr>
        <w:t>万元，区财政局年初预算下达</w:t>
      </w:r>
      <w:r>
        <w:rPr>
          <w:rFonts w:hint="eastAsia" w:eastAsia="仿宋"/>
          <w:sz w:val="32"/>
          <w:szCs w:val="32"/>
          <w:lang w:val="en-US" w:eastAsia="zh-CN"/>
        </w:rPr>
        <w:t>15</w:t>
      </w:r>
      <w:r>
        <w:rPr>
          <w:rFonts w:hint="eastAsia" w:eastAsia="仿宋"/>
          <w:sz w:val="32"/>
          <w:szCs w:val="32"/>
          <w:lang w:eastAsia="zh-CN"/>
        </w:rPr>
        <w:t>万元，年底实际下达</w:t>
      </w:r>
      <w:r>
        <w:rPr>
          <w:rFonts w:hint="eastAsia" w:eastAsia="仿宋"/>
          <w:sz w:val="32"/>
          <w:szCs w:val="32"/>
          <w:lang w:val="en-US" w:eastAsia="zh-CN"/>
        </w:rPr>
        <w:t>15</w:t>
      </w:r>
      <w:r>
        <w:rPr>
          <w:rFonts w:hint="eastAsia" w:eastAsia="仿宋"/>
          <w:sz w:val="32"/>
          <w:szCs w:val="32"/>
          <w:lang w:eastAsia="zh-CN"/>
        </w:rPr>
        <w:t>万元。项目目标全部顺利完成，在项目管理上严格按照项目预算批复，项目批复后严格按专项资金有关规定执行，在项目完成上严格按照申报计划和上级批复要求进行实施，按质按量全面完成，并通过验收。</w:t>
      </w:r>
    </w:p>
    <w:p>
      <w:pPr>
        <w:autoSpaceDE w:val="0"/>
        <w:autoSpaceDN w:val="0"/>
        <w:adjustRightInd w:val="0"/>
        <w:spacing w:line="578" w:lineRule="exact"/>
        <w:ind w:firstLine="640" w:firstLineChars="200"/>
        <w:rPr>
          <w:rFonts w:hint="eastAsia" w:eastAsia="仿宋"/>
          <w:sz w:val="32"/>
          <w:szCs w:val="32"/>
          <w:lang w:eastAsia="zh-CN"/>
        </w:rPr>
      </w:pPr>
      <w:r>
        <w:rPr>
          <w:rFonts w:hint="eastAsia" w:eastAsia="仿宋"/>
          <w:sz w:val="32"/>
          <w:szCs w:val="32"/>
          <w:lang w:eastAsia="zh-CN"/>
        </w:rPr>
        <w:t>3.</w:t>
      </w:r>
      <w:r>
        <w:rPr>
          <w:rFonts w:hint="eastAsia" w:eastAsia="仿宋"/>
          <w:sz w:val="32"/>
          <w:szCs w:val="32"/>
          <w:lang w:val="en-US" w:eastAsia="zh-CN"/>
        </w:rPr>
        <w:t>达川区逸夫小学附属楼维修和改造项目</w:t>
      </w:r>
      <w:r>
        <w:rPr>
          <w:rFonts w:hint="eastAsia" w:eastAsia="仿宋"/>
          <w:sz w:val="32"/>
          <w:szCs w:val="32"/>
          <w:lang w:eastAsia="zh-CN"/>
        </w:rPr>
        <w:t>专项预算项目绩效自评得分为100分，绩效自评综述：该项目在年初制定申报财政预算金额共</w:t>
      </w:r>
      <w:r>
        <w:rPr>
          <w:rFonts w:hint="eastAsia" w:eastAsia="仿宋"/>
          <w:sz w:val="32"/>
          <w:szCs w:val="32"/>
          <w:lang w:val="en-US" w:eastAsia="zh-CN"/>
        </w:rPr>
        <w:t>7.95</w:t>
      </w:r>
      <w:r>
        <w:rPr>
          <w:rFonts w:hint="eastAsia" w:eastAsia="仿宋"/>
          <w:sz w:val="32"/>
          <w:szCs w:val="32"/>
          <w:lang w:eastAsia="zh-CN"/>
        </w:rPr>
        <w:t>万元，区财政局年初预算下达</w:t>
      </w:r>
      <w:r>
        <w:rPr>
          <w:rFonts w:hint="eastAsia" w:eastAsia="仿宋"/>
          <w:sz w:val="32"/>
          <w:szCs w:val="32"/>
          <w:lang w:val="en-US" w:eastAsia="zh-CN"/>
        </w:rPr>
        <w:t>7.95</w:t>
      </w:r>
      <w:r>
        <w:rPr>
          <w:rFonts w:hint="eastAsia" w:eastAsia="仿宋"/>
          <w:sz w:val="32"/>
          <w:szCs w:val="32"/>
          <w:lang w:eastAsia="zh-CN"/>
        </w:rPr>
        <w:t>万元，年底实际下达</w:t>
      </w:r>
      <w:r>
        <w:rPr>
          <w:rFonts w:hint="eastAsia" w:eastAsia="仿宋"/>
          <w:sz w:val="32"/>
          <w:szCs w:val="32"/>
          <w:lang w:val="en-US" w:eastAsia="zh-CN"/>
        </w:rPr>
        <w:t>7.95</w:t>
      </w:r>
      <w:r>
        <w:rPr>
          <w:rFonts w:hint="eastAsia" w:eastAsia="仿宋"/>
          <w:sz w:val="32"/>
          <w:szCs w:val="32"/>
          <w:lang w:eastAsia="zh-CN"/>
        </w:rPr>
        <w:t>万元。项目目标全部顺利完成，在项目管理上严格按照项目预算批复，项目批复后严格按专项资金有关规定执行，在项目完成上严格按照申报计划和上级批复要求进行实施，按质按量全面完成，并通过验收。</w:t>
      </w:r>
    </w:p>
    <w:p>
      <w:pPr>
        <w:autoSpaceDE w:val="0"/>
        <w:autoSpaceDN w:val="0"/>
        <w:adjustRightInd w:val="0"/>
        <w:spacing w:line="578" w:lineRule="exact"/>
        <w:ind w:firstLine="640" w:firstLineChars="200"/>
        <w:rPr>
          <w:rFonts w:hint="eastAsia" w:eastAsia="仿宋"/>
          <w:sz w:val="32"/>
          <w:szCs w:val="32"/>
          <w:lang w:eastAsia="zh-CN"/>
        </w:rPr>
      </w:pPr>
      <w:r>
        <w:rPr>
          <w:rFonts w:hint="eastAsia" w:eastAsia="仿宋"/>
          <w:sz w:val="32"/>
          <w:szCs w:val="32"/>
          <w:lang w:eastAsia="zh-CN"/>
        </w:rPr>
        <w:t>4.达川区逸夫小学三名工作室专项预算项目绩效自评得分为100分，绩效自评综述：该项目在年初制定申报财政预算金额共</w:t>
      </w:r>
      <w:r>
        <w:rPr>
          <w:rFonts w:hint="eastAsia" w:eastAsia="仿宋"/>
          <w:sz w:val="32"/>
          <w:szCs w:val="32"/>
          <w:lang w:val="en-US" w:eastAsia="zh-CN"/>
        </w:rPr>
        <w:t>2.30</w:t>
      </w:r>
      <w:r>
        <w:rPr>
          <w:rFonts w:hint="eastAsia" w:eastAsia="仿宋"/>
          <w:sz w:val="32"/>
          <w:szCs w:val="32"/>
          <w:lang w:eastAsia="zh-CN"/>
        </w:rPr>
        <w:t>万元，区财政局年初预算下达</w:t>
      </w:r>
      <w:r>
        <w:rPr>
          <w:rFonts w:hint="eastAsia" w:eastAsia="仿宋"/>
          <w:sz w:val="32"/>
          <w:szCs w:val="32"/>
          <w:lang w:val="en-US" w:eastAsia="zh-CN"/>
        </w:rPr>
        <w:t>2.30</w:t>
      </w:r>
      <w:r>
        <w:rPr>
          <w:rFonts w:hint="eastAsia" w:eastAsia="仿宋"/>
          <w:sz w:val="32"/>
          <w:szCs w:val="32"/>
          <w:lang w:eastAsia="zh-CN"/>
        </w:rPr>
        <w:t>万元，年底实际下达</w:t>
      </w:r>
      <w:r>
        <w:rPr>
          <w:rFonts w:hint="eastAsia" w:eastAsia="仿宋"/>
          <w:sz w:val="32"/>
          <w:szCs w:val="32"/>
          <w:lang w:val="en-US" w:eastAsia="zh-CN"/>
        </w:rPr>
        <w:t>2.30</w:t>
      </w:r>
      <w:r>
        <w:rPr>
          <w:rFonts w:hint="eastAsia" w:eastAsia="仿宋"/>
          <w:sz w:val="32"/>
          <w:szCs w:val="32"/>
          <w:lang w:eastAsia="zh-CN"/>
        </w:rPr>
        <w:t>万元。项目目标全部顺利完成，在项目管理上严格按照项目预算批复，项目批复后严格按专项资金有关规定执行，在项目完成上严格按照申报计划和上级批复要求进行实施，按质按量全面完成，并通过验收。</w:t>
      </w:r>
    </w:p>
    <w:p>
      <w:pPr>
        <w:autoSpaceDE w:val="0"/>
        <w:autoSpaceDN w:val="0"/>
        <w:adjustRightInd w:val="0"/>
        <w:spacing w:line="578" w:lineRule="exact"/>
        <w:ind w:firstLine="640" w:firstLineChars="200"/>
        <w:rPr>
          <w:rFonts w:hint="eastAsia" w:eastAsia="仿宋"/>
          <w:sz w:val="32"/>
          <w:szCs w:val="32"/>
          <w:lang w:eastAsia="zh-CN"/>
        </w:rPr>
      </w:pPr>
      <w:r>
        <w:rPr>
          <w:rFonts w:hint="eastAsia" w:eastAsia="仿宋"/>
          <w:sz w:val="32"/>
          <w:szCs w:val="32"/>
          <w:lang w:val="en-US" w:eastAsia="zh-CN"/>
        </w:rPr>
        <w:t xml:space="preserve"> 5</w:t>
      </w:r>
      <w:r>
        <w:rPr>
          <w:rFonts w:hint="eastAsia" w:eastAsia="仿宋"/>
          <w:sz w:val="32"/>
          <w:szCs w:val="32"/>
          <w:lang w:eastAsia="zh-CN"/>
        </w:rPr>
        <w:t>.达川区逸夫小学教育联盟专项预算项目绩效自评得分为100分，绩效自评综述：该项目在年初制定申报财政预算金额共</w:t>
      </w:r>
      <w:r>
        <w:rPr>
          <w:rFonts w:hint="eastAsia" w:eastAsia="仿宋"/>
          <w:sz w:val="32"/>
          <w:szCs w:val="32"/>
          <w:lang w:val="en-US" w:eastAsia="zh-CN"/>
        </w:rPr>
        <w:t>2.20</w:t>
      </w:r>
      <w:r>
        <w:rPr>
          <w:rFonts w:hint="eastAsia" w:eastAsia="仿宋"/>
          <w:sz w:val="32"/>
          <w:szCs w:val="32"/>
          <w:lang w:eastAsia="zh-CN"/>
        </w:rPr>
        <w:t>万元，区财政局年初预算下达</w:t>
      </w:r>
      <w:r>
        <w:rPr>
          <w:rFonts w:hint="eastAsia" w:eastAsia="仿宋"/>
          <w:sz w:val="32"/>
          <w:szCs w:val="32"/>
          <w:lang w:val="en-US" w:eastAsia="zh-CN"/>
        </w:rPr>
        <w:t>2.20</w:t>
      </w:r>
      <w:r>
        <w:rPr>
          <w:rFonts w:hint="eastAsia" w:eastAsia="仿宋"/>
          <w:sz w:val="32"/>
          <w:szCs w:val="32"/>
          <w:lang w:eastAsia="zh-CN"/>
        </w:rPr>
        <w:t>万元，年底实际下达</w:t>
      </w:r>
      <w:r>
        <w:rPr>
          <w:rFonts w:hint="eastAsia" w:eastAsia="仿宋"/>
          <w:sz w:val="32"/>
          <w:szCs w:val="32"/>
          <w:lang w:val="en-US" w:eastAsia="zh-CN"/>
        </w:rPr>
        <w:t>2.20</w:t>
      </w:r>
      <w:r>
        <w:rPr>
          <w:rFonts w:hint="eastAsia" w:eastAsia="仿宋"/>
          <w:sz w:val="32"/>
          <w:szCs w:val="32"/>
          <w:lang w:eastAsia="zh-CN"/>
        </w:rPr>
        <w:t>万元。项目目标全部顺利完成，在项目管理上严格按照项目预算批复，项目批复后严格按专项资金有关规定执行，在项目完成上严格按照申报计划和上级批复要求进行实施，按质按量全面完成，并通过验收。</w:t>
      </w:r>
    </w:p>
    <w:p>
      <w:pPr>
        <w:pStyle w:val="6"/>
        <w:rPr>
          <w:rFonts w:hint="default" w:eastAsia="仿宋_GB2312"/>
          <w:lang w:val="en-US" w:eastAsia="zh-CN"/>
        </w:rPr>
      </w:pPr>
    </w:p>
    <w:p>
      <w:pPr>
        <w:autoSpaceDE w:val="0"/>
        <w:autoSpaceDN w:val="0"/>
        <w:adjustRightInd w:val="0"/>
        <w:spacing w:line="578" w:lineRule="exact"/>
        <w:ind w:firstLine="640" w:firstLineChars="200"/>
        <w:rPr>
          <w:rFonts w:hint="eastAsia" w:eastAsia="仿宋"/>
          <w:sz w:val="32"/>
          <w:szCs w:val="32"/>
          <w:lang w:eastAsia="zh-CN"/>
        </w:rPr>
      </w:pPr>
      <w:r>
        <w:rPr>
          <w:rFonts w:hint="eastAsia" w:eastAsia="仿宋"/>
          <w:sz w:val="32"/>
          <w:szCs w:val="32"/>
          <w:lang w:eastAsia="zh-CN"/>
        </w:rPr>
        <w:t>绩效自评报告详见附件。</w:t>
      </w:r>
    </w:p>
    <w:p>
      <w:pPr>
        <w:widowControl/>
        <w:spacing w:line="578" w:lineRule="exact"/>
        <w:ind w:firstLine="640" w:firstLineChars="200"/>
        <w:rPr>
          <w:rFonts w:eastAsia="仿宋_GB2312"/>
          <w:sz w:val="32"/>
          <w:szCs w:val="32"/>
        </w:rPr>
      </w:pPr>
    </w:p>
    <w:p>
      <w:pPr>
        <w:widowControl/>
        <w:spacing w:line="578" w:lineRule="exact"/>
        <w:ind w:firstLine="643" w:firstLineChars="200"/>
        <w:rPr>
          <w:rFonts w:eastAsia="仿宋_GB2312"/>
          <w:b/>
          <w:sz w:val="32"/>
          <w:szCs w:val="32"/>
        </w:rPr>
      </w:pPr>
      <w:r>
        <w:rPr>
          <w:rFonts w:eastAsia="仿宋_GB2312"/>
          <w:b/>
          <w:sz w:val="32"/>
          <w:szCs w:val="32"/>
        </w:rPr>
        <w:br w:type="page"/>
      </w:r>
    </w:p>
    <w:p>
      <w:pPr>
        <w:numPr>
          <w:ilvl w:val="0"/>
          <w:numId w:val="2"/>
        </w:numPr>
        <w:spacing w:line="600" w:lineRule="exact"/>
        <w:ind w:firstLine="660" w:firstLineChars="150"/>
        <w:jc w:val="center"/>
        <w:outlineLvl w:val="0"/>
        <w:rPr>
          <w:rStyle w:val="29"/>
          <w:rFonts w:eastAsia="黑体"/>
          <w:b w:val="0"/>
        </w:rPr>
      </w:pPr>
      <w:bookmarkStart w:id="49" w:name="_Toc15377225"/>
      <w:bookmarkStart w:id="50" w:name="_Toc15396613"/>
      <w:r>
        <w:rPr>
          <w:rFonts w:eastAsia="黑体"/>
          <w:sz w:val="44"/>
          <w:szCs w:val="44"/>
        </w:rPr>
        <w:t>名</w:t>
      </w:r>
      <w:r>
        <w:rPr>
          <w:rStyle w:val="29"/>
          <w:rFonts w:eastAsia="黑体"/>
          <w:b w:val="0"/>
        </w:rPr>
        <w:t>词解释</w:t>
      </w:r>
      <w:bookmarkEnd w:id="49"/>
      <w:bookmarkEnd w:id="50"/>
    </w:p>
    <w:p>
      <w:pPr>
        <w:spacing w:line="600" w:lineRule="exact"/>
        <w:jc w:val="left"/>
        <w:rPr>
          <w:b/>
          <w:sz w:val="44"/>
          <w:szCs w:val="44"/>
        </w:rPr>
      </w:pP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4.其他收入：指单位取得的除上述收入以外的各项收入。</w:t>
      </w: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5.使用非财政拨款结余：指事业单位使用以前年度积累的非财政拨款结余弥补当年收支差额的金额。</w:t>
      </w: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6.年初结转和结余：指以前年度尚未完成、结转到本年按有关规定继续使用的资金。</w:t>
      </w: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pPr>
        <w:spacing w:line="578" w:lineRule="exact"/>
        <w:ind w:firstLine="640" w:firstLineChars="200"/>
        <w:rPr>
          <w:rFonts w:eastAsia="仿宋_GB2312"/>
          <w:sz w:val="32"/>
          <w:szCs w:val="32"/>
        </w:rPr>
      </w:pPr>
      <w:r>
        <w:rPr>
          <w:rFonts w:eastAsia="仿宋_GB2312"/>
          <w:sz w:val="32"/>
          <w:szCs w:val="32"/>
        </w:rPr>
        <w:t>9.教育（205类）普通教育（02款）</w:t>
      </w:r>
      <w:r>
        <w:rPr>
          <w:rFonts w:hint="eastAsia" w:eastAsia="仿宋_GB2312"/>
          <w:sz w:val="32"/>
          <w:szCs w:val="32"/>
          <w:lang w:eastAsia="zh-CN"/>
        </w:rPr>
        <w:t>小学</w:t>
      </w:r>
      <w:r>
        <w:rPr>
          <w:rFonts w:eastAsia="仿宋_GB2312"/>
          <w:sz w:val="32"/>
          <w:szCs w:val="32"/>
        </w:rPr>
        <w:t>教育（0</w:t>
      </w:r>
      <w:r>
        <w:rPr>
          <w:rFonts w:hint="eastAsia" w:eastAsia="仿宋_GB2312"/>
          <w:sz w:val="32"/>
          <w:szCs w:val="32"/>
          <w:lang w:val="en-US" w:eastAsia="zh-CN"/>
        </w:rPr>
        <w:t>2</w:t>
      </w:r>
      <w:r>
        <w:rPr>
          <w:rFonts w:eastAsia="仿宋_GB2312"/>
          <w:sz w:val="32"/>
          <w:szCs w:val="32"/>
        </w:rPr>
        <w:t>项）：指各部门举办的</w:t>
      </w:r>
      <w:r>
        <w:rPr>
          <w:rFonts w:hint="eastAsia" w:eastAsia="仿宋_GB2312"/>
          <w:sz w:val="32"/>
          <w:szCs w:val="32"/>
          <w:lang w:eastAsia="zh-CN"/>
        </w:rPr>
        <w:t>小学</w:t>
      </w:r>
      <w:r>
        <w:rPr>
          <w:rFonts w:eastAsia="仿宋_GB2312"/>
          <w:sz w:val="32"/>
          <w:szCs w:val="32"/>
        </w:rPr>
        <w:t>教育支出。政府各部门对社会组织等举办的</w:t>
      </w:r>
      <w:r>
        <w:rPr>
          <w:rFonts w:hint="eastAsia" w:eastAsia="仿宋_GB2312"/>
          <w:sz w:val="32"/>
          <w:szCs w:val="32"/>
          <w:lang w:eastAsia="zh-CN"/>
        </w:rPr>
        <w:t>小学</w:t>
      </w:r>
      <w:r>
        <w:rPr>
          <w:rFonts w:eastAsia="仿宋_GB2312"/>
          <w:sz w:val="32"/>
          <w:szCs w:val="32"/>
        </w:rPr>
        <w:t>的资助，如捐赠、补贴等，也在本科目中反映。</w:t>
      </w:r>
    </w:p>
    <w:p>
      <w:pPr>
        <w:spacing w:line="578" w:lineRule="exact"/>
        <w:ind w:firstLine="640" w:firstLineChars="200"/>
        <w:rPr>
          <w:rFonts w:eastAsia="仿宋_GB2312"/>
          <w:sz w:val="32"/>
          <w:szCs w:val="32"/>
        </w:rPr>
      </w:pPr>
      <w:r>
        <w:rPr>
          <w:rFonts w:eastAsia="仿宋_GB2312"/>
          <w:sz w:val="32"/>
          <w:szCs w:val="32"/>
        </w:rPr>
        <w:t>10.社会保障和就业（208类）行政事业单位养老支出（05款）机关事业单位基本养老保险缴费支出（05项）：指机关事业单位实施养老保险制度由单位缴纳的基本养老保险费支出。</w:t>
      </w:r>
    </w:p>
    <w:p>
      <w:pPr>
        <w:spacing w:line="578" w:lineRule="exact"/>
        <w:ind w:firstLine="640" w:firstLineChars="200"/>
        <w:rPr>
          <w:rFonts w:eastAsia="仿宋_GB2312"/>
          <w:sz w:val="32"/>
          <w:szCs w:val="32"/>
        </w:rPr>
      </w:pPr>
      <w:r>
        <w:rPr>
          <w:rFonts w:eastAsia="仿宋_GB2312"/>
          <w:sz w:val="32"/>
          <w:szCs w:val="32"/>
        </w:rPr>
        <w:t>11.卫生健康（201类）行政事业单位医疗（11款）事业单位医疗（02项）：指财政部门安排的事业单位基本医疗保险缴费经费，未参加医疗保险的事业单位的公费医疗经费，按国家规定享受离休人员待遇的医疗经费。</w:t>
      </w:r>
    </w:p>
    <w:p>
      <w:pPr>
        <w:spacing w:line="578" w:lineRule="exact"/>
        <w:ind w:firstLine="640" w:firstLineChars="200"/>
        <w:rPr>
          <w:rFonts w:eastAsia="仿宋_GB2312"/>
          <w:sz w:val="32"/>
          <w:szCs w:val="32"/>
        </w:rPr>
      </w:pPr>
      <w:r>
        <w:rPr>
          <w:rFonts w:eastAsia="仿宋_GB2312"/>
          <w:sz w:val="32"/>
          <w:szCs w:val="32"/>
        </w:rPr>
        <w:t xml:space="preserve">12.住房保障支出（221类）住房改革支出（02款）住房公积金（01项）：指财政部门安排的用于住房方面的支出，按人力资源和社会保障部、财政部规定的基本工资和津贴补贴以及规定比例为职工缴纳的住房公积金。 </w:t>
      </w:r>
    </w:p>
    <w:p>
      <w:pPr>
        <w:spacing w:line="578" w:lineRule="exact"/>
        <w:ind w:firstLine="640" w:firstLineChars="200"/>
        <w:rPr>
          <w:rFonts w:eastAsia="仿宋_GB2312"/>
          <w:sz w:val="32"/>
          <w:szCs w:val="32"/>
        </w:rPr>
      </w:pPr>
      <w:r>
        <w:rPr>
          <w:rFonts w:eastAsia="仿宋_GB2312"/>
          <w:sz w:val="32"/>
          <w:szCs w:val="32"/>
        </w:rPr>
        <w:t>13.基本支出：指为保障机构正常运转、完成日常工作任务而发生的人员支出和公用支出。</w:t>
      </w:r>
    </w:p>
    <w:p>
      <w:pPr>
        <w:spacing w:line="578" w:lineRule="exact"/>
        <w:ind w:firstLine="640" w:firstLineChars="200"/>
        <w:rPr>
          <w:rFonts w:eastAsia="仿宋_GB2312"/>
          <w:sz w:val="32"/>
          <w:szCs w:val="32"/>
        </w:rPr>
      </w:pPr>
      <w:r>
        <w:rPr>
          <w:rFonts w:eastAsia="仿宋_GB2312"/>
          <w:sz w:val="32"/>
          <w:szCs w:val="32"/>
        </w:rPr>
        <w:t xml:space="preserve">14.项目支出：指在基本支出之外为完成特定行政任务和事业发展目标所发生的支出。 </w:t>
      </w:r>
    </w:p>
    <w:p>
      <w:pPr>
        <w:spacing w:line="578" w:lineRule="exact"/>
        <w:ind w:firstLine="640" w:firstLineChars="200"/>
        <w:rPr>
          <w:rFonts w:eastAsia="仿宋_GB2312"/>
          <w:sz w:val="32"/>
          <w:szCs w:val="32"/>
        </w:rPr>
      </w:pPr>
      <w:r>
        <w:rPr>
          <w:rFonts w:eastAsia="仿宋_GB2312"/>
          <w:sz w:val="32"/>
          <w:szCs w:val="32"/>
        </w:rPr>
        <w:t>15.经营支出：指事业单位在专业业务活动及其辅助活动之外开展非独立核算经营活动发生的支出。</w:t>
      </w:r>
    </w:p>
    <w:p>
      <w:pPr>
        <w:pStyle w:val="20"/>
        <w:spacing w:line="578" w:lineRule="exact"/>
        <w:ind w:firstLine="640" w:firstLineChars="200"/>
        <w:rPr>
          <w:rFonts w:ascii="Times New Roman" w:hAnsi="Times New Roman" w:eastAsia="仿宋_GB2312" w:cs="Times New Roman"/>
          <w:color w:val="auto"/>
          <w:sz w:val="32"/>
          <w:szCs w:val="32"/>
        </w:rPr>
      </w:pPr>
      <w:r>
        <w:rPr>
          <w:rFonts w:eastAsia="仿宋_GB2312"/>
          <w:sz w:val="32"/>
          <w:szCs w:val="32"/>
        </w:rPr>
        <w:t>16.</w:t>
      </w:r>
      <w:r>
        <w:rPr>
          <w:rFonts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w:t>
      </w:r>
      <w:r>
        <w:rPr>
          <w:rFonts w:hint="eastAsia" w:ascii="Times New Roman" w:hAnsi="Times New Roman" w:eastAsia="仿宋_GB2312" w:cs="Times New Roman"/>
          <w:color w:val="auto"/>
          <w:sz w:val="32"/>
          <w:szCs w:val="32"/>
          <w:lang w:eastAsia="zh-CN"/>
        </w:rPr>
        <w:t>差</w:t>
      </w:r>
      <w:r>
        <w:rPr>
          <w:rFonts w:ascii="Times New Roman" w:hAnsi="Times New Roman" w:eastAsia="仿宋_GB2312" w:cs="Times New Roman"/>
          <w:color w:val="auto"/>
          <w:sz w:val="32"/>
          <w:szCs w:val="32"/>
        </w:rPr>
        <w:t>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17.机关运行经费：为保障行政单位（含参照公务员法管理的事业单位）运行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用于购买货物和服务的各项资金，包括办公及印刷费、邮电费、差旅费、会议费、福利费、日常维修费、专用材料</w:t>
      </w:r>
      <w:r>
        <w:rPr>
          <w:rFonts w:hint="eastAsia" w:ascii="Times New Roman" w:hAnsi="Times New Roman" w:eastAsia="仿宋_GB2312" w:cs="Times New Roman"/>
          <w:color w:val="auto"/>
          <w:sz w:val="32"/>
          <w:szCs w:val="32"/>
          <w:lang w:eastAsia="zh-CN"/>
        </w:rPr>
        <w:t>费</w:t>
      </w:r>
      <w:r>
        <w:rPr>
          <w:rFonts w:ascii="Times New Roman" w:hAnsi="Times New Roman" w:eastAsia="仿宋_GB2312" w:cs="Times New Roman"/>
          <w:color w:val="auto"/>
          <w:sz w:val="32"/>
          <w:szCs w:val="32"/>
        </w:rPr>
        <w:t>及一般设备购置费、办公用房水电费、办公用房取暖费、办公用房物业管理费、公务用车运行维护费以及其他费用。</w:t>
      </w:r>
    </w:p>
    <w:p>
      <w:pPr>
        <w:spacing w:line="600" w:lineRule="exact"/>
        <w:jc w:val="center"/>
        <w:outlineLvl w:val="0"/>
        <w:rPr>
          <w:rStyle w:val="29"/>
          <w:rFonts w:eastAsia="黑体"/>
          <w:b w:val="0"/>
        </w:rPr>
      </w:pPr>
      <w:bookmarkStart w:id="51" w:name="_Toc15377226"/>
      <w:r>
        <w:rPr>
          <w:b/>
          <w:sz w:val="44"/>
          <w:szCs w:val="44"/>
        </w:rPr>
        <w:br w:type="page"/>
      </w:r>
      <w:bookmarkStart w:id="52" w:name="_Toc15396614"/>
      <w:r>
        <w:rPr>
          <w:rStyle w:val="29"/>
          <w:rFonts w:eastAsia="黑体"/>
          <w:b w:val="0"/>
        </w:rPr>
        <w:t>第四部分 附件</w:t>
      </w:r>
      <w:bookmarkEnd w:id="52"/>
    </w:p>
    <w:p>
      <w:pPr>
        <w:widowControl/>
        <w:spacing w:line="560" w:lineRule="exact"/>
        <w:contextualSpacing/>
        <w:rPr>
          <w:b/>
          <w:sz w:val="44"/>
          <w:szCs w:val="44"/>
          <w:shd w:val="clear" w:color="auto" w:fill="FFFFFF"/>
        </w:rPr>
      </w:pPr>
    </w:p>
    <w:p>
      <w:pPr>
        <w:widowControl/>
        <w:spacing w:line="640" w:lineRule="exact"/>
        <w:contextualSpacing/>
        <w:jc w:val="center"/>
        <w:rPr>
          <w:rFonts w:hint="eastAsia" w:eastAsia="方正小标宋简体"/>
          <w:sz w:val="44"/>
          <w:szCs w:val="44"/>
          <w:shd w:val="clear" w:color="auto" w:fill="FFFFFF"/>
          <w:lang w:eastAsia="zh-CN"/>
        </w:rPr>
      </w:pPr>
      <w:r>
        <w:rPr>
          <w:rFonts w:eastAsia="方正小标宋简体"/>
          <w:sz w:val="44"/>
          <w:szCs w:val="44"/>
          <w:shd w:val="clear" w:color="auto" w:fill="FFFFFF"/>
        </w:rPr>
        <w:t>达川区</w:t>
      </w:r>
      <w:r>
        <w:rPr>
          <w:rFonts w:hint="eastAsia" w:eastAsia="方正小标宋简体"/>
          <w:sz w:val="44"/>
          <w:szCs w:val="44"/>
          <w:shd w:val="clear" w:color="auto" w:fill="FFFFFF"/>
          <w:lang w:eastAsia="zh-CN"/>
        </w:rPr>
        <w:t>逸夫小学</w:t>
      </w:r>
    </w:p>
    <w:p>
      <w:pPr>
        <w:widowControl/>
        <w:spacing w:line="640" w:lineRule="exact"/>
        <w:contextualSpacing/>
        <w:jc w:val="center"/>
        <w:rPr>
          <w:rFonts w:eastAsia="方正小标宋简体"/>
          <w:sz w:val="44"/>
          <w:szCs w:val="44"/>
          <w:shd w:val="clear" w:color="auto" w:fill="FFFFFF"/>
        </w:rPr>
      </w:pPr>
      <w:r>
        <w:rPr>
          <w:rFonts w:eastAsia="方正小标宋简体"/>
          <w:sz w:val="44"/>
          <w:szCs w:val="44"/>
          <w:shd w:val="clear" w:color="auto" w:fill="FFFFFF"/>
        </w:rPr>
        <w:t>2022年单位整体支出绩效评价报告</w:t>
      </w:r>
    </w:p>
    <w:p>
      <w:pPr>
        <w:tabs>
          <w:tab w:val="left" w:pos="3885"/>
        </w:tabs>
        <w:snapToGrid w:val="0"/>
        <w:spacing w:line="578" w:lineRule="exact"/>
        <w:ind w:firstLine="640" w:firstLineChars="200"/>
        <w:rPr>
          <w:rFonts w:eastAsia="方正仿宋_GBK"/>
          <w:kern w:val="0"/>
          <w:sz w:val="32"/>
          <w:szCs w:val="32"/>
        </w:rPr>
      </w:pPr>
    </w:p>
    <w:p>
      <w:pPr>
        <w:pStyle w:val="28"/>
        <w:spacing w:line="578" w:lineRule="exact"/>
        <w:ind w:firstLine="640"/>
        <w:rPr>
          <w:rStyle w:val="30"/>
          <w:rFonts w:hint="eastAsia" w:ascii="方正楷体_GBK" w:hAnsi="方正楷体_GBK" w:eastAsia="方正楷体_GBK" w:cs="方正楷体_GBK"/>
          <w:b w:val="0"/>
          <w:lang w:val="zh-CN"/>
        </w:rPr>
      </w:pPr>
      <w:r>
        <w:rPr>
          <w:rStyle w:val="30"/>
          <w:rFonts w:hint="eastAsia" w:ascii="方正楷体_GBK" w:hAnsi="方正楷体_GBK" w:eastAsia="方正楷体_GBK" w:cs="方正楷体_GBK"/>
          <w:b w:val="0"/>
        </w:rPr>
        <w:t>一、</w:t>
      </w:r>
      <w:r>
        <w:rPr>
          <w:rStyle w:val="30"/>
          <w:rFonts w:hint="eastAsia" w:ascii="方正楷体_GBK" w:hAnsi="方正楷体_GBK" w:eastAsia="方正楷体_GBK" w:cs="方正楷体_GBK"/>
          <w:b w:val="0"/>
          <w:lang w:val="zh-CN"/>
        </w:rPr>
        <w:t>单位概况</w:t>
      </w:r>
    </w:p>
    <w:p>
      <w:pPr>
        <w:spacing w:line="578" w:lineRule="exact"/>
        <w:ind w:firstLine="640" w:firstLineChars="20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（一）机构组成。</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rPr>
      </w:pPr>
      <w:bookmarkStart w:id="53" w:name="_Hlk109805614"/>
      <w:bookmarkStart w:id="54" w:name="_Hlk109805662"/>
      <w:r>
        <w:rPr>
          <w:rFonts w:hint="eastAsia" w:eastAsia="仿宋"/>
          <w:sz w:val="32"/>
          <w:szCs w:val="32"/>
          <w:lang w:eastAsia="zh-CN"/>
        </w:rPr>
        <w:t>达州市达川区</w:t>
      </w:r>
      <w:bookmarkEnd w:id="53"/>
      <w:r>
        <w:rPr>
          <w:rFonts w:hint="eastAsia" w:eastAsia="仿宋"/>
          <w:sz w:val="32"/>
          <w:szCs w:val="32"/>
          <w:lang w:val="en-US" w:eastAsia="zh-CN"/>
        </w:rPr>
        <w:t>逸夫小学</w:t>
      </w:r>
      <w:r>
        <w:rPr>
          <w:rFonts w:hint="eastAsia" w:eastAsia="仿宋"/>
          <w:sz w:val="32"/>
          <w:szCs w:val="32"/>
          <w:lang w:eastAsia="zh-CN"/>
        </w:rPr>
        <w:t>是</w:t>
      </w:r>
      <w:r>
        <w:rPr>
          <w:rFonts w:hint="eastAsia" w:eastAsia="仿宋"/>
          <w:sz w:val="32"/>
          <w:szCs w:val="32"/>
          <w:lang w:val="en-US" w:eastAsia="zh-CN"/>
        </w:rPr>
        <w:t>达川区二级预算单位。隶属</w:t>
      </w:r>
      <w:r>
        <w:rPr>
          <w:rFonts w:hint="eastAsia" w:eastAsia="仿宋"/>
          <w:sz w:val="32"/>
          <w:szCs w:val="32"/>
          <w:lang w:eastAsia="zh-CN"/>
        </w:rPr>
        <w:t>于达州市达川区教育局主管，属公益一类事业单位，内设机构</w:t>
      </w:r>
      <w:r>
        <w:rPr>
          <w:rFonts w:hint="eastAsia" w:eastAsia="仿宋"/>
          <w:sz w:val="32"/>
          <w:szCs w:val="32"/>
          <w:lang w:val="en-US" w:eastAsia="zh-CN"/>
        </w:rPr>
        <w:t>9</w:t>
      </w:r>
      <w:r>
        <w:rPr>
          <w:rFonts w:hint="eastAsia" w:eastAsia="仿宋"/>
          <w:sz w:val="32"/>
          <w:szCs w:val="32"/>
          <w:lang w:eastAsia="zh-CN"/>
        </w:rPr>
        <w:t>个，分别是校务办、党建办、教务处、安全办、后勤处、体卫艺处、政教处、女工委、少先队处。</w:t>
      </w:r>
    </w:p>
    <w:bookmarkEnd w:id="54"/>
    <w:p>
      <w:pPr>
        <w:spacing w:line="578" w:lineRule="exact"/>
        <w:ind w:firstLine="640" w:firstLineChars="20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（二）机构职能。</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根据</w:t>
      </w:r>
      <w:r>
        <w:rPr>
          <w:rFonts w:hint="eastAsia" w:eastAsia="仿宋"/>
          <w:sz w:val="32"/>
          <w:szCs w:val="32"/>
          <w:lang w:eastAsia="zh-CN"/>
        </w:rPr>
        <w:t>达州市</w:t>
      </w:r>
      <w:r>
        <w:rPr>
          <w:rFonts w:hint="eastAsia" w:eastAsia="仿宋"/>
          <w:sz w:val="32"/>
          <w:szCs w:val="32"/>
          <w:lang w:val="en-US" w:eastAsia="zh-CN"/>
        </w:rPr>
        <w:t>达川区逸夫小学三定方案，我</w:t>
      </w:r>
      <w:r>
        <w:rPr>
          <w:rFonts w:hint="eastAsia" w:eastAsia="仿宋"/>
          <w:sz w:val="32"/>
          <w:szCs w:val="32"/>
          <w:lang w:val="zh-CN" w:eastAsia="zh-CN"/>
        </w:rPr>
        <w:t>单位</w:t>
      </w:r>
      <w:r>
        <w:rPr>
          <w:rFonts w:hint="eastAsia" w:eastAsia="仿宋"/>
          <w:sz w:val="32"/>
          <w:szCs w:val="32"/>
          <w:lang w:val="en-US" w:eastAsia="zh-CN"/>
        </w:rPr>
        <w:t>的主要职能职责为：对适龄儿童实施小学教育，提升他们的综合素质。</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（三）人员概况。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en-US" w:eastAsia="zh-CN"/>
        </w:rPr>
        <w:t>根据人社局等相关编制批复文件，核定我</w:t>
      </w:r>
      <w:r>
        <w:rPr>
          <w:rFonts w:hint="eastAsia" w:eastAsia="仿宋"/>
          <w:sz w:val="32"/>
          <w:szCs w:val="32"/>
          <w:lang w:val="zh-CN" w:eastAsia="zh-CN"/>
        </w:rPr>
        <w:t>单位</w:t>
      </w:r>
      <w:r>
        <w:rPr>
          <w:rFonts w:hint="eastAsia" w:eastAsia="仿宋"/>
          <w:sz w:val="32"/>
          <w:szCs w:val="32"/>
          <w:lang w:val="en-US" w:eastAsia="zh-CN"/>
        </w:rPr>
        <w:t>参照公务员法管理的事业编制210名，其中事业编制210名；</w:t>
      </w:r>
      <w:bookmarkStart w:id="55" w:name="_Hlk109807352"/>
      <w:r>
        <w:rPr>
          <w:rFonts w:hint="eastAsia" w:eastAsia="仿宋"/>
          <w:sz w:val="32"/>
          <w:szCs w:val="32"/>
          <w:lang w:val="en-US" w:eastAsia="zh-CN"/>
        </w:rPr>
        <w:t>截至2022年年末，实有在职人员206人，其中事业编制206人。</w:t>
      </w:r>
      <w:bookmarkEnd w:id="55"/>
      <w:r>
        <w:rPr>
          <w:rFonts w:hint="eastAsia" w:eastAsia="仿宋"/>
          <w:sz w:val="32"/>
          <w:szCs w:val="32"/>
          <w:lang w:val="en-US" w:eastAsia="zh-CN"/>
        </w:rPr>
        <w:t>退休人员为12人。</w:t>
      </w:r>
    </w:p>
    <w:p>
      <w:pPr>
        <w:pStyle w:val="28"/>
        <w:spacing w:line="578" w:lineRule="exact"/>
        <w:ind w:firstLine="640"/>
        <w:rPr>
          <w:rStyle w:val="30"/>
          <w:rFonts w:hint="eastAsia" w:ascii="方正楷体_GBK" w:hAnsi="方正楷体_GBK" w:eastAsia="方正楷体_GBK" w:cs="方正楷体_GBK"/>
          <w:b w:val="0"/>
          <w:lang w:val="zh-CN"/>
        </w:rPr>
      </w:pPr>
      <w:r>
        <w:rPr>
          <w:rStyle w:val="30"/>
          <w:rFonts w:hint="eastAsia" w:ascii="方正楷体_GBK" w:hAnsi="方正楷体_GBK" w:eastAsia="方正楷体_GBK" w:cs="方正楷体_GBK"/>
          <w:b w:val="0"/>
          <w:lang w:val="zh-CN"/>
        </w:rPr>
        <w:t>二、部门财政资金收支情况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（一）部门财政资金收入情况。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2022年，本单位财政资金收入为5774.14万元。</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（二）部门财政资金支出情况。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2022年决算总支出5114.71万元，基本支出3038.26万元（人员经费支出2641.36万元，公用经费支出396.90万元），项目支出2076.45万元。</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达川区逸夫小学无下属单位，2022年无下属单位支出。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（三）部门财政收入结转结余情况。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2021年本单位结转下年资金659.42万元。结转资金未进行结余分配，全部结转下年659.42万元。</w:t>
      </w:r>
    </w:p>
    <w:p>
      <w:pPr>
        <w:pStyle w:val="28"/>
        <w:spacing w:line="578" w:lineRule="exact"/>
        <w:ind w:firstLine="640"/>
        <w:rPr>
          <w:rStyle w:val="30"/>
          <w:rFonts w:hint="eastAsia" w:ascii="方正楷体_GBK" w:hAnsi="方正楷体_GBK" w:eastAsia="方正楷体_GBK" w:cs="方正楷体_GBK"/>
          <w:b w:val="0"/>
          <w:lang w:val="zh-CN"/>
        </w:rPr>
      </w:pPr>
      <w:r>
        <w:rPr>
          <w:rStyle w:val="30"/>
          <w:rFonts w:hint="eastAsia" w:ascii="方正楷体_GBK" w:hAnsi="方正楷体_GBK" w:eastAsia="方正楷体_GBK" w:cs="方正楷体_GBK"/>
          <w:b w:val="0"/>
          <w:lang w:val="zh-CN"/>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（一）总体工作情况。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zh-CN" w:eastAsia="zh-CN"/>
        </w:rPr>
        <w:t>202</w:t>
      </w:r>
      <w:r>
        <w:rPr>
          <w:rFonts w:hint="eastAsia" w:eastAsia="仿宋"/>
          <w:sz w:val="32"/>
          <w:szCs w:val="32"/>
          <w:lang w:val="en-US" w:eastAsia="zh-CN"/>
        </w:rPr>
        <w:t>2</w:t>
      </w:r>
      <w:r>
        <w:rPr>
          <w:rFonts w:hint="eastAsia" w:eastAsia="仿宋"/>
          <w:sz w:val="32"/>
          <w:szCs w:val="32"/>
          <w:lang w:val="zh-CN" w:eastAsia="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eastAsia="仿宋"/>
          <w:sz w:val="32"/>
          <w:szCs w:val="32"/>
          <w:lang w:val="en-US" w:eastAsia="zh-CN"/>
        </w:rPr>
        <w:t>2022年年终各项工作任务均全面完成，完成质量较高。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（二）部门预算管理情况。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2022年，我单位各部门预算管理工作有序开展，现结合整体支出绩效评价指标体系，将主要情况总结如下：</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5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2.在“目标实现”方面，我单位2022年共</w:t>
      </w:r>
      <w:r>
        <w:rPr>
          <w:rFonts w:hint="eastAsia" w:eastAsia="仿宋"/>
          <w:sz w:val="32"/>
          <w:szCs w:val="32"/>
          <w:lang w:val="en-US" w:eastAsia="zh-CN"/>
        </w:rPr>
        <w:t>5</w:t>
      </w:r>
      <w:r>
        <w:rPr>
          <w:rFonts w:hint="eastAsia" w:eastAsia="仿宋"/>
          <w:sz w:val="32"/>
          <w:szCs w:val="32"/>
          <w:lang w:val="zh-CN" w:eastAsia="zh-CN"/>
        </w:rPr>
        <w:t>个部门预算项目，均属于特定目标类项目。部门所有纳入绩效目标管理的部门预算项目中涉及数量指标共计</w:t>
      </w:r>
      <w:r>
        <w:rPr>
          <w:rFonts w:hint="eastAsia" w:eastAsia="仿宋"/>
          <w:sz w:val="32"/>
          <w:szCs w:val="32"/>
          <w:lang w:val="en-US" w:eastAsia="zh-CN"/>
        </w:rPr>
        <w:t>5</w:t>
      </w:r>
      <w:r>
        <w:rPr>
          <w:rFonts w:hint="eastAsia" w:eastAsia="仿宋"/>
          <w:sz w:val="32"/>
          <w:szCs w:val="32"/>
          <w:lang w:val="zh-CN" w:eastAsia="zh-CN"/>
        </w:rPr>
        <w:t>个，已完成数量为</w:t>
      </w:r>
      <w:r>
        <w:rPr>
          <w:rFonts w:hint="eastAsia" w:eastAsia="仿宋"/>
          <w:sz w:val="32"/>
          <w:szCs w:val="32"/>
          <w:lang w:val="en-US" w:eastAsia="zh-CN"/>
        </w:rPr>
        <w:t>5</w:t>
      </w:r>
      <w:r>
        <w:rPr>
          <w:rFonts w:hint="eastAsia" w:eastAsia="仿宋"/>
          <w:sz w:val="32"/>
          <w:szCs w:val="32"/>
          <w:lang w:val="zh-CN" w:eastAsia="zh-CN"/>
        </w:rPr>
        <w:t>个。该项指标分值为10分，自评得分10分。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3.在“支出控制”方面，我单位2022年日常公用经费、项目支出中“办公费、印刷费、水费、电费、物业管理费”等科目年初预算额</w:t>
      </w:r>
      <w:r>
        <w:rPr>
          <w:rFonts w:hint="eastAsia" w:eastAsia="仿宋"/>
          <w:sz w:val="32"/>
          <w:szCs w:val="32"/>
          <w:lang w:val="en-US" w:eastAsia="zh-CN"/>
        </w:rPr>
        <w:t>264.95</w:t>
      </w:r>
      <w:r>
        <w:rPr>
          <w:rFonts w:hint="eastAsia" w:eastAsia="仿宋"/>
          <w:sz w:val="32"/>
          <w:szCs w:val="32"/>
          <w:lang w:val="zh-CN" w:eastAsia="zh-CN"/>
        </w:rPr>
        <w:t>万元，年末决算数</w:t>
      </w:r>
      <w:r>
        <w:rPr>
          <w:rFonts w:hint="eastAsia" w:eastAsia="仿宋"/>
          <w:sz w:val="32"/>
          <w:szCs w:val="32"/>
          <w:lang w:val="en-US" w:eastAsia="zh-CN"/>
        </w:rPr>
        <w:t>396.90</w:t>
      </w:r>
      <w:r>
        <w:rPr>
          <w:rFonts w:hint="eastAsia" w:eastAsia="仿宋"/>
          <w:sz w:val="32"/>
          <w:szCs w:val="32"/>
          <w:lang w:val="zh-CN" w:eastAsia="zh-CN"/>
        </w:rPr>
        <w:t>万元，偏差度</w:t>
      </w:r>
      <w:r>
        <w:rPr>
          <w:rFonts w:hint="eastAsia" w:eastAsia="仿宋"/>
          <w:sz w:val="32"/>
          <w:szCs w:val="32"/>
          <w:lang w:val="en-US" w:eastAsia="zh-CN"/>
        </w:rPr>
        <w:t>49.80</w:t>
      </w:r>
      <w:r>
        <w:rPr>
          <w:rFonts w:hint="eastAsia" w:eastAsia="仿宋"/>
          <w:sz w:val="32"/>
          <w:szCs w:val="32"/>
          <w:lang w:val="zh-CN" w:eastAsia="zh-CN"/>
        </w:rPr>
        <w:t>%。该项指标分值为2分，自评得</w:t>
      </w:r>
      <w:r>
        <w:rPr>
          <w:rFonts w:hint="eastAsia" w:eastAsia="仿宋"/>
          <w:sz w:val="32"/>
          <w:szCs w:val="32"/>
          <w:lang w:val="en-US" w:eastAsia="zh-CN"/>
        </w:rPr>
        <w:t>0</w:t>
      </w:r>
      <w:r>
        <w:rPr>
          <w:rFonts w:hint="eastAsia" w:eastAsia="仿宋"/>
          <w:sz w:val="32"/>
          <w:szCs w:val="32"/>
          <w:lang w:val="zh-CN" w:eastAsia="zh-CN"/>
        </w:rPr>
        <w:t>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4.在“及时处置”方面，我单位部门绩效监控调整取消额0万元、结余注销额0万元，该项指标分值为4分，指标自评得分4分。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5.在“执行进度”方面，根据系统提取数据显示，我单位2022年6月、9月、11月执行进度分别为10%、40%、90%。该项指标分值为4分，按其实际进度占目标进度的比重计算，得分2分。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6.在“预算完成”方面，部门预算项目年末预算执行进度达100%。该项指标分值为5分，按照实际进度量化计算，得分4分。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7.在“资金结余率”方面，我单位部门预算项目数共4项，资金结余率小于0.1的项目数共4项。该项指标分值为8分，按照相应量化方法计算，得分8分。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8.在违规记录上，我单位2022年没有出现部门预算管理方面违纪违规问题。该项指标分值为2分，自评得分2分。</w:t>
      </w:r>
      <w:bookmarkStart w:id="56" w:name="_Toc110955069"/>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（三）专项预算管理</w:t>
      </w:r>
      <w:bookmarkEnd w:id="56"/>
      <w:r>
        <w:rPr>
          <w:rFonts w:hint="eastAsia" w:ascii="方正楷体_GBK" w:hAnsi="方正楷体_GBK" w:eastAsia="方正楷体_GBK" w:cs="方正楷体_GBK"/>
          <w:kern w:val="0"/>
          <w:sz w:val="32"/>
          <w:szCs w:val="32"/>
          <w:shd w:val="clear" w:color="auto" w:fill="FFFFFF"/>
          <w:lang w:val="zh-CN"/>
        </w:rPr>
        <w:t>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eastAsia="方正仿宋_GBK"/>
          <w:kern w:val="0"/>
          <w:sz w:val="32"/>
          <w:szCs w:val="32"/>
        </w:rPr>
      </w:pPr>
      <w:r>
        <w:rPr>
          <w:rFonts w:eastAsia="方正仿宋_GBK"/>
          <w:kern w:val="0"/>
          <w:sz w:val="32"/>
          <w:szCs w:val="32"/>
        </w:rPr>
        <w:t>1.专项绩效的预算情况。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2022年度共有</w:t>
      </w:r>
      <w:r>
        <w:rPr>
          <w:rFonts w:hint="eastAsia" w:eastAsia="仿宋"/>
          <w:sz w:val="32"/>
          <w:szCs w:val="32"/>
          <w:lang w:val="en-US" w:eastAsia="zh-CN"/>
        </w:rPr>
        <w:t>5</w:t>
      </w:r>
      <w:r>
        <w:rPr>
          <w:rFonts w:hint="eastAsia" w:eastAsia="仿宋"/>
          <w:sz w:val="32"/>
          <w:szCs w:val="32"/>
          <w:lang w:val="zh-CN" w:eastAsia="zh-CN"/>
        </w:rPr>
        <w:t>个项目无追加项目，主要专项绩效预算情况为：</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zh-CN" w:eastAsia="zh-CN"/>
        </w:rPr>
        <w:t>（1）宣传工作经费项目</w:t>
      </w:r>
      <w:r>
        <w:rPr>
          <w:rFonts w:hint="eastAsia" w:eastAsia="仿宋"/>
          <w:sz w:val="32"/>
          <w:szCs w:val="32"/>
          <w:lang w:val="en-US" w:eastAsia="zh-CN"/>
        </w:rPr>
        <w:t>9万元，</w:t>
      </w:r>
      <w:r>
        <w:rPr>
          <w:rFonts w:hint="eastAsia" w:eastAsia="仿宋"/>
          <w:sz w:val="32"/>
          <w:szCs w:val="32"/>
          <w:lang w:val="zh-CN" w:eastAsia="zh-CN"/>
        </w:rPr>
        <w:t>全年目标</w:t>
      </w:r>
      <w:r>
        <w:rPr>
          <w:rFonts w:hint="eastAsia" w:eastAsia="仿宋"/>
          <w:sz w:val="32"/>
          <w:szCs w:val="32"/>
          <w:lang w:val="en-US" w:eastAsia="zh-CN"/>
        </w:rPr>
        <w:t>为2022年内计划发放宣传经费资金9万元，该项目旨在推进教育事业高质量发展，总结办学经验，展示办学成果，提升学校品位，扩大办学影响力，并力争早日创建为名副其实的巴蜀名校。2022年实际完成9万元工作任务，已完成100%；</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zh-CN" w:eastAsia="zh-CN"/>
        </w:rPr>
        <w:t>（</w:t>
      </w:r>
      <w:r>
        <w:rPr>
          <w:rFonts w:hint="eastAsia" w:eastAsia="仿宋"/>
          <w:sz w:val="32"/>
          <w:szCs w:val="32"/>
          <w:lang w:val="en-US" w:eastAsia="zh-CN"/>
        </w:rPr>
        <w:t>2</w:t>
      </w:r>
      <w:r>
        <w:rPr>
          <w:rFonts w:hint="eastAsia" w:eastAsia="仿宋"/>
          <w:sz w:val="32"/>
          <w:szCs w:val="32"/>
          <w:lang w:val="zh-CN" w:eastAsia="zh-CN"/>
        </w:rPr>
        <w:t>）</w:t>
      </w:r>
      <w:r>
        <w:rPr>
          <w:rFonts w:hint="eastAsia" w:eastAsia="仿宋"/>
          <w:sz w:val="32"/>
          <w:szCs w:val="32"/>
          <w:lang w:val="en-US" w:eastAsia="zh-CN"/>
        </w:rPr>
        <w:t>达川区逸夫小学附属楼维修和改造项目经费为7.95万元，全年目标是完成楼道文化墙外框维修</w:t>
      </w:r>
      <w:r>
        <w:rPr>
          <w:rFonts w:hint="eastAsia" w:eastAsia="仿宋"/>
          <w:sz w:val="32"/>
          <w:szCs w:val="32"/>
          <w:lang w:val="zh-CN" w:eastAsia="zh-CN"/>
        </w:rPr>
        <w:t>、</w:t>
      </w:r>
      <w:r>
        <w:rPr>
          <w:rFonts w:hint="eastAsia" w:eastAsia="仿宋"/>
          <w:sz w:val="32"/>
          <w:szCs w:val="32"/>
          <w:lang w:val="en-US" w:eastAsia="zh-CN"/>
        </w:rPr>
        <w:t>改造古筝室和计算室等工作任务，2022年，该项目实际完成7.95万元工作任务，已完成100%；</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w:t>
      </w:r>
      <w:r>
        <w:rPr>
          <w:rFonts w:hint="eastAsia" w:eastAsia="仿宋"/>
          <w:sz w:val="32"/>
          <w:szCs w:val="32"/>
          <w:lang w:val="en-US" w:eastAsia="zh-CN"/>
        </w:rPr>
        <w:t>3</w:t>
      </w:r>
      <w:r>
        <w:rPr>
          <w:rFonts w:hint="eastAsia" w:eastAsia="仿宋"/>
          <w:sz w:val="32"/>
          <w:szCs w:val="32"/>
          <w:lang w:val="zh-CN" w:eastAsia="zh-CN"/>
        </w:rPr>
        <w:t>）购买安保服务专项项目</w:t>
      </w:r>
      <w:r>
        <w:rPr>
          <w:rFonts w:hint="eastAsia" w:eastAsia="仿宋"/>
          <w:sz w:val="32"/>
          <w:szCs w:val="32"/>
          <w:lang w:val="en-US" w:eastAsia="zh-CN"/>
        </w:rPr>
        <w:t>15</w:t>
      </w:r>
      <w:r>
        <w:rPr>
          <w:rFonts w:hint="eastAsia" w:eastAsia="仿宋"/>
          <w:sz w:val="32"/>
          <w:szCs w:val="32"/>
          <w:lang w:val="zh-CN" w:eastAsia="zh-CN"/>
        </w:rPr>
        <w:t>.00万元，全年目标为2022年内计划发放学校物业管理服务费</w:t>
      </w:r>
      <w:r>
        <w:rPr>
          <w:rFonts w:hint="eastAsia" w:eastAsia="仿宋"/>
          <w:sz w:val="32"/>
          <w:szCs w:val="32"/>
          <w:lang w:val="en-US" w:eastAsia="zh-CN"/>
        </w:rPr>
        <w:t>15</w:t>
      </w:r>
      <w:r>
        <w:rPr>
          <w:rFonts w:hint="eastAsia" w:eastAsia="仿宋"/>
          <w:sz w:val="32"/>
          <w:szCs w:val="32"/>
          <w:lang w:val="zh-CN" w:eastAsia="zh-CN"/>
        </w:rPr>
        <w:t>.00万元，目的是维护学校正常教育教学秩序，保障学校及师生的人身、财产安全。2022年实际完成</w:t>
      </w:r>
      <w:r>
        <w:rPr>
          <w:rFonts w:hint="eastAsia" w:eastAsia="仿宋"/>
          <w:sz w:val="32"/>
          <w:szCs w:val="32"/>
          <w:lang w:val="en-US" w:eastAsia="zh-CN"/>
        </w:rPr>
        <w:t>15</w:t>
      </w:r>
      <w:r>
        <w:rPr>
          <w:rFonts w:hint="eastAsia" w:eastAsia="仿宋"/>
          <w:sz w:val="32"/>
          <w:szCs w:val="32"/>
          <w:lang w:val="zh-CN" w:eastAsia="zh-CN"/>
        </w:rPr>
        <w:t>.00万元工作任务，已完成100%；</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w:t>
      </w:r>
      <w:r>
        <w:rPr>
          <w:rFonts w:hint="eastAsia" w:eastAsia="仿宋"/>
          <w:sz w:val="32"/>
          <w:szCs w:val="32"/>
          <w:lang w:val="en-US" w:eastAsia="zh-CN"/>
        </w:rPr>
        <w:t>4</w:t>
      </w:r>
      <w:r>
        <w:rPr>
          <w:rFonts w:hint="eastAsia" w:eastAsia="仿宋"/>
          <w:sz w:val="32"/>
          <w:szCs w:val="32"/>
          <w:lang w:val="zh-CN" w:eastAsia="zh-CN"/>
        </w:rPr>
        <w:t>）三名工作室专项项目经费</w:t>
      </w:r>
      <w:r>
        <w:rPr>
          <w:rFonts w:hint="eastAsia" w:eastAsia="仿宋"/>
          <w:sz w:val="32"/>
          <w:szCs w:val="32"/>
          <w:lang w:val="en-US" w:eastAsia="zh-CN"/>
        </w:rPr>
        <w:t>2.3</w:t>
      </w:r>
      <w:r>
        <w:rPr>
          <w:rFonts w:hint="eastAsia" w:eastAsia="仿宋"/>
          <w:sz w:val="32"/>
          <w:szCs w:val="32"/>
          <w:lang w:val="zh-CN" w:eastAsia="zh-CN"/>
        </w:rPr>
        <w:t>万元，全年目标为2022年内计划发放三名工作室经费</w:t>
      </w:r>
      <w:r>
        <w:rPr>
          <w:rFonts w:hint="eastAsia" w:eastAsia="仿宋"/>
          <w:sz w:val="32"/>
          <w:szCs w:val="32"/>
          <w:lang w:val="en-US" w:eastAsia="zh-CN"/>
        </w:rPr>
        <w:t>2.3</w:t>
      </w:r>
      <w:r>
        <w:rPr>
          <w:rFonts w:hint="eastAsia" w:eastAsia="仿宋"/>
          <w:sz w:val="32"/>
          <w:szCs w:val="32"/>
          <w:lang w:val="zh-CN" w:eastAsia="zh-CN"/>
        </w:rPr>
        <w:t>万元，目的是用于</w:t>
      </w:r>
      <w:r>
        <w:rPr>
          <w:rFonts w:hint="eastAsia" w:eastAsia="仿宋"/>
          <w:sz w:val="32"/>
          <w:szCs w:val="32"/>
          <w:lang w:val="en-US" w:eastAsia="zh-CN"/>
        </w:rPr>
        <w:t>李勇名校长工作室、罗科兰数学名教师工作室、何亚玲名班主任工作室</w:t>
      </w:r>
      <w:r>
        <w:rPr>
          <w:rFonts w:hint="eastAsia" w:eastAsia="仿宋"/>
          <w:sz w:val="32"/>
          <w:szCs w:val="32"/>
          <w:lang w:val="zh-CN" w:eastAsia="zh-CN"/>
        </w:rPr>
        <w:t>支出。2022年实际完成</w:t>
      </w:r>
      <w:r>
        <w:rPr>
          <w:rFonts w:hint="eastAsia" w:eastAsia="仿宋"/>
          <w:sz w:val="32"/>
          <w:szCs w:val="32"/>
          <w:lang w:val="en-US" w:eastAsia="zh-CN"/>
        </w:rPr>
        <w:t>2.3</w:t>
      </w:r>
      <w:r>
        <w:rPr>
          <w:rFonts w:hint="eastAsia" w:eastAsia="仿宋"/>
          <w:sz w:val="32"/>
          <w:szCs w:val="32"/>
          <w:lang w:val="zh-CN" w:eastAsia="zh-CN"/>
        </w:rPr>
        <w:t>万元工作任务，已完成100%；</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w:t>
      </w:r>
      <w:r>
        <w:rPr>
          <w:rFonts w:hint="eastAsia" w:eastAsia="仿宋"/>
          <w:sz w:val="32"/>
          <w:szCs w:val="32"/>
          <w:lang w:val="en-US" w:eastAsia="zh-CN"/>
        </w:rPr>
        <w:t>5</w:t>
      </w:r>
      <w:r>
        <w:rPr>
          <w:rFonts w:hint="eastAsia" w:eastAsia="仿宋"/>
          <w:sz w:val="32"/>
          <w:szCs w:val="32"/>
          <w:lang w:val="zh-CN" w:eastAsia="zh-CN"/>
        </w:rPr>
        <w:t>）教育联盟工作专项项目经费</w:t>
      </w:r>
      <w:r>
        <w:rPr>
          <w:rFonts w:hint="eastAsia" w:eastAsia="仿宋"/>
          <w:sz w:val="32"/>
          <w:szCs w:val="32"/>
          <w:lang w:val="en-US" w:eastAsia="zh-CN"/>
        </w:rPr>
        <w:t>2.2</w:t>
      </w:r>
      <w:r>
        <w:rPr>
          <w:rFonts w:hint="eastAsia" w:eastAsia="仿宋"/>
          <w:sz w:val="32"/>
          <w:szCs w:val="32"/>
          <w:lang w:val="zh-CN" w:eastAsia="zh-CN"/>
        </w:rPr>
        <w:t>万元，全年目标为2022年内计划发放教育联盟工作经费</w:t>
      </w:r>
      <w:r>
        <w:rPr>
          <w:rFonts w:hint="eastAsia" w:eastAsia="仿宋"/>
          <w:sz w:val="32"/>
          <w:szCs w:val="32"/>
          <w:lang w:val="en-US" w:eastAsia="zh-CN"/>
        </w:rPr>
        <w:t>2.2</w:t>
      </w:r>
      <w:r>
        <w:rPr>
          <w:rFonts w:hint="eastAsia" w:eastAsia="仿宋"/>
          <w:sz w:val="32"/>
          <w:szCs w:val="32"/>
          <w:lang w:val="zh-CN" w:eastAsia="zh-CN"/>
        </w:rPr>
        <w:t>万元，目的是</w:t>
      </w:r>
      <w:r>
        <w:rPr>
          <w:rFonts w:hint="eastAsia" w:eastAsia="仿宋"/>
          <w:sz w:val="32"/>
          <w:szCs w:val="32"/>
          <w:lang w:val="en-US" w:eastAsia="zh-CN"/>
        </w:rPr>
        <w:t>使联盟内成员校在教育理念、学校管理、师资建设、专业发展等方面实现共享、互通、合作，共享优质教育资源和管理新经验，提升联盟学校整体办学水平。</w:t>
      </w:r>
      <w:r>
        <w:rPr>
          <w:rFonts w:hint="eastAsia" w:eastAsia="仿宋"/>
          <w:sz w:val="32"/>
          <w:szCs w:val="32"/>
          <w:lang w:val="zh-CN" w:eastAsia="zh-CN"/>
        </w:rPr>
        <w:t>2022年实际完成</w:t>
      </w:r>
      <w:r>
        <w:rPr>
          <w:rFonts w:hint="eastAsia" w:eastAsia="仿宋"/>
          <w:sz w:val="32"/>
          <w:szCs w:val="32"/>
          <w:lang w:val="en-US" w:eastAsia="zh-CN"/>
        </w:rPr>
        <w:t>2.2</w:t>
      </w:r>
      <w:r>
        <w:rPr>
          <w:rFonts w:hint="eastAsia" w:eastAsia="仿宋"/>
          <w:sz w:val="32"/>
          <w:szCs w:val="32"/>
          <w:lang w:val="zh-CN" w:eastAsia="zh-CN"/>
        </w:rPr>
        <w:t>万元工作任务，已完成100%；</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eastAsia="方正仿宋_GBK"/>
          <w:kern w:val="0"/>
          <w:sz w:val="32"/>
          <w:szCs w:val="32"/>
        </w:rPr>
      </w:pPr>
      <w:r>
        <w:rPr>
          <w:rFonts w:eastAsia="方正仿宋_GBK"/>
          <w:kern w:val="0"/>
          <w:sz w:val="32"/>
          <w:szCs w:val="32"/>
        </w:rPr>
        <w:t>2.专项绩效的执行情况。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绩效目标项目年初有5个，开展绩效评价项目5个，开展自评项目数5个，完成绩效评价数5个；应填报绩效目标的项目数5个（年中追加0个）、应开展绩效监控的项目0个和应开展绩效自评项目5个，应完成绩效工作数为5个。项目执行率达100%以上的项目5项，项目综合完成率为100%。</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专项预算管理分值为40分，自评得分为40分。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（四）结果应用情况。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1.在“预算挂钩”方面，我单位已出台全面实施预算绩效管理工作方案，细化考核内容，加强各业务股室与绩效管理工作的联系，明确考核及绩效结果与专项预算安排挂钩举措，推动绩效管理工作更好的实施。该项指标分值为4分，自评得分4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2.在“自评公开”方面，我单位严格按照预决算编制要求编制绩效目标，填列绩效目标完成情况，开展绩效自评工作，并按要求将相关绩效信息随部门预决算一并在厅门户网站公开。该项指标分值为2分，自评得分2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3.在“问题整改”方面，结合部门预算项目实际情况，确保绩效目标设置要素完整，基本做到细化量化；对发现执行进度偏低的项目，要求各业务处室加快预算执行进度；针对我单位内部考核办法，有关预算绩效考核的内容不够完善且难以量化考核的情况，及时完善了相关考核办法，细化考核指标。该项指标分值为2分，自评得分2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4.在应用反馈上，我单位已按要求在规定时间内将预算绩效结果应用向财政反馈。该项指标分值为2分，自评得分2分。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eastAsia="方正仿宋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（五）</w:t>
      </w:r>
      <w:r>
        <w:rPr>
          <w:rFonts w:eastAsia="方正仿宋_GBK"/>
          <w:kern w:val="0"/>
          <w:sz w:val="32"/>
          <w:szCs w:val="32"/>
          <w:shd w:val="clear" w:color="auto" w:fill="FFFFFF"/>
          <w:lang w:val="zh-CN"/>
        </w:rPr>
        <w:t>自评质量情况。</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我单位整体支出自评准确率较高，且全面开展自评。自评质量分值为10分，由主管部门、财政部门考评；单位自评实际总分为90分。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2022年我单位整体支出绩效自评，得分实际为86分。</w:t>
      </w:r>
    </w:p>
    <w:p>
      <w:pPr>
        <w:pStyle w:val="28"/>
        <w:spacing w:line="578" w:lineRule="exact"/>
        <w:ind w:firstLine="640"/>
        <w:rPr>
          <w:rStyle w:val="30"/>
          <w:rFonts w:hint="eastAsia" w:ascii="方正楷体_GBK" w:hAnsi="方正楷体_GBK" w:eastAsia="方正楷体_GBK" w:cs="方正楷体_GBK"/>
          <w:b w:val="0"/>
          <w:lang w:val="zh-CN"/>
        </w:rPr>
      </w:pPr>
      <w:r>
        <w:rPr>
          <w:rStyle w:val="30"/>
          <w:rFonts w:hint="eastAsia" w:ascii="方正楷体_GBK" w:hAnsi="方正楷体_GBK" w:eastAsia="方正楷体_GBK" w:cs="方正楷体_GBK"/>
          <w:b w:val="0"/>
          <w:lang w:val="zh-CN"/>
        </w:rPr>
        <w:t>四、评价结论及建议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（一）评价结论。</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按照2022年度区级部门整体支出绩效评价指标体系，绩效评价总分90分，我单位得分86分（详见《2023年整体支出绩效评价指标体系表》）。基本完成了年度预算绩效管理目标，扣分项主要涉及预算调整金额偏大和个别时间节点，预算执行进度不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（二）存在问题。</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一是绩效管理意识还有待加强。绩效管理目标细化量化方式较为单一，前期对预算项目定位、功能、实施内容梳理不够深入，项目资金绩效目标设置不够合理。</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二是预算执行力度不强，预算执行进度偏慢。</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（三）改进措施。</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202</w:t>
      </w:r>
      <w:r>
        <w:rPr>
          <w:rFonts w:hint="eastAsia" w:eastAsia="仿宋"/>
          <w:sz w:val="32"/>
          <w:szCs w:val="32"/>
          <w:lang w:val="en-US" w:eastAsia="zh-CN"/>
        </w:rPr>
        <w:t>3</w:t>
      </w:r>
      <w:r>
        <w:rPr>
          <w:rFonts w:hint="eastAsia" w:eastAsia="仿宋"/>
          <w:sz w:val="32"/>
          <w:szCs w:val="32"/>
          <w:lang w:val="zh-CN" w:eastAsia="zh-CN"/>
        </w:rPr>
        <w:t>年，我</w:t>
      </w:r>
      <w:r>
        <w:rPr>
          <w:rFonts w:hint="eastAsia" w:eastAsia="仿宋"/>
          <w:sz w:val="32"/>
          <w:szCs w:val="32"/>
          <w:lang w:val="en-US" w:eastAsia="zh-CN"/>
        </w:rPr>
        <w:t>单位</w:t>
      </w:r>
      <w:r>
        <w:rPr>
          <w:rFonts w:hint="eastAsia" w:eastAsia="仿宋"/>
          <w:sz w:val="32"/>
          <w:szCs w:val="32"/>
          <w:lang w:val="zh-CN" w:eastAsia="zh-CN"/>
        </w:rPr>
        <w:t>将采取以下措施，提升预算绩效工作水平。</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二是继续加强预算统筹调控，把握工作重点，加强沟通协调，按照“统筹兼顾、突出重点、厉行节约、讲求效益”的原则统筹预算，保障单位正常运转和履行各项职能开支需要，力争202</w:t>
      </w:r>
      <w:r>
        <w:rPr>
          <w:rFonts w:hint="eastAsia" w:eastAsia="仿宋"/>
          <w:sz w:val="32"/>
          <w:szCs w:val="32"/>
          <w:lang w:val="en-US" w:eastAsia="zh-CN"/>
        </w:rPr>
        <w:t>3</w:t>
      </w:r>
      <w:r>
        <w:rPr>
          <w:rFonts w:hint="eastAsia" w:eastAsia="仿宋"/>
          <w:sz w:val="32"/>
          <w:szCs w:val="32"/>
          <w:lang w:val="zh-CN" w:eastAsia="zh-CN"/>
        </w:rPr>
        <w:t>年预算执行进度在202</w:t>
      </w:r>
      <w:r>
        <w:rPr>
          <w:rFonts w:hint="eastAsia" w:eastAsia="仿宋"/>
          <w:sz w:val="32"/>
          <w:szCs w:val="32"/>
          <w:lang w:val="en-US" w:eastAsia="zh-CN"/>
        </w:rPr>
        <w:t>2</w:t>
      </w:r>
      <w:r>
        <w:rPr>
          <w:rFonts w:hint="eastAsia" w:eastAsia="仿宋"/>
          <w:sz w:val="32"/>
          <w:szCs w:val="32"/>
          <w:lang w:val="zh-CN" w:eastAsia="zh-CN"/>
        </w:rPr>
        <w:t>年基础上更进一步。加快预算执行进度，增强预算约束力，适时对预算执行、绩效监控、绩效考评情况进行通报。根据工作实际进一步优化预算绩效管理考核的制度办法，加大预算绩效管理工作宣传力度，逐步树立资金绩效意识，使资金绩效观念深入人心，充分发挥预算资金管理使用效果。</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三是提高预算绩效管理工作意识，按照预算绩效管理工作方案要求，明确职责分工，压实主体责任，强化各具体项目承办</w:t>
      </w:r>
      <w:r>
        <w:rPr>
          <w:rFonts w:hint="eastAsia" w:eastAsia="仿宋"/>
          <w:sz w:val="32"/>
          <w:szCs w:val="32"/>
          <w:lang w:val="en-US" w:eastAsia="zh-CN"/>
        </w:rPr>
        <w:t>股</w:t>
      </w:r>
      <w:r>
        <w:rPr>
          <w:rFonts w:hint="eastAsia" w:eastAsia="仿宋"/>
          <w:sz w:val="32"/>
          <w:szCs w:val="32"/>
          <w:lang w:val="zh-CN" w:eastAsia="zh-CN"/>
        </w:rPr>
        <w:t>室的资金绩效管理意识，加强对项目需求的论证，合理测算预算资金，提高预算编制的准确性和科学性，确保预算具有较强的指引性、调控性和操作性。</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r>
        <w:rPr>
          <w:rFonts w:hint="eastAsia" w:eastAsia="仿宋"/>
          <w:sz w:val="32"/>
          <w:szCs w:val="32"/>
          <w:lang w:val="zh-CN" w:eastAsia="zh-CN"/>
        </w:rPr>
        <w:t>四是统筹安排政府采购项目，科学规划，提前介入，充分考虑各种影响项目进度的因素，提前做好预案，保证在预算资金下达后能尽快进入采购程序，提高政府采购的执行进度和项目的实施效率。</w:t>
      </w:r>
    </w:p>
    <w:p>
      <w:pPr>
        <w:keepNext w:val="0"/>
        <w:keepLines w:val="0"/>
        <w:pageBreakBefore w:val="0"/>
        <w:tabs>
          <w:tab w:val="left" w:pos="3885"/>
        </w:tabs>
        <w:kinsoku/>
        <w:wordWrap/>
        <w:overflowPunct/>
        <w:topLinePunct w:val="0"/>
        <w:autoSpaceDE/>
        <w:autoSpaceDN/>
        <w:bidi w:val="0"/>
        <w:snapToGrid w:val="0"/>
        <w:spacing w:line="578" w:lineRule="exact"/>
        <w:ind w:firstLine="640" w:firstLineChars="200"/>
        <w:textAlignment w:val="auto"/>
        <w:rPr>
          <w:rFonts w:hint="eastAsia" w:eastAsia="仿宋"/>
          <w:sz w:val="32"/>
          <w:szCs w:val="32"/>
          <w:lang w:val="zh-CN" w:eastAsia="zh-CN"/>
        </w:rPr>
      </w:pPr>
    </w:p>
    <w:p>
      <w:pPr>
        <w:widowControl/>
        <w:jc w:val="left"/>
        <w:rPr>
          <w:color w:val="000000" w:themeColor="text1"/>
          <w:kern w:val="0"/>
          <w:szCs w:val="32"/>
          <w:shd w:val="clear" w:color="auto" w:fill="FFFFFF"/>
          <w:lang w:val="zh-CN"/>
          <w14:textFill>
            <w14:solidFill>
              <w14:schemeClr w14:val="tx1"/>
            </w14:solidFill>
          </w14:textFill>
        </w:rPr>
      </w:pPr>
    </w:p>
    <w:p>
      <w:pPr>
        <w:pStyle w:val="6"/>
        <w:spacing w:before="130"/>
        <w:rPr>
          <w:lang w:val="zh-CN"/>
        </w:rPr>
        <w:sectPr>
          <w:pgSz w:w="11906" w:h="16838"/>
          <w:pgMar w:top="1701" w:right="1474" w:bottom="1134" w:left="1588" w:header="851" w:footer="992" w:gutter="0"/>
          <w:pgNumType w:fmt="numberInDash" w:start="1"/>
          <w:cols w:space="425" w:num="1"/>
          <w:docGrid w:type="lines" w:linePitch="435" w:charSpace="0"/>
        </w:sectPr>
      </w:pPr>
    </w:p>
    <w:tbl>
      <w:tblPr>
        <w:tblStyle w:val="14"/>
        <w:tblW w:w="14276"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b w:val="0"/>
                <w:bCs w:val="0"/>
                <w:color w:val="000000"/>
                <w:szCs w:val="32"/>
              </w:rPr>
            </w:pPr>
            <w:r>
              <w:rPr>
                <w:b w:val="0"/>
                <w:bCs w:val="0"/>
                <w:color w:val="000000"/>
                <w:kern w:val="0"/>
                <w:szCs w:val="32"/>
                <w:lang w:bidi="ar"/>
              </w:rPr>
              <w:t>达川区</w:t>
            </w:r>
            <w:r>
              <w:rPr>
                <w:rFonts w:hint="eastAsia"/>
                <w:b w:val="0"/>
                <w:bCs w:val="0"/>
                <w:color w:val="000000"/>
                <w:kern w:val="0"/>
                <w:szCs w:val="32"/>
                <w:lang w:eastAsia="zh-CN" w:bidi="ar"/>
              </w:rPr>
              <w:t>逸夫小学</w:t>
            </w:r>
            <w:r>
              <w:rPr>
                <w:b w:val="0"/>
                <w:bCs w:val="0"/>
                <w:color w:val="000000"/>
                <w:kern w:val="0"/>
                <w:szCs w:val="32"/>
                <w:lang w:bidi="ar"/>
              </w:rPr>
              <w:t>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eastAsia="宋体"/>
                <w:b w:val="0"/>
                <w:bCs w:val="0"/>
                <w:color w:val="000000"/>
                <w:sz w:val="18"/>
                <w:szCs w:val="18"/>
                <w:lang w:eastAsia="zh-CN"/>
              </w:rPr>
            </w:pPr>
            <w:r>
              <w:rPr>
                <w:b w:val="0"/>
                <w:bCs w:val="0"/>
                <w:color w:val="000000"/>
                <w:sz w:val="18"/>
                <w:szCs w:val="18"/>
              </w:rPr>
              <w:t>8</w:t>
            </w:r>
            <w:r>
              <w:rPr>
                <w:rFonts w:hint="eastAsia"/>
                <w:b w:val="0"/>
                <w:bCs w:val="0"/>
                <w:color w:val="000000"/>
                <w:sz w:val="18"/>
                <w:szCs w:val="18"/>
                <w:lang w:val="en-US" w:eastAsia="zh-CN"/>
              </w:rPr>
              <w:t>6</w:t>
            </w: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部门预算项目绩效管理</w:t>
            </w:r>
            <w:r>
              <w:rPr>
                <w:rFonts w:hint="eastAsia"/>
                <w:b w:val="0"/>
                <w:bCs w:val="0"/>
                <w:color w:val="000000"/>
                <w:kern w:val="0"/>
                <w:sz w:val="18"/>
                <w:szCs w:val="18"/>
                <w:lang w:eastAsia="zh-CN" w:bidi="ar"/>
              </w:rPr>
              <w:t>得分</w:t>
            </w:r>
            <w:r>
              <w:rPr>
                <w:b w:val="0"/>
                <w:bCs w:val="0"/>
                <w:color w:val="000000"/>
                <w:kern w:val="0"/>
                <w:sz w:val="18"/>
                <w:szCs w:val="18"/>
                <w:lang w:bidi="ar"/>
              </w:rPr>
              <w:t>（40分）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目标管理</w:t>
            </w:r>
            <w:r>
              <w:rPr>
                <w:rFonts w:hint="eastAsia"/>
                <w:b w:val="0"/>
                <w:bCs w:val="0"/>
                <w:color w:val="000000"/>
                <w:kern w:val="0"/>
                <w:sz w:val="18"/>
                <w:szCs w:val="18"/>
                <w:lang w:eastAsia="zh-CN" w:bidi="ar"/>
              </w:rPr>
              <w:t>得分</w:t>
            </w:r>
            <w:r>
              <w:rPr>
                <w:b w:val="0"/>
                <w:bCs w:val="0"/>
                <w:color w:val="000000"/>
                <w:kern w:val="0"/>
                <w:sz w:val="18"/>
                <w:szCs w:val="18"/>
                <w:lang w:bidi="ar"/>
              </w:rPr>
              <w:t>（15分）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1.绩效目标编制要素完整的</w:t>
            </w:r>
            <w:r>
              <w:rPr>
                <w:rFonts w:hint="eastAsia"/>
                <w:b w:val="0"/>
                <w:bCs w:val="0"/>
                <w:color w:val="000000"/>
                <w:kern w:val="0"/>
                <w:sz w:val="18"/>
                <w:szCs w:val="18"/>
                <w:lang w:eastAsia="zh-CN" w:bidi="ar"/>
              </w:rPr>
              <w:t>，</w:t>
            </w:r>
            <w:r>
              <w:rPr>
                <w:b w:val="0"/>
                <w:bCs w:val="0"/>
                <w:color w:val="000000"/>
                <w:kern w:val="0"/>
                <w:sz w:val="18"/>
                <w:szCs w:val="18"/>
                <w:lang w:bidi="ar"/>
              </w:rPr>
              <w:t>得2分，否则酌情扣分。2.绩效指标细化量化的，得2分，否则酌情扣分。 3.评价部门绩效目标纳入部门党组（委）会（办公会）集体决策范围的</w:t>
            </w:r>
            <w:r>
              <w:rPr>
                <w:rFonts w:hint="eastAsia"/>
                <w:b w:val="0"/>
                <w:bCs w:val="0"/>
                <w:color w:val="000000"/>
                <w:kern w:val="0"/>
                <w:sz w:val="18"/>
                <w:szCs w:val="18"/>
                <w:lang w:eastAsia="zh-CN" w:bidi="ar"/>
              </w:rPr>
              <w:t>，</w:t>
            </w:r>
            <w:r>
              <w:rPr>
                <w:b w:val="0"/>
                <w:bCs w:val="0"/>
                <w:color w:val="000000"/>
                <w:kern w:val="0"/>
                <w:sz w:val="18"/>
                <w:szCs w:val="18"/>
                <w:lang w:bidi="ar"/>
              </w:rPr>
              <w:t xml:space="preserve">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以项目完成数量为核心，评价项目实际完成情况与预期绩效目标偏离度，单</w:t>
            </w:r>
            <w:r>
              <w:rPr>
                <w:rFonts w:hint="eastAsia"/>
                <w:b w:val="0"/>
                <w:bCs w:val="0"/>
                <w:kern w:val="0"/>
                <w:sz w:val="18"/>
                <w:szCs w:val="18"/>
                <w:lang w:eastAsia="zh-CN" w:bidi="ar"/>
              </w:rPr>
              <w:t>项</w:t>
            </w:r>
            <w:r>
              <w:rPr>
                <w:b w:val="0"/>
                <w:bCs w:val="0"/>
                <w:kern w:val="0"/>
                <w:sz w:val="18"/>
                <w:szCs w:val="18"/>
                <w:lang w:bidi="ar"/>
              </w:rPr>
              <w:t>数量指标实际完成未达到预期指标或超过预期指标30%以上的，均不计分。该项指标得分=达到预期值的数量指标个数/全部数量指标个数（即评价选取的项目绩效目标包含的所有数量指标）*10</w:t>
            </w:r>
            <w:r>
              <w:rPr>
                <w:rFonts w:ascii="微软雅黑" w:hAnsi="微软雅黑" w:eastAsia="微软雅黑" w:cs="微软雅黑"/>
                <w:i w:val="0"/>
                <w:iCs w:val="0"/>
                <w:caps w:val="0"/>
                <w:color w:val="2DC76D"/>
                <w:spacing w:val="0"/>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sz w:val="18"/>
                <w:szCs w:val="18"/>
              </w:rPr>
            </w:pPr>
            <w:r>
              <w:rPr>
                <w:b w:val="0"/>
                <w:bCs w:val="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sz w:val="18"/>
                <w:szCs w:val="18"/>
              </w:rPr>
            </w:pPr>
            <w:r>
              <w:rPr>
                <w:b w:val="0"/>
                <w:bCs w:val="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部门</w:t>
            </w:r>
            <w:r>
              <w:rPr>
                <w:b w:val="0"/>
                <w:bCs w:val="0"/>
                <w:kern w:val="0"/>
                <w:sz w:val="15"/>
                <w:szCs w:val="15"/>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eastAsia="宋体"/>
                <w:b w:val="0"/>
                <w:bCs w:val="0"/>
                <w:color w:val="000000"/>
                <w:sz w:val="18"/>
                <w:szCs w:val="18"/>
                <w:lang w:eastAsia="zh-CN"/>
              </w:rPr>
            </w:pPr>
            <w:r>
              <w:rPr>
                <w:rFonts w:hint="eastAsia"/>
                <w:b w:val="0"/>
                <w:bCs w:val="0"/>
                <w:color w:val="000000"/>
                <w:sz w:val="18"/>
                <w:szCs w:val="18"/>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sz w:val="18"/>
                <w:szCs w:val="18"/>
              </w:rPr>
            </w:pPr>
            <w:r>
              <w:rPr>
                <w:b w:val="0"/>
                <w:bCs w:val="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1.当部门绩效监控调整取消额和结余注销额均不为零时，指标得分=部门项目支出绩效监控调整取消额÷(部门绩效监控调整取消额+预算结余注销额）*4</w:t>
            </w:r>
            <w:r>
              <w:rPr>
                <w:rFonts w:ascii="微软雅黑" w:hAnsi="微软雅黑" w:eastAsia="微软雅黑" w:cs="微软雅黑"/>
                <w:i w:val="0"/>
                <w:iCs w:val="0"/>
                <w:caps w:val="0"/>
                <w:color w:val="2DC76D"/>
                <w:spacing w:val="0"/>
                <w:sz w:val="21"/>
                <w:szCs w:val="21"/>
              </w:rPr>
              <w:t>.</w:t>
            </w:r>
            <w:r>
              <w:rPr>
                <w:b w:val="0"/>
                <w:bCs w:val="0"/>
                <w:kern w:val="0"/>
                <w:sz w:val="18"/>
                <w:szCs w:val="18"/>
                <w:lang w:bidi="ar"/>
              </w:rPr>
              <w:t xml:space="preserve">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sz w:val="18"/>
                <w:szCs w:val="18"/>
              </w:rPr>
            </w:pPr>
            <w:r>
              <w:rPr>
                <w:b w:val="0"/>
                <w:bCs w:val="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sz w:val="18"/>
                <w:szCs w:val="18"/>
              </w:rPr>
            </w:pPr>
            <w:r>
              <w:rPr>
                <w:b w:val="0"/>
                <w:bCs w:val="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eastAsia="宋体"/>
                <w:b w:val="0"/>
                <w:bCs w:val="0"/>
                <w:color w:val="000000"/>
                <w:sz w:val="18"/>
                <w:szCs w:val="18"/>
                <w:lang w:eastAsia="zh-CN"/>
              </w:rPr>
            </w:pPr>
            <w:r>
              <w:rPr>
                <w:rFonts w:hint="eastAsia"/>
                <w:b w:val="0"/>
                <w:bCs w:val="0"/>
                <w:color w:val="000000"/>
                <w:sz w:val="18"/>
                <w:szCs w:val="18"/>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sz w:val="18"/>
                <w:szCs w:val="18"/>
              </w:rPr>
            </w:pPr>
            <w:r>
              <w:rPr>
                <w:b w:val="0"/>
                <w:bCs w:val="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部门预算项目资金结余率小于0.1的项目数/部门预算项目总数*8</w:t>
            </w:r>
            <w:r>
              <w:rPr>
                <w:rFonts w:ascii="微软雅黑" w:hAnsi="微软雅黑" w:eastAsia="微软雅黑" w:cs="微软雅黑"/>
                <w:i w:val="0"/>
                <w:iCs w:val="0"/>
                <w:caps w:val="0"/>
                <w:color w:val="2DC76D"/>
                <w:spacing w:val="0"/>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sz w:val="18"/>
                <w:szCs w:val="18"/>
              </w:rPr>
            </w:pPr>
            <w:r>
              <w:rPr>
                <w:b w:val="0"/>
                <w:bCs w:val="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根据审计监督、财政检查等结果反映</w:t>
            </w:r>
            <w:r>
              <w:rPr>
                <w:rFonts w:hint="eastAsia"/>
                <w:b w:val="0"/>
                <w:bCs w:val="0"/>
                <w:kern w:val="0"/>
                <w:sz w:val="18"/>
                <w:szCs w:val="18"/>
                <w:lang w:eastAsia="zh-CN" w:bidi="ar"/>
              </w:rPr>
              <w:t>本</w:t>
            </w:r>
            <w:r>
              <w:rPr>
                <w:b w:val="0"/>
                <w:bCs w:val="0"/>
                <w:kern w:val="0"/>
                <w:sz w:val="18"/>
                <w:szCs w:val="18"/>
                <w:lang w:bidi="ar"/>
              </w:rPr>
              <w:t>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sz w:val="18"/>
                <w:szCs w:val="18"/>
              </w:rPr>
            </w:pPr>
            <w:r>
              <w:rPr>
                <w:b w:val="0"/>
                <w:bCs w:val="0"/>
                <w:kern w:val="0"/>
                <w:sz w:val="18"/>
                <w:szCs w:val="18"/>
                <w:lang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sz w:val="18"/>
                <w:szCs w:val="18"/>
              </w:rPr>
            </w:pPr>
            <w:r>
              <w:rPr>
                <w:b w:val="0"/>
                <w:bCs w:val="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专项预算项目绩效管理</w:t>
            </w:r>
            <w:r>
              <w:rPr>
                <w:rFonts w:hint="eastAsia"/>
                <w:b w:val="0"/>
                <w:bCs w:val="0"/>
                <w:color w:val="000000"/>
                <w:kern w:val="0"/>
                <w:sz w:val="18"/>
                <w:szCs w:val="18"/>
                <w:lang w:eastAsia="zh-CN" w:bidi="ar"/>
              </w:rPr>
              <w:t>得分</w:t>
            </w:r>
            <w:r>
              <w:rPr>
                <w:b w:val="0"/>
                <w:bCs w:val="0"/>
                <w:color w:val="000000"/>
                <w:kern w:val="0"/>
                <w:sz w:val="18"/>
                <w:szCs w:val="18"/>
                <w:lang w:bidi="ar"/>
              </w:rPr>
              <w:t>（40分）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b w:val="0"/>
                <w:bCs w:val="0"/>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r>
              <w:rPr>
                <w:b w:val="0"/>
                <w:bCs w:val="0"/>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b w:val="0"/>
                <w:bCs w:val="0"/>
                <w:color w:val="000000"/>
                <w:sz w:val="18"/>
                <w:szCs w:val="18"/>
              </w:rPr>
            </w:pPr>
            <w:r>
              <w:rPr>
                <w:b w:val="0"/>
                <w:bCs w:val="0"/>
                <w:color w:val="000000"/>
                <w:kern w:val="0"/>
                <w:sz w:val="18"/>
                <w:szCs w:val="18"/>
                <w:lang w:bidi="ar"/>
              </w:rPr>
              <w:t>财政重点绩效评价工作开展过程中，评价组发现被评价对象拖延推诿、提交资料不及时等拒不配合评价工作的，经报财政局复核确认后</w:t>
            </w:r>
            <w:r>
              <w:rPr>
                <w:rFonts w:hint="eastAsia"/>
                <w:b w:val="0"/>
                <w:bCs w:val="0"/>
                <w:color w:val="000000"/>
                <w:kern w:val="0"/>
                <w:sz w:val="18"/>
                <w:szCs w:val="18"/>
                <w:lang w:eastAsia="zh-CN" w:bidi="ar"/>
              </w:rPr>
              <w:t>，</w:t>
            </w:r>
            <w:r>
              <w:rPr>
                <w:b w:val="0"/>
                <w:bCs w:val="0"/>
                <w:color w:val="000000"/>
                <w:kern w:val="0"/>
                <w:sz w:val="18"/>
                <w:szCs w:val="18"/>
                <w:lang w:bidi="ar"/>
              </w:rPr>
              <w:t>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b w:val="0"/>
                <w:bCs w:val="0"/>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b w:val="0"/>
                <w:bCs w:val="0"/>
                <w:color w:val="000000"/>
                <w:sz w:val="18"/>
                <w:szCs w:val="18"/>
              </w:rPr>
            </w:pPr>
            <w:r>
              <w:rPr>
                <w:b w:val="0"/>
                <w:bCs w:val="0"/>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b w:val="0"/>
                <w:bCs w:val="0"/>
                <w:color w:val="000000"/>
                <w:sz w:val="18"/>
                <w:szCs w:val="18"/>
              </w:rPr>
            </w:pPr>
          </w:p>
        </w:tc>
      </w:tr>
    </w:tbl>
    <w:p>
      <w:pPr>
        <w:widowControl/>
        <w:jc w:val="left"/>
        <w:rPr>
          <w:color w:val="000000" w:themeColor="text1"/>
          <w:kern w:val="0"/>
          <w:szCs w:val="32"/>
          <w:shd w:val="clear" w:color="auto" w:fill="FFFFFF"/>
          <w:lang w:val="zh-CN"/>
          <w14:textFill>
            <w14:solidFill>
              <w14:schemeClr w14:val="tx1"/>
            </w14:solidFill>
          </w14:textFill>
        </w:rPr>
        <w:sectPr>
          <w:pgSz w:w="16838" w:h="11906" w:orient="landscape"/>
          <w:pgMar w:top="1588" w:right="1701" w:bottom="1474" w:left="1134" w:header="851" w:footer="992" w:gutter="0"/>
          <w:pgNumType w:fmt="numberInDash"/>
          <w:cols w:space="425" w:num="1"/>
          <w:docGrid w:type="lines" w:linePitch="435" w:charSpace="0"/>
        </w:sectPr>
      </w:pPr>
    </w:p>
    <w:tbl>
      <w:tblPr>
        <w:tblStyle w:val="14"/>
        <w:tblpPr w:leftFromText="180" w:rightFromText="180" w:vertAnchor="text" w:horzAnchor="page" w:tblpX="1256" w:tblpY="221"/>
        <w:tblOverlap w:val="never"/>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411"/>
        <w:gridCol w:w="1496"/>
        <w:gridCol w:w="1854"/>
        <w:gridCol w:w="1421"/>
        <w:gridCol w:w="1817"/>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884" w:type="pct"/>
            <w:gridSpan w:val="6"/>
            <w:tcBorders>
              <w:top w:val="nil"/>
              <w:left w:val="nil"/>
              <w:bottom w:val="nil"/>
              <w:right w:val="nil"/>
            </w:tcBorders>
            <w:shd w:val="clear" w:color="auto" w:fill="auto"/>
            <w:vAlign w:val="center"/>
          </w:tcPr>
          <w:p>
            <w:pPr>
              <w:widowControl/>
              <w:jc w:val="center"/>
              <w:textAlignment w:val="center"/>
              <w:rPr>
                <w:rFonts w:hint="eastAsia" w:ascii="Times New Roman" w:hAnsi="Times New Roman" w:eastAsia="宋体" w:cs="Times New Roman"/>
                <w:b/>
                <w:bCs/>
                <w:color w:val="000000"/>
                <w:kern w:val="0"/>
                <w:szCs w:val="32"/>
                <w:lang w:val="en-US" w:eastAsia="zh-CN" w:bidi="ar"/>
              </w:rPr>
            </w:pPr>
            <w:r>
              <w:rPr>
                <w:rFonts w:hint="eastAsia" w:ascii="Times New Roman" w:hAnsi="Times New Roman" w:eastAsia="宋体" w:cs="Times New Roman"/>
                <w:b/>
                <w:bCs/>
                <w:color w:val="000000"/>
                <w:kern w:val="0"/>
                <w:szCs w:val="32"/>
                <w:lang w:val="en-US" w:eastAsia="zh-CN" w:bidi="ar"/>
              </w:rPr>
              <w:t>2022年特定目标类部门预算项目绩效自评</w:t>
            </w:r>
          </w:p>
          <w:p>
            <w:pPr>
              <w:widowControl/>
              <w:jc w:val="center"/>
              <w:textAlignment w:val="center"/>
              <w:rPr>
                <w:rFonts w:hint="default" w:ascii="宋体" w:hAnsi="宋体" w:eastAsia="宋体" w:cs="宋体"/>
                <w:b/>
                <w:i w:val="0"/>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宋体" w:cs="Times New Roman"/>
                <w:b/>
                <w:bCs/>
                <w:color w:val="000000"/>
                <w:kern w:val="0"/>
                <w:szCs w:val="32"/>
                <w:lang w:val="en-US" w:eastAsia="zh-CN" w:bidi="ar"/>
              </w:rPr>
              <w:t>（项目名称：宣传工作经费专项）</w:t>
            </w:r>
          </w:p>
        </w:tc>
        <w:tc>
          <w:tcPr>
            <w:tcW w:w="11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1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实施单位</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达川区逸夫小学</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主管部门及代码</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达川区教育局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370" w:hRule="atLeast"/>
        </w:trPr>
        <w:tc>
          <w:tcPr>
            <w:tcW w:w="13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项目预算</w:t>
            </w:r>
          </w:p>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执行情况</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（万元）</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 xml:space="preserve"> 预算数：</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9</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 xml:space="preserve"> 执行数：</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13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其中：</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财政拨款</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9</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其中：</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财政拨款</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370" w:hRule="atLeast"/>
        </w:trPr>
        <w:tc>
          <w:tcPr>
            <w:tcW w:w="13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其他资金</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其他资金</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350"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年度总体目标</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完成情况</w:t>
            </w:r>
          </w:p>
        </w:tc>
        <w:tc>
          <w:tcPr>
            <w:tcW w:w="25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预期目标</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1329"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257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2022年预计使用财政资金9万元，用于学校对外宣传工作，提升学校知名度。</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2022</w:t>
            </w:r>
            <w:r>
              <w:rPr>
                <w:rFonts w:hint="eastAsia" w:ascii="仿宋_GB2312" w:hAnsi="仿宋_GB2312" w:cs="仿宋_GB2312"/>
                <w:color w:val="000000"/>
                <w:kern w:val="0"/>
                <w:sz w:val="21"/>
                <w:szCs w:val="21"/>
                <w:lang w:val="en-US" w:eastAsia="zh-CN" w:bidi="ar"/>
              </w:rPr>
              <w:t>年</w:t>
            </w:r>
            <w:r>
              <w:rPr>
                <w:rFonts w:hint="eastAsia" w:ascii="仿宋_GB2312" w:hAnsi="仿宋_GB2312" w:eastAsia="宋体" w:cs="仿宋_GB2312"/>
                <w:color w:val="000000"/>
                <w:kern w:val="0"/>
                <w:sz w:val="21"/>
                <w:szCs w:val="21"/>
                <w:lang w:val="en-US" w:eastAsia="zh-CN" w:bidi="ar"/>
              </w:rPr>
              <w:t>使用资金9万元完成对外宣传工作，达到了效果。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76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年度绩效指标完成情况</w:t>
            </w:r>
          </w:p>
        </w:tc>
        <w:tc>
          <w:tcPr>
            <w:tcW w:w="763"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一级</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二级</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三级</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预期指标值</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完成</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数量指标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校志印制发放数量</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500</w:t>
            </w:r>
            <w:r>
              <w:rPr>
                <w:rFonts w:hint="eastAsia" w:ascii="仿宋_GB2312" w:hAnsi="仿宋_GB2312" w:eastAsia="宋体" w:cs="仿宋_GB2312"/>
                <w:color w:val="000000"/>
                <w:kern w:val="0"/>
                <w:sz w:val="21"/>
                <w:szCs w:val="21"/>
                <w:lang w:val="en-US" w:eastAsia="zh-CN" w:bidi="ar"/>
              </w:rPr>
              <w:t>份</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500</w:t>
            </w:r>
            <w:r>
              <w:rPr>
                <w:rFonts w:hint="eastAsia" w:ascii="仿宋_GB2312" w:hAnsi="仿宋_GB2312" w:eastAsia="宋体" w:cs="仿宋_GB2312"/>
                <w:color w:val="000000"/>
                <w:kern w:val="0"/>
                <w:sz w:val="21"/>
                <w:szCs w:val="21"/>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质量指标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宣传手册质量合格率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100%</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时效指标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宣传手册印制</w:t>
            </w:r>
            <w:r>
              <w:rPr>
                <w:rFonts w:hint="eastAsia" w:ascii="仿宋_GB2312" w:hAnsi="仿宋_GB2312" w:cs="仿宋_GB2312"/>
                <w:color w:val="000000"/>
                <w:kern w:val="0"/>
                <w:sz w:val="21"/>
                <w:szCs w:val="21"/>
                <w:lang w:val="en-US" w:eastAsia="zh-CN" w:bidi="ar"/>
              </w:rPr>
              <w:t>和</w:t>
            </w:r>
            <w:r>
              <w:rPr>
                <w:rFonts w:hint="default" w:ascii="仿宋_GB2312" w:hAnsi="仿宋_GB2312" w:eastAsia="宋体" w:cs="仿宋_GB2312"/>
                <w:color w:val="000000"/>
                <w:kern w:val="0"/>
                <w:sz w:val="21"/>
                <w:szCs w:val="21"/>
                <w:lang w:val="en-US" w:eastAsia="zh-CN" w:bidi="ar"/>
              </w:rPr>
              <w:t>发放及时率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100%</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992" w:hRule="atLeast"/>
        </w:trPr>
        <w:tc>
          <w:tcPr>
            <w:tcW w:w="555"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成本指标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宣传手册印制成本</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9万元</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社会效益  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宣传内容社会知晓率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90%</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可持续影响 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宣传管理机制</w:t>
            </w:r>
            <w:r>
              <w:rPr>
                <w:rFonts w:hint="eastAsia" w:ascii="仿宋_GB2312" w:hAnsi="仿宋_GB2312" w:cs="仿宋_GB2312"/>
                <w:color w:val="000000"/>
                <w:kern w:val="0"/>
                <w:sz w:val="21"/>
                <w:szCs w:val="21"/>
                <w:lang w:val="en-US" w:eastAsia="zh-CN" w:bidi="ar"/>
              </w:rPr>
              <w:t>的</w:t>
            </w:r>
            <w:r>
              <w:rPr>
                <w:rFonts w:hint="default" w:ascii="仿宋_GB2312" w:hAnsi="仿宋_GB2312" w:eastAsia="宋体" w:cs="仿宋_GB2312"/>
                <w:color w:val="000000"/>
                <w:kern w:val="0"/>
                <w:sz w:val="21"/>
                <w:szCs w:val="21"/>
                <w:lang w:val="en-US" w:eastAsia="zh-CN" w:bidi="ar"/>
              </w:rPr>
              <w:t>健全性</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eastAsia="zh-CN" w:bidi="ar"/>
              </w:rPr>
            </w:pPr>
            <w:r>
              <w:rPr>
                <w:rFonts w:hint="eastAsia" w:ascii="仿宋_GB2312" w:hAnsi="仿宋_GB2312" w:eastAsia="宋体" w:cs="仿宋_GB2312"/>
                <w:color w:val="000000"/>
                <w:kern w:val="0"/>
                <w:sz w:val="21"/>
                <w:szCs w:val="21"/>
                <w:lang w:eastAsia="zh-CN" w:bidi="ar"/>
              </w:rPr>
              <w:t>优</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eastAsia="zh-CN" w:bidi="ar"/>
              </w:rPr>
            </w:pPr>
            <w:r>
              <w:rPr>
                <w:rFonts w:hint="eastAsia" w:ascii="仿宋_GB2312" w:hAnsi="仿宋_GB2312" w:eastAsia="宋体" w:cs="仿宋_GB2312"/>
                <w:color w:val="000000"/>
                <w:kern w:val="0"/>
                <w:sz w:val="21"/>
                <w:szCs w:val="21"/>
                <w:lang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满意</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度指标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满意度</w:t>
            </w:r>
          </w:p>
          <w:p>
            <w:pPr>
              <w:widowControl/>
              <w:spacing w:line="320" w:lineRule="exact"/>
              <w:jc w:val="left"/>
              <w:textAlignment w:val="bottom"/>
              <w:rPr>
                <w:rFonts w:hint="eastAsia" w:ascii="仿宋_GB2312" w:hAnsi="仿宋_GB2312" w:eastAsia="宋体" w:cs="仿宋_GB2312"/>
                <w:color w:val="000000"/>
                <w:kern w:val="0"/>
                <w:sz w:val="21"/>
                <w:szCs w:val="21"/>
                <w:lang w:bidi="ar"/>
              </w:rPr>
            </w:pPr>
            <w:r>
              <w:rPr>
                <w:rFonts w:hint="eastAsia" w:ascii="仿宋_GB2312" w:hAnsi="仿宋_GB2312" w:eastAsia="宋体" w:cs="仿宋_GB2312"/>
                <w:color w:val="000000"/>
                <w:kern w:val="0"/>
                <w:sz w:val="21"/>
                <w:szCs w:val="21"/>
                <w:lang w:val="en-US" w:eastAsia="zh-CN" w:bidi="ar"/>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r>
              <w:rPr>
                <w:rFonts w:hint="default" w:ascii="仿宋_GB2312" w:hAnsi="仿宋_GB2312" w:eastAsia="宋体" w:cs="仿宋_GB2312"/>
                <w:color w:val="000000"/>
                <w:kern w:val="0"/>
                <w:sz w:val="21"/>
                <w:szCs w:val="21"/>
                <w:lang w:val="en-US" w:eastAsia="zh-CN" w:bidi="ar"/>
              </w:rPr>
              <w:t>宣传对象满意度</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98%</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default" w:ascii="仿宋_GB2312" w:hAnsi="仿宋_GB2312" w:eastAsia="宋体" w:cs="仿宋_GB2312"/>
                <w:color w:val="000000"/>
                <w:kern w:val="0"/>
                <w:sz w:val="21"/>
                <w:szCs w:val="21"/>
                <w:lang w:val="en-US" w:eastAsia="zh-CN" w:bidi="ar"/>
              </w:rPr>
            </w:pPr>
            <w:r>
              <w:rPr>
                <w:rFonts w:hint="eastAsia" w:ascii="仿宋_GB2312" w:hAnsi="仿宋_GB2312" w:eastAsia="宋体" w:cs="仿宋_GB2312"/>
                <w:color w:val="000000"/>
                <w:kern w:val="0"/>
                <w:sz w:val="21"/>
                <w:szCs w:val="21"/>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539" w:hRule="atLeast"/>
        </w:trPr>
        <w:tc>
          <w:tcPr>
            <w:tcW w:w="555" w:type="pct"/>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val="en-US" w:eastAsia="zh-CN" w:bidi="ar"/>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hint="eastAsia" w:ascii="仿宋_GB2312" w:hAnsi="仿宋_GB2312" w:eastAsia="宋体" w:cs="仿宋_GB2312"/>
                <w:color w:val="000000"/>
                <w:kern w:val="0"/>
                <w:sz w:val="21"/>
                <w:szCs w:val="21"/>
                <w:lang w:bidi="ar"/>
              </w:rPr>
            </w:pPr>
          </w:p>
        </w:tc>
      </w:tr>
    </w:tbl>
    <w:p>
      <w:pPr>
        <w:widowControl/>
        <w:spacing w:line="320" w:lineRule="exact"/>
        <w:jc w:val="left"/>
        <w:textAlignment w:val="bottom"/>
        <w:rPr>
          <w:rFonts w:ascii="Times New Roman" w:hAnsi="Times New Roman" w:eastAsia="宋体" w:cs="Times New Roman"/>
          <w:color w:val="000000"/>
          <w:kern w:val="0"/>
          <w:szCs w:val="21"/>
          <w:lang w:val="zh-CN" w:bidi="ar"/>
        </w:rPr>
      </w:pPr>
    </w:p>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tbl>
      <w:tblPr>
        <w:tblStyle w:val="14"/>
        <w:tblpPr w:leftFromText="180" w:rightFromText="180" w:vertAnchor="text" w:horzAnchor="page" w:tblpX="1256" w:tblpY="221"/>
        <w:tblOverlap w:val="never"/>
        <w:tblW w:w="5045" w:type="pct"/>
        <w:tblInd w:w="0" w:type="dxa"/>
        <w:tblLayout w:type="autofit"/>
        <w:tblCellMar>
          <w:top w:w="0" w:type="dxa"/>
          <w:left w:w="108" w:type="dxa"/>
          <w:bottom w:w="0" w:type="dxa"/>
          <w:right w:w="108" w:type="dxa"/>
        </w:tblCellMar>
      </w:tblPr>
      <w:tblGrid>
        <w:gridCol w:w="1038"/>
        <w:gridCol w:w="602"/>
        <w:gridCol w:w="150"/>
        <w:gridCol w:w="1839"/>
        <w:gridCol w:w="336"/>
        <w:gridCol w:w="942"/>
        <w:gridCol w:w="989"/>
        <w:gridCol w:w="698"/>
        <w:gridCol w:w="695"/>
        <w:gridCol w:w="580"/>
        <w:gridCol w:w="1273"/>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auto" w:fill="auto"/>
            <w:vAlign w:val="center"/>
          </w:tcPr>
          <w:p>
            <w:pPr>
              <w:widowControl/>
              <w:jc w:val="center"/>
              <w:textAlignment w:val="center"/>
              <w:rPr>
                <w:rFonts w:hint="eastAsia" w:ascii="Times New Roman" w:hAnsi="Times New Roman" w:eastAsia="宋体" w:cs="Times New Roman"/>
                <w:b/>
                <w:bCs/>
                <w:color w:val="000000"/>
                <w:kern w:val="0"/>
                <w:szCs w:val="32"/>
                <w:lang w:val="en-US" w:eastAsia="zh-CN" w:bidi="ar"/>
              </w:rPr>
            </w:pPr>
            <w:r>
              <w:rPr>
                <w:rFonts w:hint="eastAsia" w:ascii="Times New Roman" w:hAnsi="Times New Roman" w:eastAsia="宋体" w:cs="Times New Roman"/>
                <w:b/>
                <w:bCs/>
                <w:color w:val="000000"/>
                <w:kern w:val="0"/>
                <w:szCs w:val="32"/>
                <w:lang w:val="en-US" w:eastAsia="zh-CN" w:bidi="ar"/>
              </w:rPr>
              <w:t>2022年特定目标类部门预算项目绩效自评</w:t>
            </w:r>
          </w:p>
          <w:p>
            <w:pPr>
              <w:widowControl/>
              <w:jc w:val="center"/>
              <w:textAlignment w:val="center"/>
              <w:rPr>
                <w:rFonts w:ascii="宋体" w:hAnsi="宋体" w:eastAsia="宋体" w:cs="宋体"/>
                <w:b/>
                <w:color w:val="000000"/>
                <w:szCs w:val="32"/>
              </w:rPr>
            </w:pPr>
            <w:r>
              <w:rPr>
                <w:rFonts w:hint="eastAsia" w:ascii="Times New Roman" w:hAnsi="Times New Roman" w:eastAsia="宋体" w:cs="Times New Roman"/>
                <w:b/>
                <w:bCs/>
                <w:color w:val="000000"/>
                <w:kern w:val="0"/>
                <w:szCs w:val="32"/>
                <w:lang w:val="en-US" w:eastAsia="zh-CN" w:bidi="ar"/>
              </w:rPr>
              <w:t>（项目名称：附属楼维修和改造项目）</w:t>
            </w:r>
          </w:p>
        </w:tc>
      </w:tr>
      <w:tr>
        <w:tblPrEx>
          <w:tblCellMar>
            <w:top w:w="0" w:type="dxa"/>
            <w:left w:w="108" w:type="dxa"/>
            <w:bottom w:w="0" w:type="dxa"/>
            <w:right w:w="108" w:type="dxa"/>
          </w:tblCellMar>
        </w:tblPrEx>
        <w:trPr>
          <w:trHeight w:val="254" w:hRule="atLeast"/>
        </w:trPr>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3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逸夫小学</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trHeight w:val="341" w:hRule="atLeast"/>
        </w:trPr>
        <w:tc>
          <w:tcPr>
            <w:tcW w:w="8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7.95</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7.95</w:t>
            </w:r>
          </w:p>
        </w:tc>
      </w:tr>
      <w:tr>
        <w:tblPrEx>
          <w:tblCellMar>
            <w:top w:w="0" w:type="dxa"/>
            <w:left w:w="108" w:type="dxa"/>
            <w:bottom w:w="0" w:type="dxa"/>
            <w:right w:w="108" w:type="dxa"/>
          </w:tblCellMar>
        </w:tblPrEx>
        <w:trPr>
          <w:trHeight w:val="275" w:hRule="atLeast"/>
        </w:trPr>
        <w:tc>
          <w:tcPr>
            <w:tcW w:w="8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7.95</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7.95</w:t>
            </w:r>
          </w:p>
        </w:tc>
      </w:tr>
      <w:tr>
        <w:tblPrEx>
          <w:tblCellMar>
            <w:top w:w="0" w:type="dxa"/>
            <w:left w:w="108" w:type="dxa"/>
            <w:bottom w:w="0" w:type="dxa"/>
            <w:right w:w="108" w:type="dxa"/>
          </w:tblCellMar>
        </w:tblPrEx>
        <w:trPr>
          <w:trHeight w:val="341" w:hRule="atLeast"/>
        </w:trPr>
        <w:tc>
          <w:tcPr>
            <w:tcW w:w="8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trHeight w:val="217" w:hRule="atLeast"/>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65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实际完成情况</w:t>
            </w:r>
          </w:p>
        </w:tc>
      </w:tr>
      <w:tr>
        <w:tblPrEx>
          <w:tblCellMar>
            <w:top w:w="0" w:type="dxa"/>
            <w:left w:w="108" w:type="dxa"/>
            <w:bottom w:w="0" w:type="dxa"/>
            <w:right w:w="108" w:type="dxa"/>
          </w:tblCellMar>
        </w:tblPrEx>
        <w:trPr>
          <w:trHeight w:val="1297" w:hRule="atLeast"/>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116"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7.95</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目的达川区逸夫小学附属楼</w:t>
            </w:r>
            <w:r>
              <w:rPr>
                <w:rFonts w:hint="eastAsia" w:ascii="仿宋_GB2312" w:hAnsi="仿宋_GB2312" w:cs="仿宋_GB2312"/>
                <w:color w:val="000000"/>
                <w:kern w:val="0"/>
                <w:sz w:val="21"/>
                <w:szCs w:val="21"/>
                <w:lang w:bidi="ar"/>
              </w:rPr>
              <w:t>维</w:t>
            </w:r>
            <w:r>
              <w:rPr>
                <w:rFonts w:hint="eastAsia" w:ascii="仿宋_GB2312" w:hAnsi="仿宋_GB2312" w:cs="仿宋_GB2312"/>
                <w:color w:val="000000"/>
                <w:kern w:val="0"/>
                <w:sz w:val="21"/>
                <w:szCs w:val="21"/>
                <w:lang w:eastAsia="zh-CN" w:bidi="ar"/>
              </w:rPr>
              <w:t>修和改造项目</w:t>
            </w:r>
            <w:r>
              <w:rPr>
                <w:rFonts w:hint="eastAsia" w:ascii="仿宋_GB2312" w:hAnsi="仿宋_GB2312" w:cs="仿宋_GB2312"/>
                <w:color w:val="000000"/>
                <w:kern w:val="0"/>
                <w:sz w:val="21"/>
                <w:szCs w:val="21"/>
                <w:lang w:bidi="ar"/>
              </w:rPr>
              <w:t>。</w:t>
            </w:r>
          </w:p>
        </w:tc>
        <w:tc>
          <w:tcPr>
            <w:tcW w:w="2314"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7.95</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对附属楼进行了维修和改造，</w:t>
            </w:r>
            <w:r>
              <w:rPr>
                <w:rFonts w:hint="eastAsia" w:ascii="仿宋_GB2312" w:hAnsi="仿宋_GB2312" w:cs="仿宋_GB2312"/>
                <w:color w:val="000000"/>
                <w:kern w:val="0"/>
                <w:sz w:val="21"/>
                <w:szCs w:val="21"/>
                <w:lang w:bidi="ar"/>
              </w:rPr>
              <w:t>保障了学校及师生的人身安全</w:t>
            </w:r>
            <w:r>
              <w:rPr>
                <w:rFonts w:hint="eastAsia" w:ascii="仿宋_GB2312" w:hAnsi="仿宋_GB2312" w:cs="仿宋_GB2312"/>
                <w:color w:val="000000"/>
                <w:kern w:val="0"/>
                <w:sz w:val="21"/>
                <w:szCs w:val="21"/>
                <w:lang w:eastAsia="zh-CN" w:bidi="ar"/>
              </w:rPr>
              <w:t>、提升了教学环境</w:t>
            </w:r>
            <w:r>
              <w:rPr>
                <w:rFonts w:hint="eastAsia" w:ascii="仿宋_GB2312" w:hAnsi="仿宋_GB2312" w:cs="仿宋_GB2312"/>
                <w:color w:val="000000"/>
                <w:kern w:val="0"/>
                <w:sz w:val="21"/>
                <w:szCs w:val="21"/>
                <w:lang w:bidi="ar"/>
              </w:rPr>
              <w:t>。</w:t>
            </w:r>
          </w:p>
        </w:tc>
      </w:tr>
      <w:tr>
        <w:tblPrEx>
          <w:tblCellMar>
            <w:top w:w="0" w:type="dxa"/>
            <w:left w:w="108" w:type="dxa"/>
            <w:bottom w:w="0" w:type="dxa"/>
            <w:right w:w="108" w:type="dxa"/>
          </w:tblCellMar>
        </w:tblPrEx>
        <w:trPr>
          <w:trHeight w:val="738" w:hRule="atLeast"/>
        </w:trPr>
        <w:tc>
          <w:tcPr>
            <w:tcW w:w="568"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11"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trHeight w:val="525"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文化墙外框垮塌面积</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600</w:t>
            </w:r>
            <w:r>
              <w:rPr>
                <w:rFonts w:hint="eastAsia"/>
                <w:sz w:val="20"/>
                <w:szCs w:val="20"/>
                <w:lang w:val="en-US" w:eastAsia="zh-CN"/>
              </w:rPr>
              <w:t>平方米</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rPr>
            </w:pPr>
            <w:r>
              <w:rPr>
                <w:rFonts w:hint="eastAsia"/>
                <w:sz w:val="20"/>
                <w:szCs w:val="20"/>
                <w:lang w:val="en-US" w:eastAsia="zh-CN"/>
              </w:rPr>
              <w:t>600平方米</w:t>
            </w:r>
          </w:p>
        </w:tc>
      </w:tr>
      <w:tr>
        <w:tblPrEx>
          <w:tblCellMar>
            <w:top w:w="0" w:type="dxa"/>
            <w:left w:w="108" w:type="dxa"/>
            <w:bottom w:w="0" w:type="dxa"/>
            <w:right w:w="108" w:type="dxa"/>
          </w:tblCellMar>
        </w:tblPrEx>
        <w:trPr>
          <w:trHeight w:val="525"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cs="仿宋_GB2312"/>
                <w:color w:val="000000"/>
                <w:kern w:val="0"/>
                <w:sz w:val="20"/>
                <w:szCs w:val="20"/>
                <w:lang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sz w:val="20"/>
                <w:szCs w:val="20"/>
              </w:rPr>
            </w:pPr>
            <w:r>
              <w:rPr>
                <w:rFonts w:hint="eastAsia"/>
                <w:sz w:val="20"/>
                <w:szCs w:val="20"/>
              </w:rPr>
              <w:t>数量指标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古筝室和计算室改造面积</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eastAsia"/>
                <w:sz w:val="20"/>
                <w:szCs w:val="20"/>
                <w:lang w:val="en-US" w:eastAsia="zh-CN"/>
              </w:rPr>
              <w:t>300平方米</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eastAsia"/>
                <w:sz w:val="20"/>
                <w:szCs w:val="20"/>
                <w:lang w:val="en-US" w:eastAsia="zh-CN"/>
              </w:rPr>
              <w:t>300平方米</w:t>
            </w:r>
          </w:p>
        </w:tc>
      </w:tr>
      <w:tr>
        <w:tblPrEx>
          <w:tblCellMar>
            <w:top w:w="0" w:type="dxa"/>
            <w:left w:w="108" w:type="dxa"/>
            <w:bottom w:w="0" w:type="dxa"/>
            <w:right w:w="108" w:type="dxa"/>
          </w:tblCellMar>
        </w:tblPrEx>
        <w:trPr>
          <w:trHeight w:val="499"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附属楼维修改造验收合格率</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r>
      <w:tr>
        <w:tblPrEx>
          <w:tblCellMar>
            <w:top w:w="0" w:type="dxa"/>
            <w:left w:w="108" w:type="dxa"/>
            <w:bottom w:w="0" w:type="dxa"/>
            <w:right w:w="108" w:type="dxa"/>
          </w:tblCellMar>
        </w:tblPrEx>
        <w:trPr>
          <w:trHeight w:val="48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附属楼维修预算成本控制数</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lang w:val="en-US" w:eastAsia="zh-CN"/>
              </w:rPr>
              <w:t>7.95</w:t>
            </w:r>
            <w:r>
              <w:rPr>
                <w:rFonts w:hint="eastAsia"/>
                <w:sz w:val="20"/>
                <w:szCs w:val="20"/>
              </w:rPr>
              <w:t>万元</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lang w:val="en-US" w:eastAsia="zh-CN"/>
              </w:rPr>
              <w:t>7.95</w:t>
            </w:r>
            <w:r>
              <w:rPr>
                <w:rFonts w:hint="eastAsia"/>
                <w:sz w:val="20"/>
                <w:szCs w:val="20"/>
              </w:rPr>
              <w:t>万元</w:t>
            </w:r>
          </w:p>
        </w:tc>
      </w:tr>
      <w:tr>
        <w:tblPrEx>
          <w:tblCellMar>
            <w:top w:w="0" w:type="dxa"/>
            <w:left w:w="108" w:type="dxa"/>
            <w:bottom w:w="0" w:type="dxa"/>
            <w:right w:w="108" w:type="dxa"/>
          </w:tblCellMar>
        </w:tblPrEx>
        <w:trPr>
          <w:trHeight w:val="48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sz w:val="20"/>
                <w:szCs w:val="20"/>
              </w:rPr>
            </w:pPr>
            <w:r>
              <w:rPr>
                <w:rFonts w:hint="default"/>
                <w:sz w:val="20"/>
                <w:szCs w:val="20"/>
                <w:lang w:val="en-US" w:eastAsia="zh-CN"/>
              </w:rPr>
              <w:t>附属楼维修完工及时率</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r>
      <w:tr>
        <w:tblPrEx>
          <w:tblCellMar>
            <w:top w:w="0" w:type="dxa"/>
            <w:left w:w="108" w:type="dxa"/>
            <w:bottom w:w="0" w:type="dxa"/>
            <w:right w:w="108" w:type="dxa"/>
          </w:tblCellMar>
        </w:tblPrEx>
        <w:trPr>
          <w:trHeight w:val="48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FFFFFF" w:themeColor="background1"/>
                <w:sz w:val="20"/>
                <w:szCs w:val="20"/>
                <w:lang w:val="en-US" w:eastAsia="zh-CN"/>
                <w14:textFill>
                  <w14:solidFill>
                    <w14:schemeClr w14:val="bg1"/>
                  </w14:solidFill>
                </w14:textFill>
              </w:rPr>
            </w:pP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p>
        </w:tc>
      </w:tr>
      <w:tr>
        <w:tblPrEx>
          <w:tblCellMar>
            <w:top w:w="0" w:type="dxa"/>
            <w:left w:w="108" w:type="dxa"/>
            <w:bottom w:w="0" w:type="dxa"/>
            <w:right w:w="108" w:type="dxa"/>
          </w:tblCellMar>
        </w:tblPrEx>
        <w:trPr>
          <w:trHeight w:val="40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sz w:val="20"/>
                <w:szCs w:val="20"/>
              </w:rPr>
            </w:pP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p>
        </w:tc>
      </w:tr>
      <w:tr>
        <w:tblPrEx>
          <w:tblCellMar>
            <w:top w:w="0" w:type="dxa"/>
            <w:left w:w="108" w:type="dxa"/>
            <w:bottom w:w="0" w:type="dxa"/>
            <w:right w:w="108" w:type="dxa"/>
          </w:tblCellMar>
        </w:tblPrEx>
        <w:trPr>
          <w:trHeight w:val="48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附属楼正常</w:t>
            </w:r>
            <w:r>
              <w:rPr>
                <w:rFonts w:hint="eastAsia"/>
                <w:sz w:val="20"/>
                <w:szCs w:val="20"/>
                <w:lang w:val="en-US" w:eastAsia="zh-CN"/>
              </w:rPr>
              <w:t>投</w:t>
            </w:r>
            <w:r>
              <w:rPr>
                <w:rFonts w:hint="default"/>
                <w:sz w:val="20"/>
                <w:szCs w:val="20"/>
                <w:lang w:val="en-US" w:eastAsia="zh-CN"/>
              </w:rPr>
              <w:t>入使用率</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eastAsia"/>
                <w:sz w:val="20"/>
                <w:szCs w:val="20"/>
                <w:lang w:val="en-US" w:eastAsia="zh-CN"/>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sz w:val="20"/>
                <w:szCs w:val="20"/>
                <w:lang w:val="en-US" w:eastAsia="zh-CN"/>
              </w:rPr>
            </w:pPr>
            <w:r>
              <w:rPr>
                <w:rFonts w:hint="eastAsia"/>
                <w:sz w:val="20"/>
                <w:szCs w:val="20"/>
                <w:lang w:val="en-US" w:eastAsia="zh-CN"/>
              </w:rPr>
              <w:t>100%</w:t>
            </w:r>
          </w:p>
        </w:tc>
      </w:tr>
      <w:tr>
        <w:tblPrEx>
          <w:tblCellMar>
            <w:top w:w="0" w:type="dxa"/>
            <w:left w:w="108" w:type="dxa"/>
            <w:bottom w:w="0" w:type="dxa"/>
            <w:right w:w="108" w:type="dxa"/>
          </w:tblCellMar>
        </w:tblPrEx>
        <w:trPr>
          <w:trHeight w:val="48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维护学校正常教育教学秩序</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好</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sz w:val="20"/>
                <w:szCs w:val="20"/>
                <w:lang w:val="en-US" w:eastAsia="zh-CN"/>
              </w:rPr>
            </w:pPr>
            <w:r>
              <w:rPr>
                <w:rFonts w:hint="default"/>
                <w:sz w:val="20"/>
                <w:szCs w:val="20"/>
                <w:lang w:val="en-US" w:eastAsia="zh-CN"/>
              </w:rPr>
              <w:t>好</w:t>
            </w:r>
          </w:p>
        </w:tc>
      </w:tr>
      <w:tr>
        <w:tblPrEx>
          <w:tblCellMar>
            <w:top w:w="0" w:type="dxa"/>
            <w:left w:w="108" w:type="dxa"/>
            <w:bottom w:w="0" w:type="dxa"/>
            <w:right w:w="108" w:type="dxa"/>
          </w:tblCellMar>
        </w:tblPrEx>
        <w:trPr>
          <w:trHeight w:val="48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0"/>
              </w:rPr>
            </w:pPr>
            <w:r>
              <w:rPr>
                <w:rFonts w:hint="eastAsia"/>
                <w:sz w:val="20"/>
                <w:szCs w:val="20"/>
              </w:rPr>
              <w:t>社会效益指标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保障学校及师生的人身、财产安全</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好</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sz w:val="20"/>
                <w:szCs w:val="20"/>
                <w:lang w:val="en-US" w:eastAsia="zh-CN"/>
              </w:rPr>
            </w:pPr>
            <w:r>
              <w:rPr>
                <w:rFonts w:hint="default"/>
                <w:sz w:val="20"/>
                <w:szCs w:val="20"/>
                <w:lang w:val="en-US" w:eastAsia="zh-CN"/>
              </w:rPr>
              <w:t>好</w:t>
            </w:r>
          </w:p>
        </w:tc>
      </w:tr>
      <w:tr>
        <w:tblPrEx>
          <w:tblCellMar>
            <w:top w:w="0" w:type="dxa"/>
            <w:left w:w="108" w:type="dxa"/>
            <w:bottom w:w="0" w:type="dxa"/>
            <w:right w:w="108" w:type="dxa"/>
          </w:tblCellMar>
        </w:tblPrEx>
        <w:trPr>
          <w:trHeight w:val="48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后期运行管护长效机制健全性</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好</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好</w:t>
            </w:r>
          </w:p>
        </w:tc>
      </w:tr>
      <w:tr>
        <w:tblPrEx>
          <w:tblCellMar>
            <w:top w:w="0" w:type="dxa"/>
            <w:left w:w="108" w:type="dxa"/>
            <w:bottom w:w="0" w:type="dxa"/>
            <w:right w:w="108" w:type="dxa"/>
          </w:tblCellMar>
        </w:tblPrEx>
        <w:trPr>
          <w:trHeight w:val="20" w:hRule="atLeast"/>
        </w:trPr>
        <w:tc>
          <w:tcPr>
            <w:tcW w:w="568"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师生满意度</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90%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r>
    </w:tbl>
    <w:p>
      <w:pPr>
        <w:widowControl/>
        <w:adjustRightInd w:val="0"/>
        <w:snapToGrid w:val="0"/>
        <w:spacing w:line="580" w:lineRule="exact"/>
        <w:contextualSpacing/>
        <w:jc w:val="left"/>
        <w:rPr>
          <w:color w:val="000000"/>
          <w:kern w:val="0"/>
          <w:szCs w:val="32"/>
          <w:shd w:val="clear" w:color="auto" w:fill="FFFFFF"/>
          <w:lang w:val="zh-CN"/>
        </w:rPr>
      </w:pPr>
    </w:p>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tbl>
      <w:tblPr>
        <w:tblStyle w:val="14"/>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7"/>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hint="eastAsia" w:ascii="Times New Roman" w:hAnsi="Times New Roman" w:eastAsia="宋体" w:cs="Times New Roman"/>
                <w:b/>
                <w:bCs/>
                <w:color w:val="000000"/>
                <w:kern w:val="0"/>
                <w:szCs w:val="32"/>
                <w:lang w:val="en-US" w:eastAsia="zh-CN" w:bidi="ar"/>
              </w:rPr>
            </w:pPr>
            <w:r>
              <w:rPr>
                <w:rFonts w:hint="eastAsia" w:ascii="Times New Roman" w:hAnsi="Times New Roman" w:eastAsia="宋体" w:cs="Times New Roman"/>
                <w:b/>
                <w:bCs/>
                <w:color w:val="000000"/>
                <w:kern w:val="0"/>
                <w:szCs w:val="32"/>
                <w:lang w:val="en-US" w:eastAsia="zh-CN" w:bidi="ar"/>
              </w:rPr>
              <w:t>2022年特定目标类部门预算项目绩效自评</w:t>
            </w:r>
          </w:p>
          <w:p>
            <w:pPr>
              <w:widowControl/>
              <w:jc w:val="center"/>
              <w:textAlignment w:val="center"/>
              <w:rPr>
                <w:rFonts w:ascii="宋体" w:hAnsi="宋体" w:eastAsia="宋体" w:cs="宋体"/>
                <w:b/>
                <w:color w:val="000000"/>
                <w:szCs w:val="32"/>
              </w:rPr>
            </w:pPr>
            <w:r>
              <w:rPr>
                <w:rFonts w:hint="eastAsia" w:ascii="Times New Roman" w:hAnsi="Times New Roman" w:eastAsia="宋体" w:cs="Times New Roman"/>
                <w:b/>
                <w:bCs/>
                <w:color w:val="000000"/>
                <w:kern w:val="0"/>
                <w:szCs w:val="32"/>
                <w:lang w:val="en-US" w:eastAsia="zh-CN" w:bidi="ar"/>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逸夫小学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w:t>
            </w: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万元，目的是维护学校正常教育教学秩序，保障学校及师生的人身、财产安全。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w:t>
            </w: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万元，维护了学校正常教育教学秩序，保障了学校及师生的人身、财产安全。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w:t>
            </w:r>
            <w:r>
              <w:rPr>
                <w:rFonts w:hint="eastAsia"/>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w:t>
            </w:r>
            <w:r>
              <w:rPr>
                <w:rFonts w:hint="eastAsia"/>
                <w:sz w:val="20"/>
                <w:szCs w:val="20"/>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w:t>
            </w:r>
            <w:r>
              <w:rPr>
                <w:rFonts w:hint="eastAsia"/>
                <w:sz w:val="20"/>
                <w:szCs w:val="20"/>
                <w:lang w:eastAsia="zh-CN"/>
              </w:rPr>
              <w:t>校</w:t>
            </w:r>
            <w:r>
              <w:rPr>
                <w:rFonts w:hint="eastAsia"/>
                <w:sz w:val="20"/>
                <w:szCs w:val="20"/>
              </w:rPr>
              <w:t>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widowControl/>
        <w:adjustRightInd w:val="0"/>
        <w:snapToGrid w:val="0"/>
        <w:spacing w:line="580" w:lineRule="exact"/>
        <w:contextualSpacing/>
        <w:jc w:val="left"/>
        <w:rPr>
          <w:color w:val="000000"/>
          <w:kern w:val="0"/>
          <w:szCs w:val="32"/>
          <w:shd w:val="clear" w:color="auto" w:fill="FFFFFF"/>
          <w:lang w:val="zh-CN"/>
        </w:rPr>
      </w:pPr>
    </w:p>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tbl>
      <w:tblPr>
        <w:tblStyle w:val="14"/>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2"/>
        <w:gridCol w:w="149"/>
        <w:gridCol w:w="1847"/>
        <w:gridCol w:w="330"/>
        <w:gridCol w:w="941"/>
        <w:gridCol w:w="995"/>
        <w:gridCol w:w="703"/>
        <w:gridCol w:w="692"/>
        <w:gridCol w:w="588"/>
        <w:gridCol w:w="1256"/>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hint="eastAsia" w:ascii="Times New Roman" w:hAnsi="Times New Roman" w:eastAsia="宋体" w:cs="Times New Roman"/>
                <w:b/>
                <w:bCs/>
                <w:color w:val="000000"/>
                <w:kern w:val="0"/>
                <w:szCs w:val="32"/>
                <w:lang w:val="en-US" w:eastAsia="zh-CN" w:bidi="ar"/>
              </w:rPr>
            </w:pPr>
            <w:r>
              <w:rPr>
                <w:rFonts w:hint="eastAsia" w:ascii="Times New Roman" w:hAnsi="Times New Roman" w:eastAsia="宋体" w:cs="Times New Roman"/>
                <w:b/>
                <w:bCs/>
                <w:color w:val="000000"/>
                <w:kern w:val="0"/>
                <w:szCs w:val="32"/>
                <w:lang w:val="en-US" w:eastAsia="zh-CN" w:bidi="ar"/>
              </w:rPr>
              <w:t>2022年特定目标类部门预算项目绩效自评</w:t>
            </w:r>
          </w:p>
          <w:p>
            <w:pPr>
              <w:widowControl/>
              <w:jc w:val="center"/>
              <w:textAlignment w:val="center"/>
              <w:rPr>
                <w:rFonts w:ascii="宋体" w:hAnsi="宋体" w:eastAsia="宋体" w:cs="宋体"/>
                <w:b/>
                <w:color w:val="000000"/>
                <w:szCs w:val="32"/>
              </w:rPr>
            </w:pPr>
            <w:r>
              <w:rPr>
                <w:rFonts w:hint="eastAsia" w:ascii="Times New Roman" w:hAnsi="Times New Roman" w:eastAsia="宋体" w:cs="Times New Roman"/>
                <w:b/>
                <w:bCs/>
                <w:color w:val="000000"/>
                <w:kern w:val="0"/>
                <w:szCs w:val="32"/>
                <w:lang w:val="en-US" w:eastAsia="zh-CN" w:bidi="ar"/>
              </w:rPr>
              <w:t>（项目名称：三名工作室专项）</w:t>
            </w:r>
          </w:p>
        </w:tc>
        <w:tc>
          <w:tcPr>
            <w:tcW w:w="117"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7"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逸夫小学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r>
      <w:tr>
        <w:tblPrEx>
          <w:tblCellMar>
            <w:top w:w="0" w:type="dxa"/>
            <w:left w:w="108" w:type="dxa"/>
            <w:bottom w:w="0" w:type="dxa"/>
            <w:right w:w="108" w:type="dxa"/>
          </w:tblCellMar>
        </w:tblPrEx>
        <w:trPr>
          <w:gridAfter w:val="1"/>
          <w:wAfter w:w="117"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7"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实际完成情况</w:t>
            </w:r>
          </w:p>
        </w:tc>
      </w:tr>
      <w:tr>
        <w:tblPrEx>
          <w:tblCellMar>
            <w:top w:w="0" w:type="dxa"/>
            <w:left w:w="108" w:type="dxa"/>
            <w:bottom w:w="0" w:type="dxa"/>
            <w:right w:w="108" w:type="dxa"/>
          </w:tblCellMar>
        </w:tblPrEx>
        <w:trPr>
          <w:gridAfter w:val="1"/>
          <w:wAfter w:w="117"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6"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22022年</w:t>
            </w:r>
            <w:r>
              <w:rPr>
                <w:rFonts w:hint="eastAsia" w:ascii="仿宋_GB2312" w:hAnsi="仿宋_GB2312" w:cs="仿宋_GB2312"/>
                <w:color w:val="000000"/>
                <w:kern w:val="0"/>
                <w:sz w:val="21"/>
                <w:szCs w:val="21"/>
                <w:lang w:eastAsia="zh-CN" w:bidi="ar"/>
              </w:rPr>
              <w:t>投</w:t>
            </w:r>
            <w:r>
              <w:rPr>
                <w:rFonts w:hint="eastAsia" w:ascii="仿宋_GB2312" w:hAnsi="仿宋_GB2312" w:cs="仿宋_GB2312"/>
                <w:color w:val="000000"/>
                <w:kern w:val="0"/>
                <w:sz w:val="21"/>
                <w:szCs w:val="21"/>
                <w:lang w:bidi="ar"/>
              </w:rPr>
              <w:t>入名师工作室经费2</w:t>
            </w:r>
            <w:r>
              <w:rPr>
                <w:rFonts w:hint="eastAsia" w:ascii="仿宋_GB2312" w:hAnsi="仿宋_GB2312" w:cs="仿宋_GB2312"/>
                <w:color w:val="000000"/>
                <w:kern w:val="0"/>
                <w:sz w:val="21"/>
                <w:szCs w:val="21"/>
                <w:lang w:val="en-US" w:eastAsia="zh-CN" w:bidi="ar"/>
              </w:rPr>
              <w:t>.3万</w:t>
            </w:r>
            <w:r>
              <w:rPr>
                <w:rFonts w:hint="eastAsia" w:ascii="仿宋_GB2312" w:hAnsi="仿宋_GB2312" w:cs="仿宋_GB2312"/>
                <w:color w:val="000000"/>
                <w:kern w:val="0"/>
                <w:sz w:val="21"/>
                <w:szCs w:val="21"/>
                <w:lang w:bidi="ar"/>
              </w:rPr>
              <w:t>元，</w:t>
            </w:r>
            <w:r>
              <w:rPr>
                <w:rFonts w:hint="eastAsia" w:ascii="仿宋_GB2312" w:hAnsi="仿宋_GB2312" w:cs="仿宋_GB2312"/>
                <w:color w:val="000000"/>
                <w:kern w:val="0"/>
                <w:sz w:val="21"/>
                <w:szCs w:val="21"/>
                <w:lang w:eastAsia="zh-CN" w:bidi="ar"/>
              </w:rPr>
              <w:t>目的是</w:t>
            </w:r>
            <w:r>
              <w:rPr>
                <w:rFonts w:hint="eastAsia" w:ascii="仿宋_GB2312" w:hAnsi="仿宋_GB2312" w:cs="仿宋_GB2312"/>
                <w:color w:val="000000"/>
                <w:kern w:val="0"/>
                <w:sz w:val="21"/>
                <w:szCs w:val="21"/>
                <w:lang w:bidi="ar"/>
              </w:rPr>
              <w:t>用于名师工作室办公、教学教研及课题等费用支出，提高名园长教育教学业务能力和教学水平，促进教育发展。</w:t>
            </w:r>
          </w:p>
        </w:tc>
        <w:tc>
          <w:tcPr>
            <w:tcW w:w="2259"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2.3</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完成了</w:t>
            </w:r>
            <w:r>
              <w:rPr>
                <w:rFonts w:hint="eastAsia" w:ascii="仿宋_GB2312" w:hAnsi="仿宋_GB2312" w:cs="仿宋_GB2312"/>
                <w:color w:val="000000"/>
                <w:kern w:val="0"/>
                <w:sz w:val="21"/>
                <w:szCs w:val="21"/>
                <w:lang w:bidi="ar"/>
              </w:rPr>
              <w:t>名师工作室办公、教学教研及课题等费用支出，提高名园长教育教学业务能力和教学水平，促进教育发展。</w:t>
            </w:r>
          </w:p>
        </w:tc>
      </w:tr>
      <w:tr>
        <w:tblPrEx>
          <w:tblCellMar>
            <w:top w:w="0" w:type="dxa"/>
            <w:left w:w="108" w:type="dxa"/>
            <w:bottom w:w="0" w:type="dxa"/>
            <w:right w:w="108" w:type="dxa"/>
          </w:tblCellMar>
        </w:tblPrEx>
        <w:trPr>
          <w:gridAfter w:val="1"/>
          <w:wAfter w:w="117"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2"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开展教研活动、课题研究次数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4次</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4次</w:t>
            </w:r>
          </w:p>
        </w:tc>
      </w:tr>
      <w:tr>
        <w:tblPrEx>
          <w:tblCellMar>
            <w:top w:w="0" w:type="dxa"/>
            <w:left w:w="108" w:type="dxa"/>
            <w:bottom w:w="0" w:type="dxa"/>
            <w:right w:w="108" w:type="dxa"/>
          </w:tblCellMar>
        </w:tblPrEx>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cs="仿宋_GB2312"/>
                <w:color w:val="000000"/>
                <w:kern w:val="0"/>
                <w:sz w:val="20"/>
                <w:szCs w:val="20"/>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sz w:val="20"/>
                <w:szCs w:val="20"/>
              </w:rPr>
            </w:pPr>
            <w:r>
              <w:rPr>
                <w:rFonts w:hint="eastAsia"/>
                <w:sz w:val="20"/>
                <w:szCs w:val="20"/>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购买工作笔记本数量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default"/>
                <w:b w:val="0"/>
                <w:bCs w:val="0"/>
                <w:color w:val="000000" w:themeColor="text1"/>
                <w:sz w:val="18"/>
                <w:szCs w:val="18"/>
                <w:lang w:val="en-US" w:eastAsia="zh-CN"/>
                <w14:textFill>
                  <w14:solidFill>
                    <w14:schemeClr w14:val="tx1"/>
                  </w14:solidFill>
                </w14:textFill>
              </w:rPr>
              <w:t>240</w:t>
            </w:r>
            <w:r>
              <w:rPr>
                <w:rFonts w:hint="eastAsia"/>
                <w:b w:val="0"/>
                <w:bCs w:val="0"/>
                <w:color w:val="000000" w:themeColor="text1"/>
                <w:sz w:val="18"/>
                <w:szCs w:val="18"/>
                <w:lang w:val="en-US" w:eastAsia="zh-CN"/>
                <w14:textFill>
                  <w14:solidFill>
                    <w14:schemeClr w14:val="tx1"/>
                  </w14:solidFill>
                </w14:textFill>
              </w:rPr>
              <w:t>本</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240本</w:t>
            </w:r>
          </w:p>
        </w:tc>
      </w:tr>
      <w:tr>
        <w:tblPrEx>
          <w:tblCellMar>
            <w:top w:w="0" w:type="dxa"/>
            <w:left w:w="108" w:type="dxa"/>
            <w:bottom w:w="0" w:type="dxa"/>
            <w:right w:w="108" w:type="dxa"/>
          </w:tblCellMar>
        </w:tblPrEx>
        <w:trPr>
          <w:gridAfter w:val="1"/>
          <w:wAfter w:w="117"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w:t>
            </w: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采购物资验收合格率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名师工作室预算控制数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2.3万元</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2.3万元</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教研活动参与率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教研活动、课题研究、购买笔记本及时率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提高教师教育教学业务能力和教学水平，促进教育发展</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名师工作室经费制度健全性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117"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学生、家长及教职工满意</w:t>
            </w:r>
            <w:r>
              <w:rPr>
                <w:rFonts w:hint="eastAsia"/>
                <w:sz w:val="20"/>
                <w:szCs w:val="20"/>
                <w:lang w:val="en-US" w:eastAsia="zh-CN"/>
              </w:rPr>
              <w:t>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90%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bl>
    <w:p>
      <w:pPr>
        <w:widowControl/>
        <w:adjustRightInd w:val="0"/>
        <w:snapToGrid w:val="0"/>
        <w:spacing w:line="580" w:lineRule="exact"/>
        <w:contextualSpacing/>
        <w:jc w:val="left"/>
        <w:rPr>
          <w:color w:val="000000"/>
          <w:kern w:val="0"/>
          <w:szCs w:val="32"/>
          <w:shd w:val="clear" w:color="auto" w:fill="FFFFFF"/>
          <w:lang w:val="zh-CN"/>
        </w:rPr>
      </w:pPr>
    </w:p>
    <w:p>
      <w:pPr>
        <w:pStyle w:val="2"/>
        <w:rPr>
          <w:color w:val="000000"/>
          <w:kern w:val="0"/>
          <w:szCs w:val="32"/>
          <w:shd w:val="clear" w:color="auto" w:fill="FFFFFF"/>
          <w:lang w:val="zh-CN"/>
        </w:rPr>
      </w:pPr>
    </w:p>
    <w:p>
      <w:pPr>
        <w:rPr>
          <w:color w:val="000000"/>
          <w:kern w:val="0"/>
          <w:szCs w:val="32"/>
          <w:shd w:val="clear" w:color="auto" w:fill="FFFFFF"/>
          <w:lang w:val="zh-CN"/>
        </w:rPr>
      </w:pPr>
    </w:p>
    <w:p>
      <w:pPr>
        <w:pStyle w:val="2"/>
        <w:rPr>
          <w:color w:val="000000"/>
          <w:kern w:val="0"/>
          <w:szCs w:val="32"/>
          <w:shd w:val="clear" w:color="auto" w:fill="FFFFFF"/>
          <w:lang w:val="zh-CN"/>
        </w:rPr>
      </w:pPr>
    </w:p>
    <w:tbl>
      <w:tblPr>
        <w:tblStyle w:val="14"/>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2"/>
        <w:gridCol w:w="151"/>
        <w:gridCol w:w="1848"/>
        <w:gridCol w:w="330"/>
        <w:gridCol w:w="941"/>
        <w:gridCol w:w="993"/>
        <w:gridCol w:w="706"/>
        <w:gridCol w:w="692"/>
        <w:gridCol w:w="588"/>
        <w:gridCol w:w="1252"/>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hint="eastAsia" w:ascii="Times New Roman" w:hAnsi="Times New Roman" w:eastAsia="宋体" w:cs="Times New Roman"/>
                <w:b/>
                <w:bCs/>
                <w:color w:val="000000"/>
                <w:kern w:val="0"/>
                <w:szCs w:val="32"/>
                <w:lang w:val="en-US" w:eastAsia="zh-CN" w:bidi="ar"/>
              </w:rPr>
            </w:pPr>
            <w:r>
              <w:rPr>
                <w:rFonts w:hint="eastAsia" w:ascii="Times New Roman" w:hAnsi="Times New Roman" w:eastAsia="宋体" w:cs="Times New Roman"/>
                <w:b/>
                <w:bCs/>
                <w:color w:val="000000"/>
                <w:kern w:val="0"/>
                <w:szCs w:val="32"/>
                <w:lang w:val="en-US" w:eastAsia="zh-CN" w:bidi="ar"/>
              </w:rPr>
              <w:t>2022年特定目标类部门预算项目绩效自评</w:t>
            </w:r>
          </w:p>
          <w:p>
            <w:pPr>
              <w:widowControl/>
              <w:jc w:val="center"/>
              <w:textAlignment w:val="center"/>
              <w:rPr>
                <w:rFonts w:ascii="宋体" w:hAnsi="宋体" w:eastAsia="宋体" w:cs="宋体"/>
                <w:b/>
                <w:color w:val="000000"/>
                <w:szCs w:val="32"/>
              </w:rPr>
            </w:pPr>
            <w:r>
              <w:rPr>
                <w:rFonts w:hint="eastAsia" w:ascii="Times New Roman" w:hAnsi="Times New Roman" w:eastAsia="宋体" w:cs="Times New Roman"/>
                <w:b/>
                <w:bCs/>
                <w:color w:val="000000"/>
                <w:kern w:val="0"/>
                <w:szCs w:val="32"/>
                <w:lang w:val="en-US" w:eastAsia="zh-CN" w:bidi="ar"/>
              </w:rPr>
              <w:t>（项目名称：联盟工作专项）</w:t>
            </w:r>
          </w:p>
        </w:tc>
        <w:tc>
          <w:tcPr>
            <w:tcW w:w="117"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7"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逸夫小学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r>
      <w:tr>
        <w:tblPrEx>
          <w:tblCellMar>
            <w:top w:w="0" w:type="dxa"/>
            <w:left w:w="108" w:type="dxa"/>
            <w:bottom w:w="0" w:type="dxa"/>
            <w:right w:w="108" w:type="dxa"/>
          </w:tblCellMar>
        </w:tblPrEx>
        <w:trPr>
          <w:gridAfter w:val="1"/>
          <w:wAfter w:w="117"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7"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实际完成情况</w:t>
            </w:r>
          </w:p>
        </w:tc>
      </w:tr>
      <w:tr>
        <w:tblPrEx>
          <w:tblCellMar>
            <w:top w:w="0" w:type="dxa"/>
            <w:left w:w="108" w:type="dxa"/>
            <w:bottom w:w="0" w:type="dxa"/>
            <w:right w:w="108" w:type="dxa"/>
          </w:tblCellMar>
        </w:tblPrEx>
        <w:trPr>
          <w:gridAfter w:val="1"/>
          <w:wAfter w:w="117"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7"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w:t>
            </w:r>
            <w:r>
              <w:rPr>
                <w:rFonts w:hint="eastAsia" w:ascii="仿宋_GB2312" w:hAnsi="仿宋_GB2312" w:cs="仿宋_GB2312"/>
                <w:color w:val="000000"/>
                <w:kern w:val="0"/>
                <w:sz w:val="21"/>
                <w:szCs w:val="21"/>
                <w:lang w:eastAsia="zh-CN" w:bidi="ar"/>
              </w:rPr>
              <w:t>投</w:t>
            </w:r>
            <w:r>
              <w:rPr>
                <w:rFonts w:hint="eastAsia" w:ascii="仿宋_GB2312" w:hAnsi="仿宋_GB2312" w:cs="仿宋_GB2312"/>
                <w:color w:val="000000"/>
                <w:kern w:val="0"/>
                <w:sz w:val="21"/>
                <w:szCs w:val="21"/>
                <w:lang w:bidi="ar"/>
              </w:rPr>
              <w:t>入小学教育联盟经费2</w:t>
            </w:r>
            <w:r>
              <w:rPr>
                <w:rFonts w:hint="eastAsia" w:ascii="仿宋_GB2312" w:hAnsi="仿宋_GB2312" w:cs="仿宋_GB2312"/>
                <w:color w:val="000000"/>
                <w:kern w:val="0"/>
                <w:sz w:val="21"/>
                <w:szCs w:val="21"/>
                <w:lang w:val="en-US" w:eastAsia="zh-CN" w:bidi="ar"/>
              </w:rPr>
              <w:t>.</w:t>
            </w:r>
            <w:r>
              <w:rPr>
                <w:rFonts w:hint="eastAsia" w:ascii="仿宋_GB2312" w:hAnsi="仿宋_GB2312" w:cs="仿宋_GB2312"/>
                <w:color w:val="000000"/>
                <w:kern w:val="0"/>
                <w:sz w:val="21"/>
                <w:szCs w:val="21"/>
                <w:lang w:bidi="ar"/>
              </w:rPr>
              <w:t>2</w:t>
            </w:r>
            <w:r>
              <w:rPr>
                <w:rFonts w:hint="eastAsia" w:ascii="仿宋_GB2312" w:hAnsi="仿宋_GB2312" w:cs="仿宋_GB2312"/>
                <w:color w:val="000000"/>
                <w:kern w:val="0"/>
                <w:sz w:val="21"/>
                <w:szCs w:val="21"/>
                <w:lang w:eastAsia="zh-CN" w:bidi="ar"/>
              </w:rPr>
              <w:t>万</w:t>
            </w:r>
            <w:r>
              <w:rPr>
                <w:rFonts w:hint="eastAsia" w:ascii="仿宋_GB2312" w:hAnsi="仿宋_GB2312" w:cs="仿宋_GB2312"/>
                <w:color w:val="000000"/>
                <w:kern w:val="0"/>
                <w:sz w:val="21"/>
                <w:szCs w:val="21"/>
                <w:lang w:bidi="ar"/>
              </w:rPr>
              <w:t>元，</w:t>
            </w:r>
            <w:r>
              <w:rPr>
                <w:rFonts w:hint="eastAsia" w:ascii="仿宋_GB2312" w:hAnsi="仿宋_GB2312" w:cs="仿宋_GB2312"/>
                <w:color w:val="000000"/>
                <w:kern w:val="0"/>
                <w:sz w:val="21"/>
                <w:szCs w:val="21"/>
                <w:lang w:eastAsia="zh-CN" w:bidi="ar"/>
              </w:rPr>
              <w:t>目的是</w:t>
            </w:r>
            <w:r>
              <w:rPr>
                <w:rFonts w:hint="eastAsia" w:ascii="仿宋_GB2312" w:hAnsi="仿宋_GB2312" w:cs="仿宋_GB2312"/>
                <w:color w:val="000000"/>
                <w:kern w:val="0"/>
                <w:sz w:val="21"/>
                <w:szCs w:val="21"/>
                <w:lang w:bidi="ar"/>
              </w:rPr>
              <w:t>用于日常办公、教学</w:t>
            </w:r>
            <w:r>
              <w:rPr>
                <w:rFonts w:hint="eastAsia" w:ascii="仿宋_GB2312" w:hAnsi="仿宋_GB2312" w:cs="仿宋_GB2312"/>
                <w:color w:val="000000"/>
                <w:kern w:val="0"/>
                <w:sz w:val="21"/>
                <w:szCs w:val="21"/>
                <w:lang w:eastAsia="zh-CN" w:bidi="ar"/>
              </w:rPr>
              <w:t>、</w:t>
            </w:r>
            <w:r>
              <w:rPr>
                <w:rFonts w:hint="eastAsia" w:ascii="仿宋_GB2312" w:hAnsi="仿宋_GB2312" w:cs="仿宋_GB2312"/>
                <w:color w:val="000000"/>
                <w:kern w:val="0"/>
                <w:sz w:val="21"/>
                <w:szCs w:val="21"/>
                <w:lang w:bidi="ar"/>
              </w:rPr>
              <w:t>教研及课题等费用支出。提高教师教育教学业务能力和教学水平，促进教育发展。</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2.2</w:t>
            </w:r>
            <w:r>
              <w:rPr>
                <w:rFonts w:hint="eastAsia" w:ascii="仿宋_GB2312" w:hAnsi="仿宋_GB2312" w:cs="仿宋_GB2312"/>
                <w:color w:val="000000"/>
                <w:kern w:val="0"/>
                <w:sz w:val="21"/>
                <w:szCs w:val="21"/>
                <w:lang w:bidi="ar"/>
              </w:rPr>
              <w:t>万元，用于日常办公、教学教研及课题等费用支出。提高教师教育教学业务能力和教学水平，促进教育发展。</w:t>
            </w:r>
          </w:p>
        </w:tc>
      </w:tr>
      <w:tr>
        <w:tblPrEx>
          <w:tblCellMar>
            <w:top w:w="0" w:type="dxa"/>
            <w:left w:w="108" w:type="dxa"/>
            <w:bottom w:w="0" w:type="dxa"/>
            <w:right w:w="108" w:type="dxa"/>
          </w:tblCellMar>
        </w:tblPrEx>
        <w:trPr>
          <w:gridAfter w:val="1"/>
          <w:wAfter w:w="117"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3"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购买工作笔记本数量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rPr>
            </w:pPr>
            <w:r>
              <w:rPr>
                <w:rFonts w:hint="eastAsia"/>
                <w:sz w:val="20"/>
                <w:szCs w:val="20"/>
                <w:lang w:val="en-US" w:eastAsia="zh-CN"/>
              </w:rPr>
              <w:t>50本</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rPr>
            </w:pPr>
            <w:r>
              <w:rPr>
                <w:rFonts w:hint="eastAsia"/>
                <w:sz w:val="20"/>
                <w:szCs w:val="20"/>
                <w:lang w:val="en-US" w:eastAsia="zh-CN"/>
              </w:rPr>
              <w:t>50本</w:t>
            </w:r>
          </w:p>
        </w:tc>
      </w:tr>
      <w:tr>
        <w:tblPrEx>
          <w:tblCellMar>
            <w:top w:w="0" w:type="dxa"/>
            <w:left w:w="108" w:type="dxa"/>
            <w:bottom w:w="0" w:type="dxa"/>
            <w:right w:w="108" w:type="dxa"/>
          </w:tblCellMar>
        </w:tblPrEx>
        <w:trPr>
          <w:gridAfter w:val="1"/>
          <w:wAfter w:w="117"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lang w:eastAsia="zh-CN"/>
              </w:rPr>
              <w:t>数量</w:t>
            </w:r>
            <w:r>
              <w:rPr>
                <w:rFonts w:hint="eastAsia"/>
                <w:sz w:val="20"/>
                <w:szCs w:val="20"/>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开展教育联盟教研活动次数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eastAsia="zh-CN"/>
              </w:rPr>
            </w:pPr>
            <w:r>
              <w:rPr>
                <w:rFonts w:hint="eastAsia" w:eastAsia="宋体"/>
                <w:sz w:val="20"/>
                <w:szCs w:val="20"/>
                <w:lang w:val="en-US" w:eastAsia="zh-CN"/>
              </w:rPr>
              <w:t>4次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eastAsia="zh-CN"/>
              </w:rPr>
            </w:pPr>
            <w:r>
              <w:rPr>
                <w:rFonts w:hint="eastAsia" w:eastAsia="宋体"/>
                <w:sz w:val="20"/>
                <w:szCs w:val="20"/>
                <w:lang w:val="en-US" w:eastAsia="zh-CN"/>
              </w:rPr>
              <w:t>4次</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lang w:eastAsia="zh-CN"/>
              </w:rPr>
              <w:t>数量</w:t>
            </w:r>
            <w:r>
              <w:rPr>
                <w:rFonts w:hint="eastAsia"/>
                <w:sz w:val="20"/>
                <w:szCs w:val="20"/>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联盟教育质量监测次数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1次</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联盟教研活动参与率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物资采购、教研活动、质量监测及时率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采购物资验收合格率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eastAsia="仿宋_GB2312"/>
                <w:sz w:val="20"/>
                <w:szCs w:val="20"/>
                <w:lang w:eastAsia="zh-CN"/>
              </w:rPr>
            </w:pPr>
            <w:r>
              <w:rPr>
                <w:rFonts w:hint="eastAsia"/>
                <w:sz w:val="20"/>
                <w:szCs w:val="20"/>
                <w:lang w:eastAsia="zh-CN"/>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小学教育联盟经费预算控制数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0"/>
                <w:szCs w:val="20"/>
                <w:lang w:val="en-US" w:eastAsia="zh-CN"/>
              </w:rPr>
            </w:pPr>
            <w:r>
              <w:rPr>
                <w:rFonts w:hint="eastAsia"/>
                <w:sz w:val="20"/>
                <w:szCs w:val="20"/>
                <w:lang w:val="en-US" w:eastAsia="zh-CN"/>
              </w:rPr>
              <w:t>2.2万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0"/>
                <w:szCs w:val="20"/>
                <w:lang w:val="en-US" w:eastAsia="zh-CN"/>
              </w:rPr>
            </w:pPr>
            <w:r>
              <w:rPr>
                <w:rFonts w:hint="eastAsia"/>
                <w:sz w:val="20"/>
                <w:szCs w:val="20"/>
                <w:lang w:val="en-US" w:eastAsia="zh-CN"/>
              </w:rPr>
              <w:t>2.2万</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提高教师教育教学业务能力和教学水平，促进教育发展</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default" w:ascii="等线" w:hAnsi="等线" w:eastAsia="等线" w:cs="等线"/>
                <w:i w:val="0"/>
                <w:iCs w:val="0"/>
                <w:color w:val="000000"/>
                <w:kern w:val="0"/>
                <w:sz w:val="18"/>
                <w:szCs w:val="18"/>
                <w:u w:val="none"/>
                <w:lang w:val="en-US" w:eastAsia="zh-CN" w:bidi="ar"/>
              </w:rPr>
              <w:t>小学教育联盟经费制度健全性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p>
        </w:tc>
      </w:tr>
      <w:tr>
        <w:tblPrEx>
          <w:tblCellMar>
            <w:top w:w="0" w:type="dxa"/>
            <w:left w:w="108" w:type="dxa"/>
            <w:bottom w:w="0" w:type="dxa"/>
            <w:right w:w="108" w:type="dxa"/>
          </w:tblCellMar>
        </w:tblPrEx>
        <w:trPr>
          <w:gridAfter w:val="1"/>
          <w:wAfter w:w="117"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学生、家长、教职工满意度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lang w:val="zh-CN"/>
        </w:rPr>
      </w:pPr>
    </w:p>
    <w:p>
      <w:pPr>
        <w:widowControl/>
        <w:adjustRightInd w:val="0"/>
        <w:snapToGrid w:val="0"/>
        <w:spacing w:line="580" w:lineRule="exact"/>
        <w:contextualSpacing/>
        <w:jc w:val="left"/>
        <w:rPr>
          <w:color w:val="000000"/>
          <w:kern w:val="0"/>
          <w:szCs w:val="32"/>
          <w:shd w:val="clear" w:color="auto" w:fill="FFFFFF"/>
        </w:rPr>
      </w:pPr>
    </w:p>
    <w:p>
      <w:pPr>
        <w:widowControl/>
        <w:adjustRightInd w:val="0"/>
        <w:snapToGrid w:val="0"/>
        <w:spacing w:line="580" w:lineRule="exact"/>
        <w:ind w:firstLine="420" w:firstLineChars="200"/>
        <w:contextualSpacing/>
        <w:jc w:val="left"/>
        <w:rPr>
          <w:color w:val="000000" w:themeColor="text1"/>
          <w:kern w:val="0"/>
          <w:szCs w:val="32"/>
          <w:shd w:val="clear" w:color="auto" w:fill="FFFFFF"/>
          <w:lang w:val="zh-CN"/>
          <w14:textFill>
            <w14:solidFill>
              <w14:schemeClr w14:val="tx1"/>
            </w14:solidFill>
          </w14:textFill>
        </w:rPr>
        <w:sectPr>
          <w:pgSz w:w="11906" w:h="16838"/>
          <w:pgMar w:top="1701" w:right="1474" w:bottom="1134" w:left="1588" w:header="851" w:footer="992" w:gutter="0"/>
          <w:pgNumType w:fmt="numberInDash"/>
          <w:cols w:space="425" w:num="1"/>
          <w:docGrid w:type="lines" w:linePitch="435" w:charSpace="0"/>
        </w:sectPr>
      </w:pPr>
    </w:p>
    <w:p>
      <w:pPr>
        <w:spacing w:line="600" w:lineRule="exact"/>
        <w:jc w:val="center"/>
        <w:outlineLvl w:val="0"/>
        <w:rPr>
          <w:rStyle w:val="29"/>
          <w:rFonts w:eastAsia="黑体"/>
          <w:b w:val="0"/>
        </w:rPr>
      </w:pPr>
      <w:bookmarkStart w:id="57" w:name="_Toc15396618"/>
      <w:r>
        <w:rPr>
          <w:rFonts w:eastAsia="黑体"/>
          <w:sz w:val="44"/>
          <w:szCs w:val="44"/>
        </w:rPr>
        <w:t>第</w:t>
      </w:r>
      <w:r>
        <w:rPr>
          <w:rStyle w:val="29"/>
          <w:rFonts w:eastAsia="黑体"/>
          <w:b w:val="0"/>
        </w:rPr>
        <w:t>五部分 附表</w:t>
      </w:r>
      <w:bookmarkEnd w:id="51"/>
      <w:bookmarkEnd w:id="57"/>
      <w:bookmarkStart w:id="58" w:name="_Toc15396619"/>
    </w:p>
    <w:tbl>
      <w:tblPr>
        <w:tblStyle w:val="14"/>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一、</w:t>
            </w: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3,326.76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w:t>
            </w:r>
            <w:r>
              <w:rPr>
                <w:rFonts w:hint="eastAsia" w:ascii="宋体" w:hAnsi="宋体" w:cs="宋体"/>
                <w:i w:val="0"/>
                <w:iCs w:val="0"/>
                <w:color w:val="000000"/>
                <w:kern w:val="0"/>
                <w:sz w:val="22"/>
                <w:szCs w:val="22"/>
                <w:u w:val="none"/>
                <w:lang w:val="en-US" w:eastAsia="zh-CN" w:bidi="ar"/>
              </w:rPr>
              <w:t>的</w:t>
            </w:r>
            <w:r>
              <w:rPr>
                <w:rFonts w:hint="eastAsia" w:ascii="宋体" w:hAnsi="宋体" w:eastAsia="宋体" w:cs="宋体"/>
                <w:i w:val="0"/>
                <w:iCs w:val="0"/>
                <w:color w:val="000000"/>
                <w:kern w:val="0"/>
                <w:sz w:val="22"/>
                <w:szCs w:val="22"/>
                <w:u w:val="none"/>
                <w:lang w:val="en-US" w:eastAsia="zh-CN" w:bidi="ar"/>
              </w:rPr>
              <w:t>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w:t>
            </w:r>
            <w:r>
              <w:rPr>
                <w:rFonts w:hint="eastAsia" w:ascii="宋体" w:hAnsi="宋体" w:cs="宋体"/>
                <w:i w:val="0"/>
                <w:iCs w:val="0"/>
                <w:color w:val="000000"/>
                <w:kern w:val="0"/>
                <w:sz w:val="22"/>
                <w:szCs w:val="22"/>
                <w:u w:val="none"/>
                <w:lang w:val="en-US" w:eastAsia="zh-CN" w:bidi="ar"/>
              </w:rPr>
              <w:t>其他</w:t>
            </w:r>
            <w:r>
              <w:rPr>
                <w:rFonts w:hint="eastAsia" w:ascii="宋体" w:hAnsi="宋体" w:eastAsia="宋体" w:cs="宋体"/>
                <w:i w:val="0"/>
                <w:iCs w:val="0"/>
                <w:color w:val="000000"/>
                <w:kern w:val="0"/>
                <w:sz w:val="22"/>
                <w:szCs w:val="22"/>
                <w:u w:val="none"/>
                <w:lang w:val="en-US" w:eastAsia="zh-CN" w:bidi="ar"/>
              </w:rPr>
              <w:t>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十七、其他地区援助支出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5,114.71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5,774.14</w:t>
            </w:r>
          </w:p>
        </w:tc>
      </w:tr>
    </w:tbl>
    <w:p>
      <w:pPr>
        <w:pStyle w:val="6"/>
      </w:pPr>
    </w:p>
    <w:bookmarkEnd w:id="58"/>
    <w:p>
      <w:r>
        <w:br w:type="page"/>
      </w:r>
    </w:p>
    <w:tbl>
      <w:tblPr>
        <w:tblStyle w:val="14"/>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2"/>
        <w:gridCol w:w="222"/>
        <w:gridCol w:w="3956"/>
        <w:gridCol w:w="1635"/>
        <w:gridCol w:w="1635"/>
        <w:gridCol w:w="752"/>
        <w:gridCol w:w="733"/>
        <w:gridCol w:w="725"/>
        <w:gridCol w:w="73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45"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二、</w:t>
            </w: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5,114.71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5,114.71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5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2"/>
        <w:gridCol w:w="222"/>
        <w:gridCol w:w="3956"/>
        <w:gridCol w:w="1347"/>
        <w:gridCol w:w="1335"/>
        <w:gridCol w:w="1326"/>
        <w:gridCol w:w="562"/>
        <w:gridCol w:w="565"/>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84"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三、</w:t>
            </w: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4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2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6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5,114.71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3,038.26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2,076.45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36"/>
        <w:gridCol w:w="1096"/>
        <w:gridCol w:w="3516"/>
        <w:gridCol w:w="436"/>
        <w:gridCol w:w="1096"/>
        <w:gridCol w:w="1096"/>
        <w:gridCol w:w="109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65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四、</w:t>
            </w: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0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3,326.76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w:t>
            </w:r>
            <w:r>
              <w:rPr>
                <w:rFonts w:hint="eastAsia" w:ascii="宋体" w:hAnsi="宋体" w:cs="宋体"/>
                <w:i w:val="0"/>
                <w:iCs w:val="0"/>
                <w:color w:val="000000"/>
                <w:kern w:val="0"/>
                <w:sz w:val="22"/>
                <w:szCs w:val="22"/>
                <w:u w:val="none"/>
                <w:lang w:val="en-US" w:eastAsia="zh-CN" w:bidi="ar"/>
              </w:rPr>
              <w:t>其他</w:t>
            </w:r>
            <w:r>
              <w:rPr>
                <w:rFonts w:hint="eastAsia" w:ascii="宋体" w:hAnsi="宋体" w:eastAsia="宋体" w:cs="宋体"/>
                <w:i w:val="0"/>
                <w:iCs w:val="0"/>
                <w:color w:val="000000"/>
                <w:kern w:val="0"/>
                <w:sz w:val="22"/>
                <w:szCs w:val="22"/>
                <w:u w:val="none"/>
                <w:lang w:val="en-US" w:eastAsia="zh-CN" w:bidi="ar"/>
              </w:rPr>
              <w:t>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十七、其他地区援助支出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5,114.71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3,326.76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659.42</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3,986.19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3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1"/>
        <w:gridCol w:w="2680"/>
        <w:gridCol w:w="489"/>
        <w:gridCol w:w="987"/>
        <w:gridCol w:w="1031"/>
        <w:gridCol w:w="1031"/>
        <w:gridCol w:w="900"/>
        <w:gridCol w:w="994"/>
        <w:gridCol w:w="525"/>
        <w:gridCol w:w="1050"/>
        <w:gridCol w:w="337"/>
        <w:gridCol w:w="638"/>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367" w:type="dxa"/>
            <w:gridSpan w:val="1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cs="宋体"/>
                <w:i w:val="0"/>
                <w:iCs w:val="0"/>
                <w:color w:val="000000"/>
                <w:kern w:val="0"/>
                <w:sz w:val="44"/>
                <w:szCs w:val="44"/>
                <w:u w:val="none"/>
                <w:lang w:val="en-US" w:eastAsia="zh-CN" w:bidi="ar"/>
              </w:rPr>
              <w:t>五、</w:t>
            </w:r>
            <w:r>
              <w:rPr>
                <w:rFonts w:hint="eastAsia" w:ascii="宋体" w:hAnsi="宋体" w:eastAsia="宋体" w:cs="宋体"/>
                <w:i w:val="0"/>
                <w:iCs w:val="0"/>
                <w:color w:val="000000"/>
                <w:kern w:val="0"/>
                <w:sz w:val="44"/>
                <w:szCs w:val="44"/>
                <w:u w:val="none"/>
                <w:lang w:val="en-US" w:eastAsia="zh-CN" w:bidi="ar"/>
              </w:rPr>
              <w:t>财政拨款支出决算明细表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041"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6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2"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721"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编制单位：达川区逸夫小学</w:t>
            </w:r>
          </w:p>
        </w:tc>
        <w:tc>
          <w:tcPr>
            <w:tcW w:w="4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39"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721"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489"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987"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962"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569"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639"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041"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经济分类科目代码</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89"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987"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9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3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6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1"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5,114.71</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3,326.76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3,038.26</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288.50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1,787.95</w:t>
            </w: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1,787.95</w:t>
            </w: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工资福利支出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2,624.96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2,624.96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2,624.96</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915.87</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915.87</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915.87</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22.83</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22.83</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22.83</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564.17</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564.17</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564.17</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512.35</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243.78</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243.78</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243.78</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105.98</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105.98</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105.98</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174.13</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174.13</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174.13</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85.85</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商品和服务支出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396.90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396.90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396.90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48.37</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48.37</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48.37</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47.07</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47.07</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47.07</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27.24</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27.24</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27.24</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115.74</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115.74</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115.74</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对个人和家庭的补助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其他个人和家庭的补助支出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债务利息及费用支出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资本性支出（基本建设）</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310</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资本性支出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2,076.45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288.50</w:t>
            </w: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288.50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1,787.95</w:t>
            </w: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1,787.95</w:t>
            </w: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2,076.45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288.50</w:t>
            </w: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288.50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1,787.95</w:t>
            </w: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1,787.95</w:t>
            </w: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地上附着物和青苗补偿</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对企业</w:t>
            </w:r>
            <w:r>
              <w:rPr>
                <w:rFonts w:hint="eastAsia" w:ascii="宋体" w:hAnsi="宋体" w:cs="宋体"/>
                <w:b/>
                <w:bCs/>
                <w:i w:val="0"/>
                <w:iCs w:val="0"/>
                <w:color w:val="000000"/>
                <w:kern w:val="0"/>
                <w:sz w:val="18"/>
                <w:szCs w:val="18"/>
                <w:u w:val="none"/>
                <w:lang w:val="en-US" w:eastAsia="zh-CN" w:bidi="ar"/>
              </w:rPr>
              <w:t>给予</w:t>
            </w:r>
            <w:r>
              <w:rPr>
                <w:rFonts w:hint="eastAsia" w:ascii="宋体" w:hAnsi="宋体" w:eastAsia="宋体" w:cs="宋体"/>
                <w:b/>
                <w:bCs/>
                <w:i w:val="0"/>
                <w:iCs w:val="0"/>
                <w:color w:val="000000"/>
                <w:kern w:val="0"/>
                <w:sz w:val="18"/>
                <w:szCs w:val="18"/>
                <w:u w:val="none"/>
                <w:lang w:val="en-US" w:eastAsia="zh-CN" w:bidi="ar"/>
              </w:rPr>
              <w:t>补助（基本建设）</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w:t>
            </w:r>
            <w:r>
              <w:rPr>
                <w:rFonts w:hint="eastAsia" w:ascii="宋体" w:hAnsi="宋体" w:cs="宋体"/>
                <w:i w:val="0"/>
                <w:iCs w:val="0"/>
                <w:color w:val="000000"/>
                <w:kern w:val="0"/>
                <w:sz w:val="18"/>
                <w:szCs w:val="18"/>
                <w:u w:val="none"/>
                <w:lang w:val="en-US" w:eastAsia="zh-CN" w:bidi="ar"/>
              </w:rPr>
              <w:t>提供</w:t>
            </w:r>
            <w:r>
              <w:rPr>
                <w:rFonts w:hint="eastAsia" w:ascii="宋体" w:hAnsi="宋体" w:eastAsia="宋体" w:cs="宋体"/>
                <w:i w:val="0"/>
                <w:iCs w:val="0"/>
                <w:color w:val="000000"/>
                <w:kern w:val="0"/>
                <w:sz w:val="18"/>
                <w:szCs w:val="18"/>
                <w:u w:val="none"/>
                <w:lang w:val="en-US" w:eastAsia="zh-CN" w:bidi="ar"/>
              </w:rPr>
              <w:t>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对企业</w:t>
            </w:r>
            <w:r>
              <w:rPr>
                <w:rFonts w:hint="eastAsia" w:ascii="宋体" w:hAnsi="宋体" w:cs="宋体"/>
                <w:b/>
                <w:bCs/>
                <w:i w:val="0"/>
                <w:iCs w:val="0"/>
                <w:color w:val="000000"/>
                <w:kern w:val="0"/>
                <w:sz w:val="18"/>
                <w:szCs w:val="18"/>
                <w:u w:val="none"/>
                <w:lang w:val="en-US" w:eastAsia="zh-CN" w:bidi="ar"/>
              </w:rPr>
              <w:t>给予</w:t>
            </w:r>
            <w:r>
              <w:rPr>
                <w:rFonts w:hint="eastAsia" w:ascii="宋体" w:hAnsi="宋体" w:eastAsia="宋体" w:cs="宋体"/>
                <w:b/>
                <w:bCs/>
                <w:i w:val="0"/>
                <w:iCs w:val="0"/>
                <w:color w:val="000000"/>
                <w:kern w:val="0"/>
                <w:sz w:val="18"/>
                <w:szCs w:val="18"/>
                <w:u w:val="none"/>
                <w:lang w:val="en-US" w:eastAsia="zh-CN" w:bidi="ar"/>
              </w:rPr>
              <w:t>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政府投资基金股权投资</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对社会保障基金</w:t>
            </w:r>
            <w:r>
              <w:rPr>
                <w:rFonts w:hint="eastAsia" w:ascii="宋体" w:hAnsi="宋体" w:cs="宋体"/>
                <w:b/>
                <w:bCs/>
                <w:i w:val="0"/>
                <w:iCs w:val="0"/>
                <w:color w:val="000000"/>
                <w:kern w:val="0"/>
                <w:sz w:val="18"/>
                <w:szCs w:val="18"/>
                <w:u w:val="none"/>
                <w:lang w:val="en-US" w:eastAsia="zh-CN" w:bidi="ar"/>
              </w:rPr>
              <w:t>给予</w:t>
            </w:r>
            <w:r>
              <w:rPr>
                <w:rFonts w:hint="eastAsia" w:ascii="宋体" w:hAnsi="宋体" w:eastAsia="宋体" w:cs="宋体"/>
                <w:b/>
                <w:bCs/>
                <w:i w:val="0"/>
                <w:iCs w:val="0"/>
                <w:color w:val="000000"/>
                <w:kern w:val="0"/>
                <w:sz w:val="18"/>
                <w:szCs w:val="18"/>
                <w:u w:val="none"/>
                <w:lang w:val="en-US" w:eastAsia="zh-CN" w:bidi="ar"/>
              </w:rPr>
              <w:t>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对社会保险基金</w:t>
            </w:r>
            <w:r>
              <w:rPr>
                <w:rFonts w:hint="eastAsia" w:ascii="宋体" w:hAnsi="宋体" w:cs="宋体"/>
                <w:i w:val="0"/>
                <w:iCs w:val="0"/>
                <w:color w:val="000000"/>
                <w:kern w:val="0"/>
                <w:sz w:val="18"/>
                <w:szCs w:val="18"/>
                <w:u w:val="none"/>
                <w:lang w:val="en-US" w:eastAsia="zh-CN" w:bidi="ar"/>
              </w:rPr>
              <w:t>进行</w:t>
            </w:r>
            <w:r>
              <w:rPr>
                <w:rFonts w:hint="eastAsia" w:ascii="宋体" w:hAnsi="宋体" w:eastAsia="宋体" w:cs="宋体"/>
                <w:i w:val="0"/>
                <w:iCs w:val="0"/>
                <w:color w:val="000000"/>
                <w:kern w:val="0"/>
                <w:sz w:val="18"/>
                <w:szCs w:val="18"/>
                <w:u w:val="none"/>
                <w:lang w:val="en-US" w:eastAsia="zh-CN" w:bidi="ar"/>
              </w:rPr>
              <w:t>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补充全国社会保障基金</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对机关事业单位职业年金的补助</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w:t>
            </w:r>
            <w:r>
              <w:rPr>
                <w:rFonts w:hint="eastAsia" w:ascii="宋体" w:hAnsi="宋体" w:cs="宋体"/>
                <w:i w:val="0"/>
                <w:iCs w:val="0"/>
                <w:color w:val="000000"/>
                <w:kern w:val="0"/>
                <w:sz w:val="18"/>
                <w:szCs w:val="18"/>
                <w:u w:val="none"/>
                <w:lang w:val="en-US" w:eastAsia="zh-CN" w:bidi="ar"/>
              </w:rPr>
              <w:t>性</w:t>
            </w:r>
            <w:r>
              <w:rPr>
                <w:rFonts w:hint="eastAsia" w:ascii="宋体" w:hAnsi="宋体" w:eastAsia="宋体" w:cs="宋体"/>
                <w:i w:val="0"/>
                <w:iCs w:val="0"/>
                <w:color w:val="000000"/>
                <w:kern w:val="0"/>
                <w:sz w:val="18"/>
                <w:szCs w:val="18"/>
                <w:u w:val="none"/>
                <w:lang w:val="en-US" w:eastAsia="zh-CN" w:bidi="ar"/>
              </w:rPr>
              <w:t>组织和群众性自治组织</w:t>
            </w:r>
            <w:r>
              <w:rPr>
                <w:rFonts w:hint="eastAsia" w:ascii="宋体" w:hAnsi="宋体" w:cs="宋体"/>
                <w:i w:val="0"/>
                <w:iCs w:val="0"/>
                <w:color w:val="000000"/>
                <w:kern w:val="0"/>
                <w:sz w:val="18"/>
                <w:szCs w:val="18"/>
                <w:u w:val="none"/>
                <w:lang w:val="en-US" w:eastAsia="zh-CN" w:bidi="ar"/>
              </w:rPr>
              <w:t>给予</w:t>
            </w:r>
            <w:r>
              <w:rPr>
                <w:rFonts w:hint="eastAsia" w:ascii="宋体" w:hAnsi="宋体" w:eastAsia="宋体" w:cs="宋体"/>
                <w:i w:val="0"/>
                <w:iCs w:val="0"/>
                <w:color w:val="000000"/>
                <w:kern w:val="0"/>
                <w:sz w:val="18"/>
                <w:szCs w:val="18"/>
                <w:u w:val="none"/>
                <w:lang w:val="en-US" w:eastAsia="zh-CN" w:bidi="ar"/>
              </w:rPr>
              <w:t>补贴</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2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4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r>
        <w:br w:type="page"/>
      </w:r>
    </w:p>
    <w:tbl>
      <w:tblPr>
        <w:tblStyle w:val="14"/>
        <w:tblW w:w="13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6"/>
        <w:gridCol w:w="222"/>
        <w:gridCol w:w="222"/>
        <w:gridCol w:w="3956"/>
        <w:gridCol w:w="2299"/>
        <w:gridCol w:w="1969"/>
        <w:gridCol w:w="2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53"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六、一般公共预算财政拨款支出决算表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6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6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3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5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6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6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9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6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6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9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6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6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3,326.76</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3,038.26</w:t>
            </w:r>
          </w:p>
        </w:tc>
        <w:tc>
          <w:tcPr>
            <w:tcW w:w="2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2,514.37</w:t>
            </w:r>
          </w:p>
        </w:tc>
        <w:tc>
          <w:tcPr>
            <w:tcW w:w="2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2,514.37</w:t>
            </w:r>
          </w:p>
        </w:tc>
        <w:tc>
          <w:tcPr>
            <w:tcW w:w="2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2,514.37</w:t>
            </w:r>
          </w:p>
        </w:tc>
        <w:tc>
          <w:tcPr>
            <w:tcW w:w="2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5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5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4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2"/>
        <w:gridCol w:w="222"/>
        <w:gridCol w:w="3956"/>
        <w:gridCol w:w="1096"/>
        <w:gridCol w:w="1290"/>
        <w:gridCol w:w="1169"/>
        <w:gridCol w:w="1048"/>
        <w:gridCol w:w="1162"/>
        <w:gridCol w:w="662"/>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205" w:type="dxa"/>
            <w:gridSpan w:val="11"/>
            <w:vMerge w:val="restar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七、一般公共预算财政拨款支出决算明细表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205" w:type="dxa"/>
            <w:gridSpan w:val="11"/>
            <w:vMerge w:val="continue"/>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6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03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3,326.76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750"/>
        <w:gridCol w:w="1230"/>
        <w:gridCol w:w="1125"/>
        <w:gridCol w:w="1020"/>
        <w:gridCol w:w="1230"/>
        <w:gridCol w:w="900"/>
        <w:gridCol w:w="1230"/>
        <w:gridCol w:w="1230"/>
        <w:gridCol w:w="1230"/>
        <w:gridCol w:w="1230"/>
        <w:gridCol w:w="88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715" w:type="dxa"/>
            <w:gridSpan w:val="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（续表七）</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工资福利支出</w:t>
            </w:r>
          </w:p>
        </w:tc>
        <w:tc>
          <w:tcPr>
            <w:tcW w:w="5355" w:type="dxa"/>
            <w:gridSpan w:val="5"/>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机关事业单位基本养老保险费</w:t>
            </w:r>
          </w:p>
        </w:tc>
        <w:tc>
          <w:tcPr>
            <w:tcW w:w="7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11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10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8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7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396.90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396.90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396.90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396.90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8"/>
        <w:gridCol w:w="956"/>
        <w:gridCol w:w="1163"/>
        <w:gridCol w:w="673"/>
        <w:gridCol w:w="1333"/>
        <w:gridCol w:w="1087"/>
        <w:gridCol w:w="1463"/>
        <w:gridCol w:w="1050"/>
        <w:gridCol w:w="994"/>
        <w:gridCol w:w="1143"/>
        <w:gridCol w:w="97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15" w:type="dxa"/>
            <w:gridSpan w:val="12"/>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（续表七）</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9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1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67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3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0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4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10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9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114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13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2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w:t>
            </w: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1230"/>
        <w:gridCol w:w="1230"/>
        <w:gridCol w:w="1230"/>
        <w:gridCol w:w="1230"/>
        <w:gridCol w:w="1230"/>
        <w:gridCol w:w="1230"/>
        <w:gridCol w:w="1230"/>
        <w:gridCol w:w="12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30" w:type="dxa"/>
            <w:gridSpan w:val="11"/>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（续表七）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855"/>
        <w:gridCol w:w="795"/>
        <w:gridCol w:w="1230"/>
        <w:gridCol w:w="765"/>
        <w:gridCol w:w="1230"/>
        <w:gridCol w:w="795"/>
        <w:gridCol w:w="1230"/>
        <w:gridCol w:w="780"/>
        <w:gridCol w:w="810"/>
        <w:gridCol w:w="1050"/>
        <w:gridCol w:w="990"/>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265" w:type="dxa"/>
            <w:gridSpan w:val="1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（续表七）                                            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7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7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7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7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8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10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9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15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其他个人和家庭的补助支出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675"/>
        <w:gridCol w:w="675"/>
        <w:gridCol w:w="795"/>
        <w:gridCol w:w="675"/>
        <w:gridCol w:w="675"/>
        <w:gridCol w:w="675"/>
        <w:gridCol w:w="675"/>
        <w:gridCol w:w="675"/>
        <w:gridCol w:w="675"/>
        <w:gridCol w:w="675"/>
        <w:gridCol w:w="675"/>
        <w:gridCol w:w="675"/>
        <w:gridCol w:w="675"/>
        <w:gridCol w:w="920"/>
        <w:gridCol w:w="957"/>
        <w:gridCol w:w="825"/>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95" w:type="dxa"/>
            <w:gridSpan w:val="5"/>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（续表七）债务利息及费用支出</w:t>
            </w:r>
          </w:p>
        </w:tc>
        <w:tc>
          <w:tcPr>
            <w:tcW w:w="9733" w:type="dxa"/>
            <w:gridSpan w:val="1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资本性支出（基本建设）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国外债务付息</w:t>
            </w:r>
          </w:p>
        </w:tc>
        <w:tc>
          <w:tcPr>
            <w:tcW w:w="7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国内债务发行费用</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国外债务发行费用</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房屋建筑物购建</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信息网络及软件购置更新</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物资储备</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9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其他交通工具购置</w:t>
            </w:r>
          </w:p>
        </w:tc>
        <w:tc>
          <w:tcPr>
            <w:tcW w:w="9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文物和陈列品购置</w:t>
            </w:r>
          </w:p>
        </w:tc>
        <w:tc>
          <w:tcPr>
            <w:tcW w:w="8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无形资产购置</w:t>
            </w:r>
          </w:p>
        </w:tc>
        <w:tc>
          <w:tcPr>
            <w:tcW w:w="9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其他基本建设支出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9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065"/>
        <w:gridCol w:w="705"/>
        <w:gridCol w:w="750"/>
        <w:gridCol w:w="765"/>
        <w:gridCol w:w="525"/>
        <w:gridCol w:w="900"/>
        <w:gridCol w:w="630"/>
        <w:gridCol w:w="480"/>
        <w:gridCol w:w="645"/>
        <w:gridCol w:w="1125"/>
        <w:gridCol w:w="630"/>
        <w:gridCol w:w="765"/>
        <w:gridCol w:w="855"/>
        <w:gridCol w:w="1035"/>
        <w:gridCol w:w="78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5" w:type="dxa"/>
            <w:gridSpan w:val="1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（续表七）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房屋建筑物购建</w:t>
            </w:r>
          </w:p>
        </w:tc>
        <w:tc>
          <w:tcPr>
            <w:tcW w:w="7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w:t>
            </w:r>
          </w:p>
        </w:tc>
        <w:tc>
          <w:tcPr>
            <w:tcW w:w="7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7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5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9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信息网络及软件购置更新</w:t>
            </w:r>
          </w:p>
        </w:tc>
        <w:tc>
          <w:tcPr>
            <w:tcW w:w="6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物资储备</w:t>
            </w:r>
          </w:p>
        </w:tc>
        <w:tc>
          <w:tcPr>
            <w:tcW w:w="4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土地补偿</w:t>
            </w:r>
          </w:p>
        </w:tc>
        <w:tc>
          <w:tcPr>
            <w:tcW w:w="6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安置补助</w:t>
            </w:r>
          </w:p>
        </w:tc>
        <w:tc>
          <w:tcPr>
            <w:tcW w:w="11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地上附着物和青苗补偿</w:t>
            </w:r>
          </w:p>
        </w:tc>
        <w:tc>
          <w:tcPr>
            <w:tcW w:w="6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拆迁补偿</w:t>
            </w:r>
          </w:p>
        </w:tc>
        <w:tc>
          <w:tcPr>
            <w:tcW w:w="7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8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其他交通工具购置</w:t>
            </w:r>
          </w:p>
        </w:tc>
        <w:tc>
          <w:tcPr>
            <w:tcW w:w="10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文物和陈列品购置</w:t>
            </w:r>
          </w:p>
        </w:tc>
        <w:tc>
          <w:tcPr>
            <w:tcW w:w="7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无形资产购置</w:t>
            </w:r>
          </w:p>
        </w:tc>
        <w:tc>
          <w:tcPr>
            <w:tcW w:w="8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8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249"/>
        <w:gridCol w:w="426"/>
        <w:gridCol w:w="1035"/>
        <w:gridCol w:w="416"/>
        <w:gridCol w:w="675"/>
        <w:gridCol w:w="636"/>
        <w:gridCol w:w="279"/>
        <w:gridCol w:w="510"/>
        <w:gridCol w:w="317"/>
        <w:gridCol w:w="193"/>
        <w:gridCol w:w="615"/>
        <w:gridCol w:w="17"/>
        <w:gridCol w:w="499"/>
        <w:gridCol w:w="885"/>
        <w:gridCol w:w="249"/>
        <w:gridCol w:w="726"/>
        <w:gridCol w:w="266"/>
        <w:gridCol w:w="825"/>
        <w:gridCol w:w="4"/>
        <w:gridCol w:w="516"/>
        <w:gridCol w:w="945"/>
        <w:gridCol w:w="1095"/>
        <w:gridCol w:w="515"/>
        <w:gridCol w:w="160"/>
        <w:gridCol w:w="630"/>
        <w:gridCol w:w="174"/>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7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59"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888" w:type="dxa"/>
            <w:gridSpan w:val="2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（续表七）</w:t>
            </w:r>
          </w:p>
        </w:tc>
        <w:tc>
          <w:tcPr>
            <w:tcW w:w="1959"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20" w:type="dxa"/>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w:t>
            </w:r>
            <w:r>
              <w:rPr>
                <w:rFonts w:hint="eastAsia" w:ascii="宋体" w:hAnsi="宋体" w:cs="宋体"/>
                <w:i w:val="0"/>
                <w:iCs w:val="0"/>
                <w:color w:val="000000"/>
                <w:kern w:val="0"/>
                <w:sz w:val="20"/>
                <w:szCs w:val="20"/>
                <w:u w:val="none"/>
                <w:lang w:val="en-US" w:eastAsia="zh-CN" w:bidi="ar"/>
              </w:rPr>
              <w:t>给予</w:t>
            </w:r>
            <w:r>
              <w:rPr>
                <w:rFonts w:hint="eastAsia" w:ascii="宋体" w:hAnsi="宋体" w:eastAsia="宋体" w:cs="宋体"/>
                <w:i w:val="0"/>
                <w:iCs w:val="0"/>
                <w:color w:val="000000"/>
                <w:kern w:val="0"/>
                <w:sz w:val="20"/>
                <w:szCs w:val="20"/>
                <w:u w:val="none"/>
                <w:lang w:val="en-US" w:eastAsia="zh-CN" w:bidi="ar"/>
              </w:rPr>
              <w:t>补助（基本建设）</w:t>
            </w:r>
          </w:p>
        </w:tc>
        <w:tc>
          <w:tcPr>
            <w:tcW w:w="3641" w:type="dxa"/>
            <w:gridSpan w:val="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w:t>
            </w:r>
            <w:r>
              <w:rPr>
                <w:rFonts w:hint="eastAsia" w:ascii="宋体" w:hAnsi="宋体" w:cs="宋体"/>
                <w:i w:val="0"/>
                <w:iCs w:val="0"/>
                <w:color w:val="000000"/>
                <w:kern w:val="0"/>
                <w:sz w:val="20"/>
                <w:szCs w:val="20"/>
                <w:u w:val="none"/>
                <w:lang w:val="en-US" w:eastAsia="zh-CN" w:bidi="ar"/>
              </w:rPr>
              <w:t>给予</w:t>
            </w:r>
            <w:r>
              <w:rPr>
                <w:rFonts w:hint="eastAsia" w:ascii="宋体" w:hAnsi="宋体" w:eastAsia="宋体" w:cs="宋体"/>
                <w:i w:val="0"/>
                <w:iCs w:val="0"/>
                <w:color w:val="000000"/>
                <w:kern w:val="0"/>
                <w:sz w:val="20"/>
                <w:szCs w:val="20"/>
                <w:u w:val="none"/>
                <w:lang w:val="en-US" w:eastAsia="zh-CN" w:bidi="ar"/>
              </w:rPr>
              <w:t>补助</w:t>
            </w:r>
          </w:p>
        </w:tc>
        <w:tc>
          <w:tcPr>
            <w:tcW w:w="3471" w:type="dxa"/>
            <w:gridSpan w:val="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对社会保障基金</w:t>
            </w:r>
            <w:r>
              <w:rPr>
                <w:rFonts w:hint="eastAsia" w:ascii="宋体" w:hAnsi="宋体" w:cs="宋体"/>
                <w:i w:val="0"/>
                <w:iCs w:val="0"/>
                <w:color w:val="000000"/>
                <w:kern w:val="0"/>
                <w:sz w:val="20"/>
                <w:szCs w:val="20"/>
                <w:u w:val="none"/>
                <w:lang w:val="en-US" w:eastAsia="zh-CN" w:bidi="ar"/>
              </w:rPr>
              <w:t>给予</w:t>
            </w:r>
            <w:r>
              <w:rPr>
                <w:rFonts w:hint="eastAsia" w:ascii="宋体" w:hAnsi="宋体" w:eastAsia="宋体" w:cs="宋体"/>
                <w:i w:val="0"/>
                <w:iCs w:val="0"/>
                <w:color w:val="000000"/>
                <w:kern w:val="0"/>
                <w:sz w:val="20"/>
                <w:szCs w:val="20"/>
                <w:u w:val="none"/>
                <w:lang w:val="en-US" w:eastAsia="zh-CN" w:bidi="ar"/>
              </w:rPr>
              <w:t>补助</w:t>
            </w:r>
          </w:p>
        </w:tc>
        <w:tc>
          <w:tcPr>
            <w:tcW w:w="4515" w:type="dxa"/>
            <w:gridSpan w:val="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7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资本金注入</w:t>
            </w:r>
          </w:p>
        </w:tc>
        <w:tc>
          <w:tcPr>
            <w:tcW w:w="10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其他对企业补助</w:t>
            </w:r>
          </w:p>
        </w:tc>
        <w:tc>
          <w:tcPr>
            <w:tcW w:w="4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资本金注入</w:t>
            </w:r>
          </w:p>
        </w:tc>
        <w:tc>
          <w:tcPr>
            <w:tcW w:w="9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政府投资基金股权投资</w:t>
            </w:r>
          </w:p>
        </w:tc>
        <w:tc>
          <w:tcPr>
            <w:tcW w:w="5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费用补贴</w:t>
            </w:r>
          </w:p>
        </w:tc>
        <w:tc>
          <w:tcPr>
            <w:tcW w:w="51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利息补贴</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其他对企业补助</w:t>
            </w:r>
          </w:p>
        </w:tc>
        <w:tc>
          <w:tcPr>
            <w:tcW w:w="516"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对社会保险基金补助</w:t>
            </w:r>
          </w:p>
        </w:tc>
        <w:tc>
          <w:tcPr>
            <w:tcW w:w="97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补充全国社会保障基金</w:t>
            </w:r>
          </w:p>
        </w:tc>
        <w:tc>
          <w:tcPr>
            <w:tcW w:w="109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对机关事业单位职业年金的补助</w:t>
            </w:r>
          </w:p>
        </w:tc>
        <w:tc>
          <w:tcPr>
            <w:tcW w:w="5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国家赔偿费用支出</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对民间非营利</w:t>
            </w:r>
            <w:r>
              <w:rPr>
                <w:rFonts w:hint="eastAsia" w:ascii="宋体" w:hAnsi="宋体" w:cs="宋体"/>
                <w:i w:val="0"/>
                <w:iCs w:val="0"/>
                <w:color w:val="000000"/>
                <w:kern w:val="0"/>
                <w:sz w:val="20"/>
                <w:szCs w:val="20"/>
                <w:u w:val="none"/>
                <w:lang w:val="en-US" w:eastAsia="zh-CN" w:bidi="ar"/>
              </w:rPr>
              <w:t>性</w:t>
            </w:r>
            <w:r>
              <w:rPr>
                <w:rFonts w:hint="eastAsia" w:ascii="宋体" w:hAnsi="宋体" w:eastAsia="宋体" w:cs="宋体"/>
                <w:i w:val="0"/>
                <w:iCs w:val="0"/>
                <w:color w:val="000000"/>
                <w:kern w:val="0"/>
                <w:sz w:val="20"/>
                <w:szCs w:val="20"/>
                <w:u w:val="none"/>
                <w:lang w:val="en-US" w:eastAsia="zh-CN" w:bidi="ar"/>
              </w:rPr>
              <w:t>组织和群众性自治组织</w:t>
            </w:r>
            <w:r>
              <w:rPr>
                <w:rFonts w:hint="eastAsia" w:ascii="宋体" w:hAnsi="宋体" w:cs="宋体"/>
                <w:i w:val="0"/>
                <w:iCs w:val="0"/>
                <w:color w:val="000000"/>
                <w:kern w:val="0"/>
                <w:sz w:val="20"/>
                <w:szCs w:val="20"/>
                <w:u w:val="none"/>
                <w:lang w:val="en-US" w:eastAsia="zh-CN" w:bidi="ar"/>
              </w:rPr>
              <w:t>给予</w:t>
            </w:r>
            <w:r>
              <w:rPr>
                <w:rFonts w:hint="eastAsia" w:ascii="宋体" w:hAnsi="宋体" w:eastAsia="宋体" w:cs="宋体"/>
                <w:i w:val="0"/>
                <w:iCs w:val="0"/>
                <w:color w:val="000000"/>
                <w:kern w:val="0"/>
                <w:sz w:val="20"/>
                <w:szCs w:val="20"/>
                <w:u w:val="none"/>
                <w:lang w:val="en-US" w:eastAsia="zh-CN" w:bidi="ar"/>
              </w:rPr>
              <w:t>补贴</w:t>
            </w:r>
          </w:p>
        </w:tc>
        <w:tc>
          <w:tcPr>
            <w:tcW w:w="67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经常性赠与</w:t>
            </w:r>
          </w:p>
        </w:tc>
        <w:tc>
          <w:tcPr>
            <w:tcW w:w="6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资本性赠与</w:t>
            </w:r>
          </w:p>
        </w:tc>
        <w:tc>
          <w:tcPr>
            <w:tcW w:w="654"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1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1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16"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7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95"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54"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1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1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16"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7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95"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7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54"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7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4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1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5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1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6"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8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97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9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5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9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7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654"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7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90" w:hRule="atLeast"/>
        </w:trPr>
        <w:tc>
          <w:tcPr>
            <w:tcW w:w="13367" w:type="dxa"/>
            <w:gridSpan w:val="2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八、一般公共预算财政拨款基本支出决算明细表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255" w:hRule="atLeast"/>
        </w:trPr>
        <w:tc>
          <w:tcPr>
            <w:tcW w:w="759"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188"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6"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33"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39" w:type="dxa"/>
            <w:gridSpan w:val="8"/>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255" w:hRule="atLeast"/>
        </w:trPr>
        <w:tc>
          <w:tcPr>
            <w:tcW w:w="3947" w:type="dxa"/>
            <w:gridSpan w:val="7"/>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1106"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33"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39" w:type="dxa"/>
            <w:gridSpan w:val="8"/>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5053" w:type="dxa"/>
            <w:gridSpan w:val="10"/>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314" w:type="dxa"/>
            <w:gridSpan w:val="1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188"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06"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25"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633"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92"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075" w:type="dxa"/>
            <w:gridSpan w:val="5"/>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64"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188" w:type="dxa"/>
            <w:gridSpan w:val="5"/>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106"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633"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92"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075" w:type="dxa"/>
            <w:gridSpan w:val="5"/>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964"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2,624.96</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396.90</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915.87</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48.37</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22.83</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564.17</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512.35</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243.78</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105.98</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47.07</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174.13</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85.85</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20.85</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22.33</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w:t>
            </w:r>
            <w:r>
              <w:rPr>
                <w:rFonts w:hint="eastAsia" w:ascii="宋体" w:hAnsi="宋体" w:cs="宋体"/>
                <w:i w:val="0"/>
                <w:iCs w:val="0"/>
                <w:color w:val="000000"/>
                <w:kern w:val="0"/>
                <w:sz w:val="20"/>
                <w:szCs w:val="20"/>
                <w:u w:val="none"/>
                <w:lang w:val="en-US" w:eastAsia="zh-CN" w:bidi="ar"/>
              </w:rPr>
              <w:t>性</w:t>
            </w:r>
            <w:r>
              <w:rPr>
                <w:rFonts w:hint="eastAsia" w:ascii="宋体" w:hAnsi="宋体" w:eastAsia="宋体" w:cs="宋体"/>
                <w:i w:val="0"/>
                <w:iCs w:val="0"/>
                <w:color w:val="000000"/>
                <w:kern w:val="0"/>
                <w:sz w:val="20"/>
                <w:szCs w:val="20"/>
                <w:u w:val="none"/>
                <w:lang w:val="en-US" w:eastAsia="zh-CN" w:bidi="ar"/>
              </w:rPr>
              <w:t>组织和群众性自治组织</w:t>
            </w:r>
            <w:r>
              <w:rPr>
                <w:rFonts w:hint="eastAsia" w:ascii="宋体" w:hAnsi="宋体" w:cs="宋体"/>
                <w:i w:val="0"/>
                <w:iCs w:val="0"/>
                <w:color w:val="000000"/>
                <w:kern w:val="0"/>
                <w:sz w:val="20"/>
                <w:szCs w:val="20"/>
                <w:u w:val="none"/>
                <w:lang w:val="en-US" w:eastAsia="zh-CN" w:bidi="ar"/>
              </w:rPr>
              <w:t>给予</w:t>
            </w:r>
            <w:r>
              <w:rPr>
                <w:rFonts w:hint="eastAsia" w:ascii="宋体" w:hAnsi="宋体" w:eastAsia="宋体" w:cs="宋体"/>
                <w:i w:val="0"/>
                <w:iCs w:val="0"/>
                <w:color w:val="000000"/>
                <w:kern w:val="0"/>
                <w:sz w:val="20"/>
                <w:szCs w:val="20"/>
                <w:u w:val="none"/>
                <w:lang w:val="en-US" w:eastAsia="zh-CN" w:bidi="ar"/>
              </w:rPr>
              <w:t>补贴</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27.24</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0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18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075" w:type="dxa"/>
            <w:gridSpan w:val="5"/>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759"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188" w:type="dxa"/>
            <w:gridSpan w:val="5"/>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10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633"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115.74</w:t>
            </w:r>
          </w:p>
        </w:tc>
        <w:tc>
          <w:tcPr>
            <w:tcW w:w="82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075" w:type="dxa"/>
            <w:gridSpan w:val="5"/>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964"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0" w:type="dxa"/>
          <w:trHeight w:val="308" w:hRule="atLeast"/>
        </w:trPr>
        <w:tc>
          <w:tcPr>
            <w:tcW w:w="3947" w:type="dxa"/>
            <w:gridSpan w:val="7"/>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2,641.36</w:t>
            </w:r>
          </w:p>
        </w:tc>
        <w:tc>
          <w:tcPr>
            <w:tcW w:w="7350" w:type="dxa"/>
            <w:gridSpan w:val="1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96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396.90</w:t>
            </w:r>
          </w:p>
        </w:tc>
      </w:tr>
    </w:tbl>
    <w:p>
      <w:pPr>
        <w:pStyle w:val="6"/>
      </w:pPr>
    </w:p>
    <w:p>
      <w:pPr>
        <w:pStyle w:val="6"/>
      </w:pPr>
    </w:p>
    <w:p>
      <w:r>
        <w:br w:type="page"/>
      </w:r>
    </w:p>
    <w:tbl>
      <w:tblPr>
        <w:tblStyle w:val="14"/>
        <w:tblW w:w="133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8"/>
        <w:gridCol w:w="228"/>
        <w:gridCol w:w="326"/>
        <w:gridCol w:w="3154"/>
        <w:gridCol w:w="3381"/>
        <w:gridCol w:w="4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367"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九、一般公共预算财政拨款项目支出决算表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58"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5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2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6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38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0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1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5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38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81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5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38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6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288.50</w:t>
            </w:r>
          </w:p>
        </w:tc>
        <w:tc>
          <w:tcPr>
            <w:tcW w:w="4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7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3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4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3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4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3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3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4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7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7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7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71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6"/>
        <w:gridCol w:w="222"/>
        <w:gridCol w:w="222"/>
        <w:gridCol w:w="3736"/>
        <w:gridCol w:w="888"/>
        <w:gridCol w:w="1256"/>
        <w:gridCol w:w="1163"/>
        <w:gridCol w:w="956"/>
        <w:gridCol w:w="1294"/>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247"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十、政府性基金预算财政拨款收入支出决算表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88"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5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413"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8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1,787.95</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1,787.95</w:t>
            </w: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1,787.95</w:t>
            </w: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7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37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37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1,787.95</w:t>
            </w: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3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3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3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3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3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28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6"/>
        <w:gridCol w:w="231"/>
        <w:gridCol w:w="447"/>
        <w:gridCol w:w="1140"/>
        <w:gridCol w:w="2846"/>
        <w:gridCol w:w="1840"/>
        <w:gridCol w:w="1384"/>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90"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十一、国有资本经营预算财政拨款收入支出决算表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0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9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0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2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9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4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8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8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69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8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4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4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9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8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84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9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4"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4"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8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8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8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8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8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84"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2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7"/>
        <w:gridCol w:w="229"/>
        <w:gridCol w:w="616"/>
        <w:gridCol w:w="1131"/>
        <w:gridCol w:w="2608"/>
        <w:gridCol w:w="2672"/>
        <w:gridCol w:w="3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284"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十二、国有资本经营预算财政拨款支出决算表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8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4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8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4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2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3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0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7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74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60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7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4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60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7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4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60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7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3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7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r>
        <w:br w:type="page"/>
      </w:r>
    </w:p>
    <w:tbl>
      <w:tblPr>
        <w:tblStyle w:val="14"/>
        <w:tblW w:w="13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6"/>
        <w:gridCol w:w="1125"/>
        <w:gridCol w:w="540"/>
        <w:gridCol w:w="1116"/>
        <w:gridCol w:w="1031"/>
        <w:gridCol w:w="761"/>
        <w:gridCol w:w="540"/>
        <w:gridCol w:w="1193"/>
        <w:gridCol w:w="382"/>
        <w:gridCol w:w="1305"/>
        <w:gridCol w:w="1256"/>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228"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十三、财政拨款“三公”经费支出决算表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1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6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部门：达川区逸夫小学</w:t>
            </w:r>
          </w:p>
        </w:tc>
        <w:tc>
          <w:tcPr>
            <w:tcW w:w="11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6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789"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439"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68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7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5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9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943"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7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7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7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6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sectPr>
      <w:headerReference r:id="rId5" w:type="default"/>
      <w:footerReference r:id="rId6" w:type="default"/>
      <w:pgSz w:w="16838" w:h="11906" w:orient="landscape"/>
      <w:pgMar w:top="1588" w:right="1797" w:bottom="1474"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044595"/>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29 -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56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zQyZjM4NjBjOGNhMWUzODY2M2MzNzRkZjYzNWEifQ=="/>
  </w:docVars>
  <w:rsids>
    <w:rsidRoot w:val="00F1361C"/>
    <w:rsid w:val="00001223"/>
    <w:rsid w:val="00015B2A"/>
    <w:rsid w:val="000222C6"/>
    <w:rsid w:val="0002549F"/>
    <w:rsid w:val="000468DB"/>
    <w:rsid w:val="0006487A"/>
    <w:rsid w:val="00065F8F"/>
    <w:rsid w:val="00070A43"/>
    <w:rsid w:val="000768F2"/>
    <w:rsid w:val="0009184B"/>
    <w:rsid w:val="00094236"/>
    <w:rsid w:val="0009593C"/>
    <w:rsid w:val="00097322"/>
    <w:rsid w:val="000A6A92"/>
    <w:rsid w:val="000B047F"/>
    <w:rsid w:val="000B3BCA"/>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3E87"/>
    <w:rsid w:val="00157BAB"/>
    <w:rsid w:val="001651E2"/>
    <w:rsid w:val="001654D1"/>
    <w:rsid w:val="00174518"/>
    <w:rsid w:val="0018106D"/>
    <w:rsid w:val="001877A7"/>
    <w:rsid w:val="00191536"/>
    <w:rsid w:val="001916C3"/>
    <w:rsid w:val="00196687"/>
    <w:rsid w:val="001C0962"/>
    <w:rsid w:val="001D7531"/>
    <w:rsid w:val="001E737D"/>
    <w:rsid w:val="001F0592"/>
    <w:rsid w:val="001F7506"/>
    <w:rsid w:val="002006CD"/>
    <w:rsid w:val="00202B36"/>
    <w:rsid w:val="00204B7A"/>
    <w:rsid w:val="00204CDE"/>
    <w:rsid w:val="0021101A"/>
    <w:rsid w:val="00217021"/>
    <w:rsid w:val="00220536"/>
    <w:rsid w:val="0023485E"/>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4D29"/>
    <w:rsid w:val="004223DE"/>
    <w:rsid w:val="00434489"/>
    <w:rsid w:val="00436A0D"/>
    <w:rsid w:val="00437085"/>
    <w:rsid w:val="00443880"/>
    <w:rsid w:val="004464F4"/>
    <w:rsid w:val="00471401"/>
    <w:rsid w:val="00473F31"/>
    <w:rsid w:val="0048263A"/>
    <w:rsid w:val="00487E5D"/>
    <w:rsid w:val="004A711F"/>
    <w:rsid w:val="004B199D"/>
    <w:rsid w:val="004B1E69"/>
    <w:rsid w:val="004B4690"/>
    <w:rsid w:val="004D6A15"/>
    <w:rsid w:val="004E0A2D"/>
    <w:rsid w:val="004E206B"/>
    <w:rsid w:val="004E6DF7"/>
    <w:rsid w:val="004F0FBD"/>
    <w:rsid w:val="00505A47"/>
    <w:rsid w:val="00512FDA"/>
    <w:rsid w:val="00520DA0"/>
    <w:rsid w:val="005664BB"/>
    <w:rsid w:val="00566FFA"/>
    <w:rsid w:val="005714C6"/>
    <w:rsid w:val="0057481D"/>
    <w:rsid w:val="0058486E"/>
    <w:rsid w:val="00585B33"/>
    <w:rsid w:val="00586FEC"/>
    <w:rsid w:val="0059014D"/>
    <w:rsid w:val="005B5C64"/>
    <w:rsid w:val="005C5337"/>
    <w:rsid w:val="005C6BD0"/>
    <w:rsid w:val="005D0243"/>
    <w:rsid w:val="005D1C8B"/>
    <w:rsid w:val="005D468D"/>
    <w:rsid w:val="005D5CED"/>
    <w:rsid w:val="005F1A4C"/>
    <w:rsid w:val="00605688"/>
    <w:rsid w:val="006070AF"/>
    <w:rsid w:val="00607E6C"/>
    <w:rsid w:val="006101B1"/>
    <w:rsid w:val="00614E44"/>
    <w:rsid w:val="0062270A"/>
    <w:rsid w:val="00622830"/>
    <w:rsid w:val="006239FA"/>
    <w:rsid w:val="00623DA0"/>
    <w:rsid w:val="00630AEF"/>
    <w:rsid w:val="006325F8"/>
    <w:rsid w:val="00633463"/>
    <w:rsid w:val="00634C9A"/>
    <w:rsid w:val="0064261A"/>
    <w:rsid w:val="006440E4"/>
    <w:rsid w:val="00644C7F"/>
    <w:rsid w:val="0066343B"/>
    <w:rsid w:val="00664777"/>
    <w:rsid w:val="006748A4"/>
    <w:rsid w:val="00676718"/>
    <w:rsid w:val="00681A31"/>
    <w:rsid w:val="00683E73"/>
    <w:rsid w:val="006A3141"/>
    <w:rsid w:val="006A5E34"/>
    <w:rsid w:val="006B2422"/>
    <w:rsid w:val="006B2B9A"/>
    <w:rsid w:val="006B3F8F"/>
    <w:rsid w:val="006B7B1B"/>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09D1"/>
    <w:rsid w:val="007D1682"/>
    <w:rsid w:val="007D312A"/>
    <w:rsid w:val="007D3F19"/>
    <w:rsid w:val="007E23B0"/>
    <w:rsid w:val="007E23E5"/>
    <w:rsid w:val="007F1991"/>
    <w:rsid w:val="007F28FA"/>
    <w:rsid w:val="007F2C2F"/>
    <w:rsid w:val="007F55FC"/>
    <w:rsid w:val="007F5665"/>
    <w:rsid w:val="00800112"/>
    <w:rsid w:val="00813348"/>
    <w:rsid w:val="008253BB"/>
    <w:rsid w:val="0083602C"/>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E5F"/>
    <w:rsid w:val="008E707C"/>
    <w:rsid w:val="00900B08"/>
    <w:rsid w:val="00902155"/>
    <w:rsid w:val="00902FA3"/>
    <w:rsid w:val="00923564"/>
    <w:rsid w:val="0092392E"/>
    <w:rsid w:val="009315F9"/>
    <w:rsid w:val="00932BF4"/>
    <w:rsid w:val="00933499"/>
    <w:rsid w:val="00935C98"/>
    <w:rsid w:val="00946945"/>
    <w:rsid w:val="00951248"/>
    <w:rsid w:val="0095152F"/>
    <w:rsid w:val="00954C49"/>
    <w:rsid w:val="00955E37"/>
    <w:rsid w:val="00961088"/>
    <w:rsid w:val="0097099F"/>
    <w:rsid w:val="00971997"/>
    <w:rsid w:val="00971FFC"/>
    <w:rsid w:val="0098660A"/>
    <w:rsid w:val="009931C3"/>
    <w:rsid w:val="009B2C43"/>
    <w:rsid w:val="009B4EAE"/>
    <w:rsid w:val="009B7573"/>
    <w:rsid w:val="009C15CF"/>
    <w:rsid w:val="009C22F4"/>
    <w:rsid w:val="009C2A4B"/>
    <w:rsid w:val="009C2E98"/>
    <w:rsid w:val="009D3447"/>
    <w:rsid w:val="009D4711"/>
    <w:rsid w:val="009F1185"/>
    <w:rsid w:val="009F18CD"/>
    <w:rsid w:val="009F2A13"/>
    <w:rsid w:val="009F7527"/>
    <w:rsid w:val="00A04EB0"/>
    <w:rsid w:val="00A1055B"/>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75360"/>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903"/>
    <w:rsid w:val="00B77EA6"/>
    <w:rsid w:val="00B81598"/>
    <w:rsid w:val="00B841F1"/>
    <w:rsid w:val="00B944D6"/>
    <w:rsid w:val="00BB28B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394D"/>
    <w:rsid w:val="00C5751C"/>
    <w:rsid w:val="00C61BFC"/>
    <w:rsid w:val="00C62B85"/>
    <w:rsid w:val="00C65438"/>
    <w:rsid w:val="00C87FD8"/>
    <w:rsid w:val="00C91381"/>
    <w:rsid w:val="00C91CBB"/>
    <w:rsid w:val="00CB4E70"/>
    <w:rsid w:val="00CB7B02"/>
    <w:rsid w:val="00CC09B6"/>
    <w:rsid w:val="00CC666F"/>
    <w:rsid w:val="00CD1E3F"/>
    <w:rsid w:val="00CE44F6"/>
    <w:rsid w:val="00CE49DA"/>
    <w:rsid w:val="00CE5046"/>
    <w:rsid w:val="00CE7B61"/>
    <w:rsid w:val="00D00095"/>
    <w:rsid w:val="00D048F3"/>
    <w:rsid w:val="00D114F0"/>
    <w:rsid w:val="00D1330D"/>
    <w:rsid w:val="00D20620"/>
    <w:rsid w:val="00D254F7"/>
    <w:rsid w:val="00D26091"/>
    <w:rsid w:val="00D2685C"/>
    <w:rsid w:val="00D34E7C"/>
    <w:rsid w:val="00D35489"/>
    <w:rsid w:val="00D36AFE"/>
    <w:rsid w:val="00D43A54"/>
    <w:rsid w:val="00D44DDF"/>
    <w:rsid w:val="00D51276"/>
    <w:rsid w:val="00D7035F"/>
    <w:rsid w:val="00DA634F"/>
    <w:rsid w:val="00DA65AC"/>
    <w:rsid w:val="00DB1913"/>
    <w:rsid w:val="00DC410D"/>
    <w:rsid w:val="00DC5A81"/>
    <w:rsid w:val="00DC68CA"/>
    <w:rsid w:val="00DC7CBA"/>
    <w:rsid w:val="00DD73B7"/>
    <w:rsid w:val="00DE2E52"/>
    <w:rsid w:val="00DF28BC"/>
    <w:rsid w:val="00DF34B9"/>
    <w:rsid w:val="00E01053"/>
    <w:rsid w:val="00E07ACF"/>
    <w:rsid w:val="00E331A1"/>
    <w:rsid w:val="00E33202"/>
    <w:rsid w:val="00E336A9"/>
    <w:rsid w:val="00E472B1"/>
    <w:rsid w:val="00E50624"/>
    <w:rsid w:val="00E5382C"/>
    <w:rsid w:val="00E568DF"/>
    <w:rsid w:val="00E64269"/>
    <w:rsid w:val="00E82267"/>
    <w:rsid w:val="00E853CE"/>
    <w:rsid w:val="00E867B6"/>
    <w:rsid w:val="00EA010F"/>
    <w:rsid w:val="00ED1B63"/>
    <w:rsid w:val="00ED3C1F"/>
    <w:rsid w:val="00ED4085"/>
    <w:rsid w:val="00ED420E"/>
    <w:rsid w:val="00ED6FBE"/>
    <w:rsid w:val="00EE2C9C"/>
    <w:rsid w:val="00EE2F57"/>
    <w:rsid w:val="00EF16FF"/>
    <w:rsid w:val="00EF4C34"/>
    <w:rsid w:val="00EF77C6"/>
    <w:rsid w:val="00F05438"/>
    <w:rsid w:val="00F1361C"/>
    <w:rsid w:val="00F156F0"/>
    <w:rsid w:val="00F160C7"/>
    <w:rsid w:val="00F2408F"/>
    <w:rsid w:val="00F240E9"/>
    <w:rsid w:val="00F329C8"/>
    <w:rsid w:val="00F36D8F"/>
    <w:rsid w:val="00F417B1"/>
    <w:rsid w:val="00F45853"/>
    <w:rsid w:val="00F473B8"/>
    <w:rsid w:val="00F602DF"/>
    <w:rsid w:val="00F754A1"/>
    <w:rsid w:val="00F81FD9"/>
    <w:rsid w:val="00F841AA"/>
    <w:rsid w:val="00F84A94"/>
    <w:rsid w:val="00F87E96"/>
    <w:rsid w:val="00FA23E8"/>
    <w:rsid w:val="00FA36F4"/>
    <w:rsid w:val="00FC3CE6"/>
    <w:rsid w:val="00FD3CC1"/>
    <w:rsid w:val="00FF1E02"/>
    <w:rsid w:val="00FF30B4"/>
    <w:rsid w:val="01200F7F"/>
    <w:rsid w:val="015975B8"/>
    <w:rsid w:val="02143E91"/>
    <w:rsid w:val="02975B92"/>
    <w:rsid w:val="02AB5AF9"/>
    <w:rsid w:val="03BB6210"/>
    <w:rsid w:val="040B01C4"/>
    <w:rsid w:val="04473600"/>
    <w:rsid w:val="04812FB5"/>
    <w:rsid w:val="051528EC"/>
    <w:rsid w:val="057523EE"/>
    <w:rsid w:val="0575419C"/>
    <w:rsid w:val="05BB6053"/>
    <w:rsid w:val="05FE0636"/>
    <w:rsid w:val="062E0F1B"/>
    <w:rsid w:val="066E0107"/>
    <w:rsid w:val="06A74E8E"/>
    <w:rsid w:val="06D77152"/>
    <w:rsid w:val="077A2208"/>
    <w:rsid w:val="078801B7"/>
    <w:rsid w:val="07996F6E"/>
    <w:rsid w:val="07F053D2"/>
    <w:rsid w:val="080B5655"/>
    <w:rsid w:val="08A54D99"/>
    <w:rsid w:val="08CB4963"/>
    <w:rsid w:val="08CD6EE3"/>
    <w:rsid w:val="09AB5C79"/>
    <w:rsid w:val="09B1750D"/>
    <w:rsid w:val="0A0501E5"/>
    <w:rsid w:val="0A2032A3"/>
    <w:rsid w:val="0A3C0016"/>
    <w:rsid w:val="0A6B1E54"/>
    <w:rsid w:val="0B053C52"/>
    <w:rsid w:val="0B835865"/>
    <w:rsid w:val="0BA15CEB"/>
    <w:rsid w:val="0C5D60B6"/>
    <w:rsid w:val="0CB33F28"/>
    <w:rsid w:val="0D6A409F"/>
    <w:rsid w:val="0DF540CC"/>
    <w:rsid w:val="0E80608C"/>
    <w:rsid w:val="0ED46221"/>
    <w:rsid w:val="0ED61EB0"/>
    <w:rsid w:val="0F062815"/>
    <w:rsid w:val="0F1862C4"/>
    <w:rsid w:val="0F8E47D8"/>
    <w:rsid w:val="0F98263C"/>
    <w:rsid w:val="10152C44"/>
    <w:rsid w:val="101860EC"/>
    <w:rsid w:val="105B0B5E"/>
    <w:rsid w:val="10667503"/>
    <w:rsid w:val="10A2775C"/>
    <w:rsid w:val="10C055FF"/>
    <w:rsid w:val="10F93ED3"/>
    <w:rsid w:val="118107EC"/>
    <w:rsid w:val="118C11EC"/>
    <w:rsid w:val="120E1C01"/>
    <w:rsid w:val="126D4B79"/>
    <w:rsid w:val="127443BA"/>
    <w:rsid w:val="12915569"/>
    <w:rsid w:val="12BC78AF"/>
    <w:rsid w:val="131E7C21"/>
    <w:rsid w:val="13D50BC4"/>
    <w:rsid w:val="14254FA8"/>
    <w:rsid w:val="14927541"/>
    <w:rsid w:val="14F36683"/>
    <w:rsid w:val="153151ED"/>
    <w:rsid w:val="16165379"/>
    <w:rsid w:val="162D4D4B"/>
    <w:rsid w:val="1657321B"/>
    <w:rsid w:val="16BB723D"/>
    <w:rsid w:val="17377EC5"/>
    <w:rsid w:val="185F31B6"/>
    <w:rsid w:val="18A46E1B"/>
    <w:rsid w:val="18CD45C3"/>
    <w:rsid w:val="18F643B3"/>
    <w:rsid w:val="193E05E4"/>
    <w:rsid w:val="19936AE1"/>
    <w:rsid w:val="199649B5"/>
    <w:rsid w:val="19BB08C0"/>
    <w:rsid w:val="1B010554"/>
    <w:rsid w:val="1B324BB2"/>
    <w:rsid w:val="1B4855C5"/>
    <w:rsid w:val="1BA513E1"/>
    <w:rsid w:val="1BB410AD"/>
    <w:rsid w:val="1BE8440E"/>
    <w:rsid w:val="1C8256C5"/>
    <w:rsid w:val="1CBA06A7"/>
    <w:rsid w:val="1D155CEE"/>
    <w:rsid w:val="1DA33B45"/>
    <w:rsid w:val="1DAD49C3"/>
    <w:rsid w:val="1E2F3933"/>
    <w:rsid w:val="1E3649B9"/>
    <w:rsid w:val="1E5F5CBE"/>
    <w:rsid w:val="1E695FED"/>
    <w:rsid w:val="1EC4076B"/>
    <w:rsid w:val="1F015BE8"/>
    <w:rsid w:val="1F5970FC"/>
    <w:rsid w:val="1F9004D9"/>
    <w:rsid w:val="1FC4252B"/>
    <w:rsid w:val="1FE741BD"/>
    <w:rsid w:val="1FF35744"/>
    <w:rsid w:val="206D21E8"/>
    <w:rsid w:val="20D364EF"/>
    <w:rsid w:val="20D455FD"/>
    <w:rsid w:val="212C3E51"/>
    <w:rsid w:val="213B4094"/>
    <w:rsid w:val="21653685"/>
    <w:rsid w:val="21EF60F0"/>
    <w:rsid w:val="221072CF"/>
    <w:rsid w:val="22596EC8"/>
    <w:rsid w:val="23264FFC"/>
    <w:rsid w:val="23860B96"/>
    <w:rsid w:val="23F37E91"/>
    <w:rsid w:val="240371BF"/>
    <w:rsid w:val="247932D1"/>
    <w:rsid w:val="24C5104D"/>
    <w:rsid w:val="261C7FBB"/>
    <w:rsid w:val="267832D8"/>
    <w:rsid w:val="26AD0D7B"/>
    <w:rsid w:val="273852FE"/>
    <w:rsid w:val="27856069"/>
    <w:rsid w:val="27BF77CD"/>
    <w:rsid w:val="280276BA"/>
    <w:rsid w:val="28137B19"/>
    <w:rsid w:val="285D4460"/>
    <w:rsid w:val="287405B8"/>
    <w:rsid w:val="288035AD"/>
    <w:rsid w:val="288A1B89"/>
    <w:rsid w:val="28C3509B"/>
    <w:rsid w:val="2934498A"/>
    <w:rsid w:val="29670547"/>
    <w:rsid w:val="29FD04D3"/>
    <w:rsid w:val="2A6E0386"/>
    <w:rsid w:val="2A7976E2"/>
    <w:rsid w:val="2A8820F8"/>
    <w:rsid w:val="2A91205A"/>
    <w:rsid w:val="2ADC2444"/>
    <w:rsid w:val="2B365FF8"/>
    <w:rsid w:val="2B4029D3"/>
    <w:rsid w:val="2BA01D38"/>
    <w:rsid w:val="2BCA6741"/>
    <w:rsid w:val="2C35005E"/>
    <w:rsid w:val="2C8A61B5"/>
    <w:rsid w:val="2DDC770B"/>
    <w:rsid w:val="2DF04E50"/>
    <w:rsid w:val="2E2C5491"/>
    <w:rsid w:val="2E731311"/>
    <w:rsid w:val="2E7903EA"/>
    <w:rsid w:val="2E7A66D8"/>
    <w:rsid w:val="2E9F2106"/>
    <w:rsid w:val="2F040D46"/>
    <w:rsid w:val="305F7D9F"/>
    <w:rsid w:val="30F71D86"/>
    <w:rsid w:val="31905D36"/>
    <w:rsid w:val="319941E5"/>
    <w:rsid w:val="319F7F4E"/>
    <w:rsid w:val="31B45EC9"/>
    <w:rsid w:val="31F84CDE"/>
    <w:rsid w:val="32E63698"/>
    <w:rsid w:val="3304709D"/>
    <w:rsid w:val="330E5059"/>
    <w:rsid w:val="333C7F24"/>
    <w:rsid w:val="34403A44"/>
    <w:rsid w:val="34A42225"/>
    <w:rsid w:val="34D507EF"/>
    <w:rsid w:val="34F62781"/>
    <w:rsid w:val="3538471B"/>
    <w:rsid w:val="35753BC1"/>
    <w:rsid w:val="35833E68"/>
    <w:rsid w:val="35910E64"/>
    <w:rsid w:val="360A0F8C"/>
    <w:rsid w:val="3660007A"/>
    <w:rsid w:val="369E4A52"/>
    <w:rsid w:val="36AA5135"/>
    <w:rsid w:val="36AE4022"/>
    <w:rsid w:val="36BB1AA7"/>
    <w:rsid w:val="376D39B2"/>
    <w:rsid w:val="37E16F03"/>
    <w:rsid w:val="38527B64"/>
    <w:rsid w:val="38D469F0"/>
    <w:rsid w:val="3902576C"/>
    <w:rsid w:val="39AD74CF"/>
    <w:rsid w:val="3A5831F3"/>
    <w:rsid w:val="3A8E7E62"/>
    <w:rsid w:val="3B251BE5"/>
    <w:rsid w:val="3B351174"/>
    <w:rsid w:val="3BCE7B87"/>
    <w:rsid w:val="3CEB22A8"/>
    <w:rsid w:val="3CF47AC1"/>
    <w:rsid w:val="3D302695"/>
    <w:rsid w:val="3D605157"/>
    <w:rsid w:val="3D7129DF"/>
    <w:rsid w:val="3D78424E"/>
    <w:rsid w:val="3D87623F"/>
    <w:rsid w:val="3D98207C"/>
    <w:rsid w:val="3DF8538F"/>
    <w:rsid w:val="3E78745D"/>
    <w:rsid w:val="3E8A0DE7"/>
    <w:rsid w:val="3EB743A4"/>
    <w:rsid w:val="3F5E5951"/>
    <w:rsid w:val="3F7E3672"/>
    <w:rsid w:val="3FCA1921"/>
    <w:rsid w:val="406A572D"/>
    <w:rsid w:val="407A5516"/>
    <w:rsid w:val="40EB4D37"/>
    <w:rsid w:val="412E12DF"/>
    <w:rsid w:val="41D869DB"/>
    <w:rsid w:val="42324A15"/>
    <w:rsid w:val="42E71647"/>
    <w:rsid w:val="43B03CB9"/>
    <w:rsid w:val="44004F9E"/>
    <w:rsid w:val="44045764"/>
    <w:rsid w:val="446D6D8C"/>
    <w:rsid w:val="44E268DA"/>
    <w:rsid w:val="45927E77"/>
    <w:rsid w:val="45E43E6E"/>
    <w:rsid w:val="45EA1A61"/>
    <w:rsid w:val="461D788D"/>
    <w:rsid w:val="46362EF9"/>
    <w:rsid w:val="469A3487"/>
    <w:rsid w:val="4707219F"/>
    <w:rsid w:val="47AF6ABF"/>
    <w:rsid w:val="48CE77DB"/>
    <w:rsid w:val="492D2391"/>
    <w:rsid w:val="494774EF"/>
    <w:rsid w:val="49583186"/>
    <w:rsid w:val="49D80A75"/>
    <w:rsid w:val="49E50EBD"/>
    <w:rsid w:val="4A151242"/>
    <w:rsid w:val="4A1B48DF"/>
    <w:rsid w:val="4A2B43F6"/>
    <w:rsid w:val="4A627F82"/>
    <w:rsid w:val="4B0E749A"/>
    <w:rsid w:val="4B3E3825"/>
    <w:rsid w:val="4B4F25DA"/>
    <w:rsid w:val="4B835FC8"/>
    <w:rsid w:val="4B887D52"/>
    <w:rsid w:val="4BB26A02"/>
    <w:rsid w:val="4BBE33D4"/>
    <w:rsid w:val="4BE068DB"/>
    <w:rsid w:val="4BF838F0"/>
    <w:rsid w:val="4C2D08FA"/>
    <w:rsid w:val="4C9925D5"/>
    <w:rsid w:val="4CED34CC"/>
    <w:rsid w:val="4D5301FB"/>
    <w:rsid w:val="4D577224"/>
    <w:rsid w:val="4E8B1908"/>
    <w:rsid w:val="4EAB630A"/>
    <w:rsid w:val="4ECE2238"/>
    <w:rsid w:val="4F5A37B4"/>
    <w:rsid w:val="4F7F76BE"/>
    <w:rsid w:val="4FF534DD"/>
    <w:rsid w:val="50A70C7B"/>
    <w:rsid w:val="50AD4906"/>
    <w:rsid w:val="50C75131"/>
    <w:rsid w:val="50F41AD3"/>
    <w:rsid w:val="51B51175"/>
    <w:rsid w:val="51F31C9E"/>
    <w:rsid w:val="52635075"/>
    <w:rsid w:val="52D95337"/>
    <w:rsid w:val="52E16484"/>
    <w:rsid w:val="537E6D0A"/>
    <w:rsid w:val="539E4E4F"/>
    <w:rsid w:val="53A5521A"/>
    <w:rsid w:val="54350306"/>
    <w:rsid w:val="548337AD"/>
    <w:rsid w:val="54993992"/>
    <w:rsid w:val="553F7680"/>
    <w:rsid w:val="560F322F"/>
    <w:rsid w:val="561641AD"/>
    <w:rsid w:val="56551179"/>
    <w:rsid w:val="56723AD9"/>
    <w:rsid w:val="56B01160"/>
    <w:rsid w:val="57511940"/>
    <w:rsid w:val="57D90B8E"/>
    <w:rsid w:val="57F535F0"/>
    <w:rsid w:val="598F6750"/>
    <w:rsid w:val="5A9E020E"/>
    <w:rsid w:val="5AF92295"/>
    <w:rsid w:val="5B4132AC"/>
    <w:rsid w:val="5C78171D"/>
    <w:rsid w:val="5C9F2F14"/>
    <w:rsid w:val="5CD71FC4"/>
    <w:rsid w:val="5E35447A"/>
    <w:rsid w:val="5EC9275E"/>
    <w:rsid w:val="5F1C0A86"/>
    <w:rsid w:val="5FAF36A8"/>
    <w:rsid w:val="609A4358"/>
    <w:rsid w:val="60C41052"/>
    <w:rsid w:val="60CA62C0"/>
    <w:rsid w:val="60D07D7A"/>
    <w:rsid w:val="61BB6DE5"/>
    <w:rsid w:val="61C566A5"/>
    <w:rsid w:val="624D71A8"/>
    <w:rsid w:val="63770981"/>
    <w:rsid w:val="63FA6EBC"/>
    <w:rsid w:val="64D92F75"/>
    <w:rsid w:val="64FE77FB"/>
    <w:rsid w:val="6598698C"/>
    <w:rsid w:val="661E1616"/>
    <w:rsid w:val="66E300DB"/>
    <w:rsid w:val="66EF4330"/>
    <w:rsid w:val="66F10A4A"/>
    <w:rsid w:val="67D62A23"/>
    <w:rsid w:val="67F24A7A"/>
    <w:rsid w:val="690C1B6B"/>
    <w:rsid w:val="6962178B"/>
    <w:rsid w:val="697C3D03"/>
    <w:rsid w:val="69C97A5C"/>
    <w:rsid w:val="6ABE7492"/>
    <w:rsid w:val="6B533758"/>
    <w:rsid w:val="6B674B73"/>
    <w:rsid w:val="6C105E81"/>
    <w:rsid w:val="6C4A05C8"/>
    <w:rsid w:val="6D305867"/>
    <w:rsid w:val="6D8E2425"/>
    <w:rsid w:val="6DC02F24"/>
    <w:rsid w:val="6E031969"/>
    <w:rsid w:val="6E5D0773"/>
    <w:rsid w:val="6E7E3605"/>
    <w:rsid w:val="6E9B643E"/>
    <w:rsid w:val="6E9C11F2"/>
    <w:rsid w:val="6ECD414C"/>
    <w:rsid w:val="6F06705D"/>
    <w:rsid w:val="6F8C57B4"/>
    <w:rsid w:val="6FD76303"/>
    <w:rsid w:val="6FF5CC65"/>
    <w:rsid w:val="70291255"/>
    <w:rsid w:val="704B11CB"/>
    <w:rsid w:val="7055204A"/>
    <w:rsid w:val="70B32BC2"/>
    <w:rsid w:val="70D20B70"/>
    <w:rsid w:val="71221C60"/>
    <w:rsid w:val="71235CA4"/>
    <w:rsid w:val="713F3C5A"/>
    <w:rsid w:val="715C0E4B"/>
    <w:rsid w:val="71867FE1"/>
    <w:rsid w:val="723B701D"/>
    <w:rsid w:val="72734D90"/>
    <w:rsid w:val="727D2ACC"/>
    <w:rsid w:val="727F0FDB"/>
    <w:rsid w:val="72AB41A3"/>
    <w:rsid w:val="72C94629"/>
    <w:rsid w:val="72DA3046"/>
    <w:rsid w:val="72EE0533"/>
    <w:rsid w:val="735C724B"/>
    <w:rsid w:val="73AD73D5"/>
    <w:rsid w:val="73B6EB34"/>
    <w:rsid w:val="73FC0A2E"/>
    <w:rsid w:val="744731E5"/>
    <w:rsid w:val="746B6F17"/>
    <w:rsid w:val="747B15D5"/>
    <w:rsid w:val="74F6547D"/>
    <w:rsid w:val="74FE7C75"/>
    <w:rsid w:val="75063912"/>
    <w:rsid w:val="75C86E1A"/>
    <w:rsid w:val="75F45E61"/>
    <w:rsid w:val="760101B2"/>
    <w:rsid w:val="76677F73"/>
    <w:rsid w:val="76AC2297"/>
    <w:rsid w:val="76E3355F"/>
    <w:rsid w:val="77460CC4"/>
    <w:rsid w:val="77536BB7"/>
    <w:rsid w:val="778769C8"/>
    <w:rsid w:val="77A47413"/>
    <w:rsid w:val="77A85155"/>
    <w:rsid w:val="77AE12A3"/>
    <w:rsid w:val="77CB499F"/>
    <w:rsid w:val="787631B6"/>
    <w:rsid w:val="78857244"/>
    <w:rsid w:val="79334EF2"/>
    <w:rsid w:val="79EE5BA4"/>
    <w:rsid w:val="7A011693"/>
    <w:rsid w:val="7A793CFE"/>
    <w:rsid w:val="7A894339"/>
    <w:rsid w:val="7AE213CC"/>
    <w:rsid w:val="7B8E4662"/>
    <w:rsid w:val="7BB2194B"/>
    <w:rsid w:val="7BBA5457"/>
    <w:rsid w:val="7BC40083"/>
    <w:rsid w:val="7C8D4118"/>
    <w:rsid w:val="7C961A20"/>
    <w:rsid w:val="7C9C19B7"/>
    <w:rsid w:val="7D8F32C2"/>
    <w:rsid w:val="7DEC566F"/>
    <w:rsid w:val="7ECD54A1"/>
    <w:rsid w:val="7EEF11D3"/>
    <w:rsid w:val="7F0569E9"/>
    <w:rsid w:val="7F39127B"/>
    <w:rsid w:val="7F634149"/>
    <w:rsid w:val="7F7878FB"/>
    <w:rsid w:val="7FA30C79"/>
    <w:rsid w:val="7FA423E6"/>
    <w:rsid w:val="7FB7269E"/>
    <w:rsid w:val="7FC96657"/>
    <w:rsid w:val="7FD665D7"/>
    <w:rsid w:val="7FDD34C2"/>
    <w:rsid w:val="7FE8582D"/>
    <w:rsid w:val="7FE900B8"/>
    <w:rsid w:val="7FF40AF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5"/>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2"/>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0"/>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2"/>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141"/>
    <w:basedOn w:val="16"/>
    <w:qFormat/>
    <w:uiPriority w:val="0"/>
    <w:rPr>
      <w:rFonts w:hint="eastAsia" w:ascii="宋体" w:hAnsi="宋体" w:eastAsia="宋体" w:cs="宋体"/>
      <w:b/>
      <w:color w:val="000000"/>
      <w:sz w:val="40"/>
      <w:szCs w:val="40"/>
      <w:u w:val="none"/>
    </w:rPr>
  </w:style>
  <w:style w:type="character" w:customStyle="1" w:styleId="37">
    <w:name w:val="font51"/>
    <w:basedOn w:val="16"/>
    <w:qFormat/>
    <w:uiPriority w:val="0"/>
    <w:rPr>
      <w:rFonts w:hint="eastAsia" w:ascii="宋体" w:hAnsi="宋体" w:eastAsia="宋体" w:cs="宋体"/>
      <w:b/>
      <w:color w:val="000000"/>
      <w:sz w:val="24"/>
      <w:szCs w:val="24"/>
      <w:u w:val="none"/>
    </w:rPr>
  </w:style>
  <w:style w:type="character" w:customStyle="1" w:styleId="38">
    <w:name w:val="font71"/>
    <w:basedOn w:val="16"/>
    <w:qFormat/>
    <w:uiPriority w:val="0"/>
    <w:rPr>
      <w:rFonts w:hint="eastAsia" w:ascii="宋体" w:hAnsi="宋体" w:eastAsia="宋体" w:cs="宋体"/>
      <w:color w:val="000000"/>
      <w:sz w:val="24"/>
      <w:szCs w:val="24"/>
      <w:u w:val="none"/>
    </w:rPr>
  </w:style>
  <w:style w:type="character" w:customStyle="1" w:styleId="39">
    <w:name w:val="font111"/>
    <w:basedOn w:val="16"/>
    <w:qFormat/>
    <w:uiPriority w:val="0"/>
    <w:rPr>
      <w:rFonts w:hint="default" w:ascii="Times New Roman" w:hAnsi="Times New Roman" w:cs="Times New Roman"/>
      <w:color w:val="000000"/>
      <w:sz w:val="24"/>
      <w:szCs w:val="24"/>
      <w:u w:val="none"/>
    </w:rPr>
  </w:style>
  <w:style w:type="character" w:customStyle="1" w:styleId="40">
    <w:name w:val="font41"/>
    <w:basedOn w:val="16"/>
    <w:qFormat/>
    <w:uiPriority w:val="0"/>
    <w:rPr>
      <w:rFonts w:ascii="方正书宋_GBK" w:hAnsi="方正书宋_GBK" w:eastAsia="方正书宋_GBK" w:cs="方正书宋_GBK"/>
      <w:color w:val="000000"/>
      <w:sz w:val="24"/>
      <w:szCs w:val="24"/>
      <w:u w:val="none"/>
    </w:rPr>
  </w:style>
  <w:style w:type="character" w:customStyle="1" w:styleId="41">
    <w:name w:val="font151"/>
    <w:basedOn w:val="16"/>
    <w:qFormat/>
    <w:uiPriority w:val="0"/>
    <w:rPr>
      <w:rFonts w:hint="eastAsia" w:ascii="宋体" w:hAnsi="宋体" w:eastAsia="宋体" w:cs="宋体"/>
      <w:color w:val="000000"/>
      <w:sz w:val="24"/>
      <w:szCs w:val="24"/>
      <w:u w:val="none"/>
    </w:rPr>
  </w:style>
  <w:style w:type="character" w:customStyle="1" w:styleId="42">
    <w:name w:val="font01"/>
    <w:basedOn w:val="16"/>
    <w:qFormat/>
    <w:uiPriority w:val="0"/>
    <w:rPr>
      <w:rFonts w:hint="default" w:ascii="Times New Roman" w:hAnsi="Times New Roman" w:cs="Times New Roman"/>
      <w:color w:val="000000"/>
      <w:sz w:val="24"/>
      <w:szCs w:val="24"/>
      <w:u w:val="none"/>
    </w:rPr>
  </w:style>
  <w:style w:type="character" w:customStyle="1" w:styleId="43">
    <w:name w:val="font31"/>
    <w:basedOn w:val="16"/>
    <w:qFormat/>
    <w:uiPriority w:val="0"/>
    <w:rPr>
      <w:rFonts w:hint="default" w:ascii="Times New Roman" w:hAnsi="Times New Roman" w:cs="Times New Roman"/>
      <w:color w:val="000000"/>
      <w:sz w:val="24"/>
      <w:szCs w:val="24"/>
      <w:u w:val="none"/>
    </w:rPr>
  </w:style>
  <w:style w:type="character" w:customStyle="1" w:styleId="44">
    <w:name w:val="font21"/>
    <w:basedOn w:val="16"/>
    <w:qFormat/>
    <w:uiPriority w:val="0"/>
    <w:rPr>
      <w:rFonts w:hint="default" w:ascii="Microsoft YaHei UI" w:hAnsi="Microsoft YaHei UI" w:eastAsia="Microsoft YaHei UI" w:cs="Microsoft YaHei UI"/>
      <w:color w:val="000000"/>
      <w:sz w:val="18"/>
      <w:szCs w:val="18"/>
      <w:u w:val="none"/>
    </w:rPr>
  </w:style>
  <w:style w:type="paragraph" w:customStyle="1" w:styleId="45">
    <w:name w:val="xl65"/>
    <w:basedOn w:val="1"/>
    <w:uiPriority w:val="0"/>
    <w:pPr>
      <w:widowControl/>
      <w:spacing w:before="100" w:beforeAutospacing="1" w:after="100" w:afterAutospacing="1"/>
      <w:jc w:val="right"/>
    </w:pPr>
    <w:rPr>
      <w:rFonts w:ascii="宋体" w:hAnsi="宋体" w:cs="宋体"/>
      <w:kern w:val="0"/>
      <w:sz w:val="24"/>
    </w:rPr>
  </w:style>
  <w:style w:type="paragraph" w:customStyle="1" w:styleId="46">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xl67"/>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48">
    <w:name w:val="xl68"/>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szCs w:val="22"/>
    </w:rPr>
  </w:style>
  <w:style w:type="paragraph" w:customStyle="1" w:styleId="49">
    <w:name w:val="xl69"/>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50">
    <w:name w:val="xl70"/>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szCs w:val="22"/>
    </w:rPr>
  </w:style>
  <w:style w:type="paragraph" w:customStyle="1" w:styleId="51">
    <w:name w:val="xl71"/>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2">
    <w:name w:val="xl72"/>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3">
    <w:name w:val="xl73"/>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kern w:val="0"/>
      <w:sz w:val="22"/>
      <w:szCs w:val="22"/>
    </w:rPr>
  </w:style>
  <w:style w:type="paragraph" w:customStyle="1" w:styleId="54">
    <w:name w:val="xl74"/>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55">
    <w:name w:val="xl75"/>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left"/>
      <w:textAlignment w:val="center"/>
    </w:pPr>
    <w:rPr>
      <w:rFonts w:ascii="宋体" w:hAnsi="宋体" w:cs="宋体"/>
      <w:b/>
      <w:bCs/>
      <w:kern w:val="0"/>
      <w:sz w:val="22"/>
      <w:szCs w:val="22"/>
    </w:rPr>
  </w:style>
  <w:style w:type="paragraph" w:customStyle="1" w:styleId="56">
    <w:name w:val="xl76"/>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57">
    <w:name w:val="xl77"/>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8">
    <w:name w:val="xl78"/>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59">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60">
    <w:name w:val="xl80"/>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61">
    <w:name w:val="xl81"/>
    <w:basedOn w:val="1"/>
    <w:qFormat/>
    <w:uiPriority w:val="0"/>
    <w:pPr>
      <w:widowControl/>
      <w:spacing w:before="100" w:beforeAutospacing="1" w:after="100" w:afterAutospacing="1"/>
      <w:jc w:val="center"/>
    </w:pPr>
    <w:rPr>
      <w:rFonts w:ascii="宋体" w:hAnsi="宋体" w:cs="宋体"/>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WeChat%20Files\wxid_dn2avftsjjkj22\FileStorage\File\2023-10\&#30011;&#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WeChat%20Files\wxid_dn2avftsjjkj22\FileStorage\File\2023-10\&#30011;&#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WeChat%20Files\wxid_dn2avftsjjkj22\FileStorage\File\2023-10\&#30011;&#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WeChat%20Files\wxid_dn2avftsjjkj22\FileStorage\File\2023-10\&#30011;&#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WeChat%20Files\wxid_dn2avftsjjkj22\FileStorage\File\2023-10\&#30011;&#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WeChat%20Files\wxid_dn2avftsjjkj22\FileStorage\File\2023-10\&#30011;&#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[画图表.xlsx]Sheet1!$A$2:$A$3</c:f>
              <c:strCache>
                <c:ptCount val="2"/>
                <c:pt idx="0">
                  <c:v>2021年</c:v>
                </c:pt>
                <c:pt idx="1">
                  <c:v>2022年</c:v>
                </c:pt>
              </c:strCache>
            </c:strRef>
          </c:cat>
          <c:val>
            <c:numRef>
              <c:f>[画图表.xlsx]Sheet1!$B$2:$B$3</c:f>
              <c:numCache>
                <c:formatCode>General</c:formatCode>
                <c:ptCount val="2"/>
                <c:pt idx="0">
                  <c:v>8259.05</c:v>
                </c:pt>
                <c:pt idx="1">
                  <c:v>5774.14</c:v>
                </c:pt>
              </c:numCache>
            </c:numRef>
          </c:val>
        </c:ser>
        <c:dLbls>
          <c:showLegendKey val="0"/>
          <c:showVal val="0"/>
          <c:showCatName val="0"/>
          <c:showSerName val="0"/>
          <c:showPercent val="0"/>
          <c:showBubbleSize val="0"/>
        </c:dLbls>
        <c:gapWidth val="150"/>
        <c:axId val="231008512"/>
        <c:axId val="242025216"/>
      </c:barChart>
      <c:catAx>
        <c:axId val="2310085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025216"/>
        <c:crosses val="autoZero"/>
        <c:auto val="1"/>
        <c:lblAlgn val="ctr"/>
        <c:lblOffset val="100"/>
        <c:noMultiLvlLbl val="0"/>
      </c:catAx>
      <c:valAx>
        <c:axId val="24202521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100851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[画图表.xlsx]Sheet1!$G$2:$G$9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[画图表.xlsx]Sheet1!$H$2:$H$9</c:f>
              <c:numCache>
                <c:formatCode>General</c:formatCode>
                <c:ptCount val="8"/>
                <c:pt idx="0">
                  <c:v>3326.76</c:v>
                </c:pt>
                <c:pt idx="1">
                  <c:v>1787.95</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2"/>
              <c:layout>
                <c:manualLayout>
                  <c:x val="-0.391320538057743"/>
                  <c:y val="-0.03077282006415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92362204724409"/>
                  <c:y val="0.08959755030621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88887795275591"/>
                  <c:y val="0.08496792067658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[画图表.xlsx]Sheet1!$K$2:$K$6</c:f>
              <c:strCache>
                <c:ptCount val="5"/>
                <c:pt idx="0">
                  <c:v>基本支出</c:v>
                </c:pt>
                <c:pt idx="1">
                  <c:v>项目支出</c:v>
                </c:pt>
                <c:pt idx="2">
                  <c:v>上缴上级支出</c:v>
                </c:pt>
                <c:pt idx="3">
                  <c:v>经营支出</c:v>
                </c:pt>
                <c:pt idx="4">
                  <c:v>对附属单位补助支出</c:v>
                </c:pt>
              </c:strCache>
            </c:strRef>
          </c:cat>
          <c:val>
            <c:numRef>
              <c:f>[画图表.xlsx]Sheet1!$L$2:$L$6</c:f>
              <c:numCache>
                <c:formatCode>General</c:formatCode>
                <c:ptCount val="5"/>
                <c:pt idx="0">
                  <c:v>3038.26</c:v>
                </c:pt>
                <c:pt idx="1">
                  <c:v>2076.45</c:v>
                </c:pt>
                <c:pt idx="2">
                  <c:v>0</c:v>
                </c:pt>
                <c:pt idx="3">
                  <c:v>0</c:v>
                </c:pt>
                <c:pt idx="4">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[画图表.xlsx]Sheet1!$A$2:$A$3</c:f>
              <c:strCache>
                <c:ptCount val="2"/>
                <c:pt idx="0">
                  <c:v>2021年</c:v>
                </c:pt>
                <c:pt idx="1">
                  <c:v>2022年</c:v>
                </c:pt>
              </c:strCache>
            </c:strRef>
          </c:cat>
          <c:val>
            <c:numRef>
              <c:f>[画图表.xlsx]Sheet1!$B$2:$B$3</c:f>
              <c:numCache>
                <c:formatCode>General</c:formatCode>
                <c:ptCount val="2"/>
                <c:pt idx="0">
                  <c:v>8259.05</c:v>
                </c:pt>
                <c:pt idx="1">
                  <c:v>5774.14</c:v>
                </c:pt>
              </c:numCache>
            </c:numRef>
          </c:val>
        </c:ser>
        <c:dLbls>
          <c:showLegendKey val="0"/>
          <c:showVal val="0"/>
          <c:showCatName val="0"/>
          <c:showSerName val="0"/>
          <c:showPercent val="0"/>
          <c:showBubbleSize val="0"/>
        </c:dLbls>
        <c:gapWidth val="150"/>
        <c:axId val="231008512"/>
        <c:axId val="242025216"/>
      </c:barChart>
      <c:catAx>
        <c:axId val="2310085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025216"/>
        <c:crosses val="autoZero"/>
        <c:auto val="1"/>
        <c:lblAlgn val="ctr"/>
        <c:lblOffset val="100"/>
        <c:noMultiLvlLbl val="0"/>
      </c:catAx>
      <c:valAx>
        <c:axId val="24202521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100851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[画图表.xlsx]Sheet1!$A$34:$A$35</c:f>
              <c:strCache>
                <c:ptCount val="2"/>
                <c:pt idx="0">
                  <c:v>2021年</c:v>
                </c:pt>
                <c:pt idx="1">
                  <c:v>2022年</c:v>
                </c:pt>
              </c:strCache>
            </c:strRef>
          </c:cat>
          <c:val>
            <c:numRef>
              <c:f>[画图表.xlsx]Sheet1!$B$34:$B$35</c:f>
              <c:numCache>
                <c:formatCode>General</c:formatCode>
                <c:ptCount val="2"/>
                <c:pt idx="0">
                  <c:v>2976.32</c:v>
                </c:pt>
                <c:pt idx="1">
                  <c:v>3326.76</c:v>
                </c:pt>
              </c:numCache>
            </c:numRef>
          </c:val>
        </c:ser>
        <c:dLbls>
          <c:showLegendKey val="0"/>
          <c:showVal val="0"/>
          <c:showCatName val="0"/>
          <c:showSerName val="0"/>
          <c:showPercent val="0"/>
          <c:showBubbleSize val="0"/>
        </c:dLbls>
        <c:gapWidth val="150"/>
        <c:axId val="242465792"/>
        <c:axId val="242471680"/>
      </c:barChart>
      <c:catAx>
        <c:axId val="2424657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471680"/>
        <c:crosses val="autoZero"/>
        <c:auto val="1"/>
        <c:lblAlgn val="ctr"/>
        <c:lblOffset val="100"/>
        <c:noMultiLvlLbl val="0"/>
      </c:catAx>
      <c:valAx>
        <c:axId val="2424716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46579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[画图表.xlsx]Sheet1!$G$34:$G$40</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[画图表.xlsx]Sheet1!$H$34:$H$40</c:f>
              <c:numCache>
                <c:formatCode>General</c:formatCode>
                <c:ptCount val="7"/>
                <c:pt idx="0">
                  <c:v>0</c:v>
                </c:pt>
                <c:pt idx="1">
                  <c:v>2802.87</c:v>
                </c:pt>
                <c:pt idx="2">
                  <c:v>0</c:v>
                </c:pt>
                <c:pt idx="3">
                  <c:v>0</c:v>
                </c:pt>
                <c:pt idx="4">
                  <c:v>243.78</c:v>
                </c:pt>
                <c:pt idx="5">
                  <c:v>105.98</c:v>
                </c:pt>
                <c:pt idx="6">
                  <c:v>174.13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1819772528434"/>
          <c:y val="0.0636913466590667"/>
          <c:w val="0.419532208823547"/>
          <c:h val="0.87261730668186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632F0-794D-4C81-B00A-0E57DFB2DAC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60</Pages>
  <Words>18446</Words>
  <Characters>22988</Characters>
  <Lines>232</Lines>
  <Paragraphs>65</Paragraphs>
  <TotalTime>6</TotalTime>
  <ScaleCrop>false</ScaleCrop>
  <LinksUpToDate>false</LinksUpToDate>
  <CharactersWithSpaces>23998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2023-10-02T13:43:00Z</dcterms:created>
  <dc:creator>曹颖</dc:creator>
  <cp:lastModifiedBy>刘忠国</cp:lastModifiedBy>
  <cp:lastPrinted>2023-09-11T05:05:00Z</cp:lastPrinted>
  <dcterms:modified xsi:type="dcterms:W3CDTF">2023-10-13T07:13:16Z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9CCC246AFF9E4C1A8F2EAB9C3EF9E447_12</vt:lpwstr>
  </property>
</Properties>
</file>