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contextualSpacing/>
        <w:textAlignment w:val="auto"/>
        <w:rPr>
          <w:rFonts w:hint="default" w:ascii="黑体" w:hAnsi="黑体" w:eastAsia="黑体" w:cs="黑体"/>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shd w:val="clear" w:color="auto" w:fill="FFFFFF"/>
          <w:lang w:eastAsia="zh-CN"/>
          <w14:textFill>
            <w14:solidFill>
              <w14:schemeClr w14:val="tx1"/>
            </w14:solidFill>
          </w14:textFill>
        </w:rPr>
        <w:t>达州市达川区南坝幼儿园</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eastAsia" w:ascii="方正小标宋_GBK" w:hAnsi="方正小标宋_GBK" w:eastAsia="方正小标宋_GBK" w:cs="方正小标宋_GBK"/>
          <w:b w:val="0"/>
          <w:bCs/>
          <w:sz w:val="44"/>
          <w:szCs w:val="44"/>
          <w:shd w:val="clear" w:color="auto" w:fill="FFFFFF"/>
        </w:rPr>
      </w:pPr>
      <w:r>
        <w:rPr>
          <w:rFonts w:hint="eastAsia" w:ascii="方正小标宋_GBK" w:hAnsi="方正小标宋_GBK" w:eastAsia="方正小标宋_GBK" w:cs="方正小标宋_GBK"/>
          <w:b w:val="0"/>
          <w:bCs/>
          <w:sz w:val="44"/>
          <w:szCs w:val="44"/>
          <w:shd w:val="clear" w:color="auto" w:fill="FFFFFF"/>
        </w:rPr>
        <w:t>2023年单位整体支出</w:t>
      </w:r>
      <w:r>
        <w:rPr>
          <w:rFonts w:hint="eastAsia" w:ascii="方正小标宋_GBK" w:hAnsi="方正小标宋_GBK" w:eastAsia="方正小标宋_GBK" w:cs="方正小标宋_GBK"/>
          <w:b w:val="0"/>
          <w:bCs/>
          <w:sz w:val="44"/>
          <w:szCs w:val="44"/>
          <w:shd w:val="clear" w:color="auto" w:fill="FFFFFF"/>
          <w:lang w:eastAsia="zh-CN"/>
        </w:rPr>
        <w:t>绩</w:t>
      </w:r>
      <w:r>
        <w:rPr>
          <w:rFonts w:hint="eastAsia" w:ascii="方正小标宋_GBK" w:hAnsi="方正小标宋_GBK" w:eastAsia="方正小标宋_GBK" w:cs="方正小标宋_GBK"/>
          <w:b w:val="0"/>
          <w:bCs/>
          <w:sz w:val="44"/>
          <w:szCs w:val="44"/>
          <w:shd w:val="clear" w:color="auto" w:fill="FFFFFF"/>
        </w:rPr>
        <w:t>效评价报告</w:t>
      </w:r>
    </w:p>
    <w:p>
      <w:pPr>
        <w:tabs>
          <w:tab w:val="left" w:pos="3885"/>
        </w:tabs>
        <w:snapToGrid w:val="0"/>
        <w:spacing w:line="600" w:lineRule="exact"/>
        <w:rPr>
          <w:rFonts w:hint="eastAsia" w:eastAsia="仿宋"/>
          <w:kern w:val="0"/>
          <w:sz w:val="32"/>
          <w:szCs w:val="32"/>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根据达州市达川区财政局《关于开展2023年部门（单位）、政策和项目支出绩效评价工作的通知》（达川财绩效〔2023〕9号）文件要求，现将本单位2023年开展单位整体支出绩效评价情况报告如下：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一、</w:t>
      </w:r>
      <w:r>
        <w:rPr>
          <w:rFonts w:hint="eastAsia" w:ascii="方正黑体_GBK" w:hAnsi="方正黑体_GBK" w:eastAsia="方正黑体_GBK" w:cs="方正黑体_GBK"/>
          <w:color w:val="000000" w:themeColor="text1"/>
          <w:kern w:val="0"/>
          <w:szCs w:val="32"/>
          <w:shd w:val="clear" w:color="auto" w:fill="FFFFFF"/>
          <w:lang w:val="zh-CN"/>
          <w14:textFill>
            <w14:solidFill>
              <w14:schemeClr w14:val="tx1"/>
            </w14:solidFill>
          </w14:textFill>
        </w:rPr>
        <w:t>单位概况</w:t>
      </w:r>
    </w:p>
    <w:p>
      <w:pPr>
        <w:widowControl/>
        <w:adjustRightInd w:val="0"/>
        <w:snapToGrid w:val="0"/>
        <w:spacing w:line="580" w:lineRule="exact"/>
        <w:ind w:left="643"/>
        <w:contextualSpacing/>
        <w:jc w:val="left"/>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（一）机构组成</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学校设有办公室、保教处、安全办、后勤处。</w:t>
      </w:r>
    </w:p>
    <w:p>
      <w:pPr>
        <w:widowControl/>
        <w:adjustRightInd w:val="0"/>
        <w:snapToGrid w:val="0"/>
        <w:spacing w:line="580" w:lineRule="exact"/>
        <w:ind w:left="643"/>
        <w:contextualSpacing/>
        <w:jc w:val="left"/>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eastAsia="zh-CN"/>
          <w14:textFill>
            <w14:solidFill>
              <w14:schemeClr w14:val="tx1"/>
            </w14:solidFill>
          </w14:textFill>
        </w:rPr>
        <w:t>（二）机构职能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1.遵照国家的教育方针和保教工作的客观规律，采用科学的工作方法和管理手段，将人、财、物等各因素合理组织起来，调动各方面的积极性，优质高效的实现国家所规定的培养目标的各种一般职能活动。</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2.实行保育和教育相结合的原则，对幼儿实施体、智、德、美诸方面全面发展的教育，促进其身心和谐发展，同时为家长工作、学习提供便利条件。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3.充分利用幼儿和社区的资源优势，面向家长开展多种形式的早期教育宣传、指导等服务，促进家庭教育质量的不断提高。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4.贯彻幼儿教育法规、传播科学教育理念、开展教育科学研究、培训师资，发挥示范性幼儿园的示范、辐射作用加强师资培养培训工作，做好学前教育工作。</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5.完成上级主管部门下达的各项任务和指示。</w:t>
      </w:r>
    </w:p>
    <w:p>
      <w:pPr>
        <w:widowControl/>
        <w:adjustRightInd w:val="0"/>
        <w:snapToGrid w:val="0"/>
        <w:spacing w:line="580" w:lineRule="exact"/>
        <w:ind w:left="643"/>
        <w:contextualSpacing/>
        <w:jc w:val="left"/>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（三）人员概况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根据人社局相关编制批复文件，核定我</w:t>
      </w:r>
      <w:r>
        <w:rPr>
          <w:rFonts w:hint="eastAsia" w:ascii="方正仿宋_GBK" w:hAnsi="方正仿宋_GBK" w:eastAsia="方正仿宋_GBK" w:cs="方正仿宋_GBK"/>
          <w:bCs/>
          <w:color w:val="000000" w:themeColor="text1"/>
          <w:kern w:val="0"/>
          <w:sz w:val="32"/>
          <w:szCs w:val="32"/>
          <w:lang w:val="zh-CN"/>
          <w14:textFill>
            <w14:solidFill>
              <w14:schemeClr w14:val="tx1"/>
            </w14:solidFill>
          </w14:textFill>
        </w:rPr>
        <w:t>单位</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事业编制1</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名；</w:t>
      </w:r>
      <w:bookmarkStart w:id="0" w:name="_Hlk109807352"/>
      <w:r>
        <w:rPr>
          <w:rFonts w:hint="eastAsia" w:ascii="方正仿宋_GBK" w:hAnsi="方正仿宋_GBK" w:eastAsia="方正仿宋_GBK" w:cs="方正仿宋_GBK"/>
          <w:bCs/>
          <w:color w:val="000000" w:themeColor="text1"/>
          <w:kern w:val="0"/>
          <w:sz w:val="32"/>
          <w:szCs w:val="32"/>
          <w14:textFill>
            <w14:solidFill>
              <w14:schemeClr w14:val="tx1"/>
            </w14:solidFill>
          </w14:textFill>
        </w:rPr>
        <w:t>截至2022年年末实有在职人员</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人</w:t>
      </w:r>
      <w:bookmarkEnd w:id="0"/>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shd w:val="clear" w:color="auto" w:fill="FFFFFF"/>
          <w14:textFill>
            <w14:solidFill>
              <w14:schemeClr w14:val="tx1"/>
            </w14:solidFill>
          </w14:textFill>
        </w:rPr>
        <w:t>二、部门财政资金收支情况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（一）部门财政资金收入情况。</w:t>
      </w:r>
    </w:p>
    <w:p>
      <w:pPr>
        <w:widowControl/>
        <w:adjustRightInd w:val="0"/>
        <w:snapToGrid w:val="0"/>
        <w:spacing w:line="580" w:lineRule="exact"/>
        <w:ind w:firstLine="640" w:firstLineChars="200"/>
        <w:contextualSpacing/>
        <w:jc w:val="left"/>
        <w:rPr>
          <w:rFonts w:hint="eastAsia" w:ascii="仿宋" w:hAnsi="仿宋" w:eastAsia="仿宋" w:cs="仿宋"/>
          <w:sz w:val="32"/>
          <w:szCs w:val="32"/>
          <w:lang w:val="en-US" w:eastAsia="zh-CN"/>
        </w:rPr>
      </w:pP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20</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22</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年度</w:t>
      </w:r>
      <w:r>
        <w:rPr>
          <w:rFonts w:hint="eastAsia" w:ascii="方正仿宋_GBK" w:hAnsi="方正仿宋_GBK" w:eastAsia="方正仿宋_GBK" w:cs="方正仿宋_GBK"/>
          <w:bCs/>
          <w:color w:val="000000" w:themeColor="text1"/>
          <w:kern w:val="0"/>
          <w:sz w:val="32"/>
          <w:szCs w:val="32"/>
          <w:lang w:eastAsia="zh-CN"/>
          <w14:textFill>
            <w14:solidFill>
              <w14:schemeClr w14:val="tx1"/>
            </w14:solidFill>
          </w14:textFill>
        </w:rPr>
        <w:t>总收入</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139.60万元</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sz w:val="32"/>
          <w:szCs w:val="32"/>
          <w:lang w:val="en-US" w:eastAsia="zh-CN"/>
        </w:rPr>
        <w:t xml:space="preserve">         </w:t>
      </w:r>
    </w:p>
    <w:p>
      <w:pPr>
        <w:widowControl/>
        <w:adjustRightInd w:val="0"/>
        <w:snapToGrid w:val="0"/>
        <w:spacing w:line="580" w:lineRule="exact"/>
        <w:ind w:firstLine="640" w:firstLineChars="200"/>
        <w:contextualSpacing/>
        <w:jc w:val="left"/>
        <w:rPr>
          <w:rFonts w:hint="default" w:eastAsia="楷体_GB2312"/>
          <w:b/>
          <w:kern w:val="0"/>
          <w:szCs w:val="32"/>
          <w:shd w:val="clear" w:color="auto" w:fill="FFFFFF"/>
          <w:lang w:val="en-US" w:eastAsia="zh-CN"/>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（二）部门财政资金支出情况。</w:t>
      </w:r>
      <w:r>
        <w:rPr>
          <w:rFonts w:hint="eastAsia" w:eastAsia="楷体_GB2312"/>
          <w:b/>
          <w:kern w:val="0"/>
          <w:szCs w:val="32"/>
          <w:shd w:val="clear" w:color="auto" w:fill="FFFFFF"/>
          <w:lang w:val="en-US" w:eastAsia="zh-CN"/>
        </w:rPr>
        <w:t xml:space="preserve">   </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2022年度总支出139.60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万元，其中：基本支出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129.60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万元（人员经费</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88.86</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万元和日常公用经费</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40.74</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万元），项目支出</w:t>
      </w: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10</w:t>
      </w:r>
      <w:r>
        <w:rPr>
          <w:rFonts w:hint="eastAsia" w:ascii="方正仿宋_GBK" w:hAnsi="方正仿宋_GBK" w:eastAsia="方正仿宋_GBK" w:cs="方正仿宋_GBK"/>
          <w:bCs/>
          <w:color w:val="000000" w:themeColor="text1"/>
          <w:kern w:val="0"/>
          <w:sz w:val="32"/>
          <w:szCs w:val="32"/>
          <w14:textFill>
            <w14:solidFill>
              <w14:schemeClr w14:val="tx1"/>
            </w14:solidFill>
          </w14:textFill>
        </w:rPr>
        <w:t>万元。</w:t>
      </w:r>
    </w:p>
    <w:p>
      <w:pPr>
        <w:widowControl/>
        <w:adjustRightInd w:val="0"/>
        <w:snapToGrid w:val="0"/>
        <w:spacing w:line="580" w:lineRule="exact"/>
        <w:ind w:firstLine="640" w:firstLineChars="200"/>
        <w:contextualSpacing/>
        <w:jc w:val="left"/>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pPr>
      <w:r>
        <w:rPr>
          <w:rFonts w:hint="eastAsia" w:ascii="方正楷体_GBK" w:hAnsi="方正楷体_GBK" w:eastAsia="方正楷体_GBK" w:cs="方正楷体_GBK"/>
          <w:color w:val="000000" w:themeColor="text1"/>
          <w:kern w:val="0"/>
          <w:szCs w:val="32"/>
          <w:shd w:val="clear" w:color="auto" w:fill="FFFFFF"/>
          <w:lang w:val="zh-CN"/>
          <w14:textFill>
            <w14:solidFill>
              <w14:schemeClr w14:val="tx1"/>
            </w14:solidFill>
          </w14:textFill>
        </w:rPr>
        <w:t>（三）部门财政收入结转结余情况。</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2022年本级单位结转下年资金0万元。</w:t>
      </w:r>
    </w:p>
    <w:p>
      <w:pPr>
        <w:widowControl/>
        <w:adjustRightInd w:val="0"/>
        <w:snapToGrid w:val="0"/>
        <w:spacing w:line="580" w:lineRule="exact"/>
        <w:ind w:firstLine="640" w:firstLineChars="200"/>
        <w:contextualSpacing/>
        <w:jc w:val="left"/>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Cs/>
          <w:color w:val="000000" w:themeColor="text1"/>
          <w:kern w:val="0"/>
          <w:sz w:val="32"/>
          <w:szCs w:val="32"/>
          <w:lang w:val="en-US" w:eastAsia="zh-CN"/>
          <w14:textFill>
            <w14:solidFill>
              <w14:schemeClr w14:val="tx1"/>
            </w14:solidFill>
          </w14:textFill>
        </w:rPr>
        <w:t>达川区南坝幼儿园无下属单位，2022年无下属单位支出。</w:t>
      </w:r>
    </w:p>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pP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部门整体预算</w:t>
      </w:r>
      <w:r>
        <w:rPr>
          <w:rFonts w:hint="eastAsia" w:ascii="方正黑体_GBK" w:hAnsi="方正黑体_GBK" w:eastAsia="方正黑体_GBK" w:cs="方正黑体_GBK"/>
          <w:color w:val="000000" w:themeColor="text1"/>
          <w:kern w:val="0"/>
          <w:szCs w:val="32"/>
          <w:u w:val="none"/>
          <w:shd w:val="clear" w:color="auto" w:fill="FFFFFF"/>
          <w:lang w:eastAsia="zh-CN"/>
          <w14:textFill>
            <w14:solidFill>
              <w14:schemeClr w14:val="tx1"/>
            </w14:solidFill>
          </w14:textFill>
        </w:rPr>
        <w:t>绩</w:t>
      </w:r>
      <w:r>
        <w:rPr>
          <w:rFonts w:hint="eastAsia" w:ascii="方正黑体_GBK" w:hAnsi="方正黑体_GBK" w:eastAsia="方正黑体_GBK" w:cs="方正黑体_GBK"/>
          <w:color w:val="000000" w:themeColor="text1"/>
          <w:kern w:val="0"/>
          <w:szCs w:val="32"/>
          <w:u w:val="none"/>
          <w:shd w:val="clear" w:color="auto" w:fill="FFFFFF"/>
          <w14:textFill>
            <w14:solidFill>
              <w14:schemeClr w14:val="tx1"/>
            </w14:solidFill>
          </w14:textFill>
        </w:rPr>
        <w:t>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年，我单位设定的总体工作目标为：</w:t>
      </w:r>
      <w:r>
        <w:rPr>
          <w:rFonts w:hint="eastAsia" w:ascii="方正仿宋_GBK" w:hAnsi="方正仿宋_GBK" w:eastAsia="方正仿宋_GBK" w:cs="方正仿宋_GBK"/>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eastAsia" w:ascii="方正仿宋_GBK" w:hAnsi="方正仿宋_GBK" w:eastAsia="方正仿宋_GBK" w:cs="方正仿宋_GBK"/>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en-US" w:eastAsia="zh-CN"/>
        </w:rPr>
      </w:pPr>
      <w:bookmarkStart w:id="1" w:name="_Toc110955069"/>
      <w:r>
        <w:rPr>
          <w:rFonts w:hint="default" w:ascii="方正仿宋_GBK" w:hAnsi="方正仿宋_GBK" w:eastAsia="方正仿宋_GBK" w:cs="方正仿宋_GBK"/>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方正仿宋_GBK" w:hAnsi="方正仿宋_GBK" w:eastAsia="方正仿宋_GBK" w:cs="方正仿宋_GBK"/>
          <w:kern w:val="0"/>
          <w:szCs w:val="32"/>
          <w:shd w:val="clear" w:color="auto" w:fill="FFFFFF"/>
          <w:lang w:val="en-US" w:eastAsia="zh-CN"/>
        </w:rPr>
        <w:t>5</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2.在“目标实现”方面，我单位202</w:t>
      </w:r>
      <w:r>
        <w:rPr>
          <w:rFonts w:hint="default" w:ascii="方正仿宋_GBK" w:hAnsi="方正仿宋_GBK" w:eastAsia="方正仿宋_GBK" w:cs="方正仿宋_GBK"/>
          <w:kern w:val="0"/>
          <w:szCs w:val="32"/>
          <w:shd w:val="clear" w:color="auto" w:fill="FFFFFF"/>
          <w:lang w:val="en-US" w:eastAsia="zh-CN"/>
        </w:rPr>
        <w:t>2</w:t>
      </w:r>
      <w:r>
        <w:rPr>
          <w:rFonts w:hint="default" w:ascii="方正仿宋_GBK" w:hAnsi="方正仿宋_GBK" w:eastAsia="方正仿宋_GBK" w:cs="方正仿宋_GBK"/>
          <w:kern w:val="0"/>
          <w:szCs w:val="32"/>
          <w:shd w:val="clear" w:color="auto" w:fill="FFFFFF"/>
          <w:lang w:val="zh-CN"/>
        </w:rPr>
        <w:t>年共</w:t>
      </w:r>
      <w:r>
        <w:rPr>
          <w:rFonts w:hint="default" w:ascii="方正仿宋_GBK" w:hAnsi="方正仿宋_GBK" w:eastAsia="方正仿宋_GBK" w:cs="方正仿宋_GBK"/>
          <w:kern w:val="0"/>
          <w:szCs w:val="32"/>
          <w:shd w:val="clear" w:color="auto" w:fill="FFFFFF"/>
          <w:lang w:val="en-US" w:eastAsia="zh-CN"/>
        </w:rPr>
        <w:t>3</w:t>
      </w:r>
      <w:r>
        <w:rPr>
          <w:rFonts w:hint="default" w:ascii="方正仿宋_GBK" w:hAnsi="方正仿宋_GBK" w:eastAsia="方正仿宋_GBK" w:cs="方正仿宋_GBK"/>
          <w:kern w:val="0"/>
          <w:szCs w:val="32"/>
          <w:shd w:val="clear" w:color="auto" w:fill="FFFFFF"/>
          <w:lang w:val="zh-CN"/>
        </w:rPr>
        <w:t>个部门预算项目，均属于特定目标类项目。部门所有纳入绩效目标管理的部门预算项目中涉及数量指标共计</w:t>
      </w:r>
      <w:r>
        <w:rPr>
          <w:rFonts w:hint="default" w:ascii="方正仿宋_GBK" w:hAnsi="方正仿宋_GBK" w:eastAsia="方正仿宋_GBK" w:cs="方正仿宋_GBK"/>
          <w:kern w:val="0"/>
          <w:szCs w:val="32"/>
          <w:shd w:val="clear" w:color="auto" w:fill="FFFFFF"/>
          <w:lang w:val="en-US" w:eastAsia="zh-CN"/>
        </w:rPr>
        <w:t>3</w:t>
      </w:r>
      <w:r>
        <w:rPr>
          <w:rFonts w:hint="default" w:ascii="方正仿宋_GBK" w:hAnsi="方正仿宋_GBK" w:eastAsia="方正仿宋_GBK" w:cs="方正仿宋_GBK"/>
          <w:kern w:val="0"/>
          <w:szCs w:val="32"/>
          <w:shd w:val="clear" w:color="auto" w:fill="FFFFFF"/>
          <w:lang w:val="zh-CN"/>
        </w:rPr>
        <w:t>个，已完成数量为</w:t>
      </w:r>
      <w:r>
        <w:rPr>
          <w:rFonts w:hint="default" w:ascii="方正仿宋_GBK" w:hAnsi="方正仿宋_GBK" w:eastAsia="方正仿宋_GBK" w:cs="方正仿宋_GBK"/>
          <w:kern w:val="0"/>
          <w:szCs w:val="32"/>
          <w:shd w:val="clear" w:color="auto" w:fill="FFFFFF"/>
          <w:lang w:val="en-US" w:eastAsia="zh-CN"/>
        </w:rPr>
        <w:t>3</w:t>
      </w:r>
      <w:r>
        <w:rPr>
          <w:rFonts w:hint="default" w:ascii="方正仿宋_GBK" w:hAnsi="方正仿宋_GBK" w:eastAsia="方正仿宋_GBK" w:cs="方正仿宋_GBK"/>
          <w:kern w:val="0"/>
          <w:szCs w:val="32"/>
          <w:shd w:val="clear" w:color="auto" w:fill="FFFFFF"/>
          <w:lang w:val="zh-CN"/>
        </w:rPr>
        <w:t>个。该项指标分值为10分，自评得分</w:t>
      </w:r>
      <w:r>
        <w:rPr>
          <w:rFonts w:hint="default" w:ascii="方正仿宋_GBK" w:hAnsi="方正仿宋_GBK" w:eastAsia="方正仿宋_GBK" w:cs="方正仿宋_GBK"/>
          <w:kern w:val="0"/>
          <w:szCs w:val="32"/>
          <w:shd w:val="clear" w:color="auto" w:fill="FFFFFF"/>
          <w:lang w:val="en-US" w:eastAsia="zh-CN"/>
        </w:rPr>
        <w:t>10</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3.在“支出控制”方面，我单位202</w:t>
      </w:r>
      <w:r>
        <w:rPr>
          <w:rFonts w:hint="default" w:ascii="方正仿宋_GBK" w:hAnsi="方正仿宋_GBK" w:eastAsia="方正仿宋_GBK" w:cs="方正仿宋_GBK"/>
          <w:kern w:val="0"/>
          <w:szCs w:val="32"/>
          <w:shd w:val="clear" w:color="auto" w:fill="FFFFFF"/>
          <w:lang w:val="en-US" w:eastAsia="zh-CN"/>
        </w:rPr>
        <w:t>2</w:t>
      </w:r>
      <w:r>
        <w:rPr>
          <w:rFonts w:hint="default" w:ascii="方正仿宋_GBK" w:hAnsi="方正仿宋_GBK" w:eastAsia="方正仿宋_GBK" w:cs="方正仿宋_GBK"/>
          <w:kern w:val="0"/>
          <w:szCs w:val="32"/>
          <w:shd w:val="clear" w:color="auto" w:fill="FFFFFF"/>
          <w:lang w:val="zh-CN"/>
        </w:rPr>
        <w:t>年日常公用经费、项目支出中“办公费、印刷费、水费、电费、物业管理费”年初预算额</w:t>
      </w:r>
      <w:r>
        <w:rPr>
          <w:rFonts w:hint="eastAsia" w:ascii="方正仿宋_GBK" w:hAnsi="方正仿宋_GBK" w:eastAsia="方正仿宋_GBK" w:cs="方正仿宋_GBK"/>
          <w:kern w:val="0"/>
          <w:szCs w:val="32"/>
          <w:shd w:val="clear" w:color="auto" w:fill="FFFFFF"/>
          <w:lang w:val="en-US" w:eastAsia="zh-CN"/>
        </w:rPr>
        <w:t>20.24</w:t>
      </w:r>
      <w:r>
        <w:rPr>
          <w:rFonts w:hint="default" w:ascii="方正仿宋_GBK" w:hAnsi="方正仿宋_GBK" w:eastAsia="方正仿宋_GBK" w:cs="方正仿宋_GBK"/>
          <w:kern w:val="0"/>
          <w:szCs w:val="32"/>
          <w:shd w:val="clear" w:color="auto" w:fill="FFFFFF"/>
          <w:lang w:val="zh-CN"/>
        </w:rPr>
        <w:t>万元，年末决算数</w:t>
      </w:r>
      <w:r>
        <w:rPr>
          <w:rFonts w:hint="eastAsia" w:ascii="方正仿宋_GBK" w:hAnsi="方正仿宋_GBK" w:eastAsia="方正仿宋_GBK" w:cs="方正仿宋_GBK"/>
          <w:kern w:val="0"/>
          <w:szCs w:val="32"/>
          <w:shd w:val="clear" w:color="auto" w:fill="FFFFFF"/>
          <w:lang w:val="en-US" w:eastAsia="zh-CN"/>
        </w:rPr>
        <w:t>20.24</w:t>
      </w:r>
      <w:r>
        <w:rPr>
          <w:rFonts w:hint="default" w:ascii="方正仿宋_GBK" w:hAnsi="方正仿宋_GBK" w:eastAsia="方正仿宋_GBK" w:cs="方正仿宋_GBK"/>
          <w:kern w:val="0"/>
          <w:szCs w:val="32"/>
          <w:shd w:val="clear" w:color="auto" w:fill="FFFFFF"/>
          <w:lang w:val="zh-CN"/>
        </w:rPr>
        <w:t>万元，</w:t>
      </w:r>
      <w:r>
        <w:rPr>
          <w:rFonts w:hint="default" w:ascii="方正仿宋_GBK" w:hAnsi="方正仿宋_GBK" w:eastAsia="方正仿宋_GBK" w:cs="方正仿宋_GBK"/>
          <w:kern w:val="0"/>
          <w:szCs w:val="32"/>
          <w:shd w:val="clear" w:color="auto" w:fill="FFFFFF"/>
          <w:lang w:val="en-US" w:eastAsia="zh-CN"/>
        </w:rPr>
        <w:t>无</w:t>
      </w:r>
      <w:r>
        <w:rPr>
          <w:rFonts w:hint="default" w:ascii="方正仿宋_GBK" w:hAnsi="方正仿宋_GBK" w:eastAsia="方正仿宋_GBK" w:cs="方正仿宋_GBK"/>
          <w:kern w:val="0"/>
          <w:szCs w:val="32"/>
          <w:shd w:val="clear" w:color="auto" w:fill="FFFFFF"/>
          <w:lang w:val="zh-CN"/>
        </w:rPr>
        <w:t>偏差度。该项指标分值为</w:t>
      </w:r>
      <w:r>
        <w:rPr>
          <w:rFonts w:hint="eastAsia" w:ascii="方正仿宋_GBK" w:hAnsi="方正仿宋_GBK" w:eastAsia="方正仿宋_GBK" w:cs="方正仿宋_GBK"/>
          <w:kern w:val="0"/>
          <w:szCs w:val="32"/>
          <w:shd w:val="clear" w:color="auto" w:fill="FFFFFF"/>
          <w:lang w:val="en-US" w:eastAsia="zh-CN"/>
        </w:rPr>
        <w:t>0</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4.在“及时处置”方面，当部门绩效监控调整取消额(</w:t>
      </w:r>
      <w:r>
        <w:rPr>
          <w:rFonts w:hint="default" w:ascii="方正仿宋_GBK" w:hAnsi="方正仿宋_GBK" w:eastAsia="方正仿宋_GBK" w:cs="方正仿宋_GBK"/>
          <w:kern w:val="0"/>
          <w:szCs w:val="32"/>
          <w:shd w:val="clear" w:color="auto" w:fill="FFFFFF"/>
          <w:lang w:val="en-US" w:eastAsia="zh-CN"/>
        </w:rPr>
        <w:t>0</w:t>
      </w:r>
      <w:r>
        <w:rPr>
          <w:rFonts w:hint="default" w:ascii="方正仿宋_GBK" w:hAnsi="方正仿宋_GBK" w:eastAsia="方正仿宋_GBK" w:cs="方正仿宋_GBK"/>
          <w:kern w:val="0"/>
          <w:szCs w:val="32"/>
          <w:shd w:val="clear" w:color="auto" w:fill="FFFFFF"/>
          <w:lang w:val="zh-CN"/>
        </w:rPr>
        <w:t>万元)和结余注销额(</w:t>
      </w:r>
      <w:r>
        <w:rPr>
          <w:rFonts w:hint="default" w:ascii="方正仿宋_GBK" w:hAnsi="方正仿宋_GBK" w:eastAsia="方正仿宋_GBK" w:cs="方正仿宋_GBK"/>
          <w:kern w:val="0"/>
          <w:szCs w:val="32"/>
          <w:shd w:val="clear" w:color="auto" w:fill="FFFFFF"/>
          <w:lang w:val="en-US" w:eastAsia="zh-CN"/>
        </w:rPr>
        <w:t>0</w:t>
      </w:r>
      <w:r>
        <w:rPr>
          <w:rFonts w:hint="default" w:ascii="方正仿宋_GBK" w:hAnsi="方正仿宋_GBK" w:eastAsia="方正仿宋_GBK" w:cs="方正仿宋_GBK"/>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5.在“执行进度”方面，根据系统提取数据显示，我单位202</w:t>
      </w:r>
      <w:r>
        <w:rPr>
          <w:rFonts w:hint="default" w:ascii="方正仿宋_GBK" w:hAnsi="方正仿宋_GBK" w:eastAsia="方正仿宋_GBK" w:cs="方正仿宋_GBK"/>
          <w:kern w:val="0"/>
          <w:szCs w:val="32"/>
          <w:shd w:val="clear" w:color="auto" w:fill="FFFFFF"/>
          <w:lang w:val="en-US" w:eastAsia="zh-CN"/>
        </w:rPr>
        <w:t>2</w:t>
      </w:r>
      <w:r>
        <w:rPr>
          <w:rFonts w:hint="default" w:ascii="方正仿宋_GBK" w:hAnsi="方正仿宋_GBK" w:eastAsia="方正仿宋_GBK" w:cs="方正仿宋_GBK"/>
          <w:kern w:val="0"/>
          <w:szCs w:val="32"/>
          <w:shd w:val="clear" w:color="auto" w:fill="FFFFFF"/>
          <w:lang w:val="zh-CN"/>
        </w:rPr>
        <w:t>年6月、9月、11月执行进度分别为</w:t>
      </w:r>
      <w:r>
        <w:rPr>
          <w:rFonts w:hint="eastAsia" w:ascii="方正仿宋_GBK" w:hAnsi="方正仿宋_GBK" w:eastAsia="方正仿宋_GBK" w:cs="方正仿宋_GBK"/>
          <w:kern w:val="0"/>
          <w:szCs w:val="32"/>
          <w:shd w:val="clear" w:color="auto" w:fill="FFFFFF"/>
          <w:lang w:val="en-US" w:eastAsia="zh-CN"/>
        </w:rPr>
        <w:t>19</w:t>
      </w:r>
      <w:r>
        <w:rPr>
          <w:rFonts w:hint="default" w:ascii="方正仿宋_GBK" w:hAnsi="方正仿宋_GBK" w:eastAsia="方正仿宋_GBK" w:cs="方正仿宋_GBK"/>
          <w:kern w:val="0"/>
          <w:szCs w:val="32"/>
          <w:shd w:val="clear" w:color="auto" w:fill="FFFFFF"/>
          <w:lang w:val="zh-CN"/>
        </w:rPr>
        <w:t>%、</w:t>
      </w:r>
      <w:r>
        <w:rPr>
          <w:rFonts w:hint="eastAsia" w:ascii="方正仿宋_GBK" w:hAnsi="方正仿宋_GBK" w:eastAsia="方正仿宋_GBK" w:cs="方正仿宋_GBK"/>
          <w:kern w:val="0"/>
          <w:szCs w:val="32"/>
          <w:shd w:val="clear" w:color="auto" w:fill="FFFFFF"/>
          <w:lang w:val="en-US" w:eastAsia="zh-CN"/>
        </w:rPr>
        <w:t>42</w:t>
      </w:r>
      <w:r>
        <w:rPr>
          <w:rFonts w:hint="default" w:ascii="方正仿宋_GBK" w:hAnsi="方正仿宋_GBK" w:eastAsia="方正仿宋_GBK" w:cs="方正仿宋_GBK"/>
          <w:kern w:val="0"/>
          <w:szCs w:val="32"/>
          <w:shd w:val="clear" w:color="auto" w:fill="FFFFFF"/>
          <w:lang w:val="zh-CN"/>
        </w:rPr>
        <w:t xml:space="preserve">%、 </w:t>
      </w:r>
      <w:r>
        <w:rPr>
          <w:rFonts w:hint="eastAsia" w:ascii="方正仿宋_GBK" w:hAnsi="方正仿宋_GBK" w:eastAsia="方正仿宋_GBK" w:cs="方正仿宋_GBK"/>
          <w:kern w:val="0"/>
          <w:szCs w:val="32"/>
          <w:shd w:val="clear" w:color="auto" w:fill="FFFFFF"/>
          <w:lang w:val="en-US" w:eastAsia="zh-CN"/>
        </w:rPr>
        <w:t>42</w:t>
      </w:r>
      <w:r>
        <w:rPr>
          <w:rFonts w:hint="default" w:ascii="方正仿宋_GBK" w:hAnsi="方正仿宋_GBK" w:eastAsia="方正仿宋_GBK" w:cs="方正仿宋_GBK"/>
          <w:kern w:val="0"/>
          <w:szCs w:val="32"/>
          <w:shd w:val="clear" w:color="auto" w:fill="FFFFFF"/>
          <w:lang w:val="zh-CN"/>
        </w:rPr>
        <w:t>%. 该项指标分值为4分，按其实际进度占目标进度的比重计算得分</w:t>
      </w:r>
      <w:r>
        <w:rPr>
          <w:rFonts w:hint="eastAsia" w:ascii="方正仿宋_GBK" w:hAnsi="方正仿宋_GBK" w:eastAsia="方正仿宋_GBK" w:cs="方正仿宋_GBK"/>
          <w:kern w:val="0"/>
          <w:szCs w:val="32"/>
          <w:shd w:val="clear" w:color="auto" w:fill="FFFFFF"/>
          <w:lang w:val="en-US" w:eastAsia="zh-CN"/>
        </w:rPr>
        <w:t>0</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6.在“预算完成”方面，部门预算项目年末预算执行进度</w:t>
      </w:r>
      <w:r>
        <w:rPr>
          <w:rFonts w:hint="default" w:ascii="方正仿宋_GBK" w:hAnsi="方正仿宋_GBK" w:eastAsia="方正仿宋_GBK" w:cs="方正仿宋_GBK"/>
          <w:kern w:val="0"/>
          <w:szCs w:val="32"/>
          <w:shd w:val="clear" w:color="auto" w:fill="FFFFFF"/>
          <w:lang w:val="en-US" w:eastAsia="zh-CN"/>
        </w:rPr>
        <w:t>100</w:t>
      </w:r>
      <w:r>
        <w:rPr>
          <w:rFonts w:hint="default" w:ascii="方正仿宋_GBK" w:hAnsi="方正仿宋_GBK" w:eastAsia="方正仿宋_GBK" w:cs="方正仿宋_GBK"/>
          <w:kern w:val="0"/>
          <w:szCs w:val="32"/>
          <w:shd w:val="clear" w:color="auto" w:fill="FFFFFF"/>
          <w:lang w:val="zh-CN"/>
        </w:rPr>
        <w:t>%。该项指标分值为5分，按照实际进度量化计算得分</w:t>
      </w:r>
      <w:r>
        <w:rPr>
          <w:rFonts w:hint="default" w:ascii="方正仿宋_GBK" w:hAnsi="方正仿宋_GBK" w:eastAsia="方正仿宋_GBK" w:cs="方正仿宋_GBK"/>
          <w:kern w:val="0"/>
          <w:szCs w:val="32"/>
          <w:shd w:val="clear" w:color="auto" w:fill="FFFFFF"/>
          <w:lang w:val="en-US" w:eastAsia="zh-CN"/>
        </w:rPr>
        <w:t>5</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7.在“资金结余率”方面，我部门单位部门预算项目共</w:t>
      </w:r>
      <w:r>
        <w:rPr>
          <w:rFonts w:hint="default" w:ascii="方正仿宋_GBK" w:hAnsi="方正仿宋_GBK" w:eastAsia="方正仿宋_GBK" w:cs="方正仿宋_GBK"/>
          <w:kern w:val="0"/>
          <w:szCs w:val="32"/>
          <w:shd w:val="clear" w:color="auto" w:fill="FFFFFF"/>
          <w:lang w:val="en-US" w:eastAsia="zh-CN"/>
        </w:rPr>
        <w:t>3</w:t>
      </w:r>
      <w:r>
        <w:rPr>
          <w:rFonts w:hint="default" w:ascii="方正仿宋_GBK" w:hAnsi="方正仿宋_GBK" w:eastAsia="方正仿宋_GBK" w:cs="方正仿宋_GBK"/>
          <w:kern w:val="0"/>
          <w:szCs w:val="32"/>
          <w:shd w:val="clear" w:color="auto" w:fill="FFFFFF"/>
          <w:lang w:val="zh-CN"/>
        </w:rPr>
        <w:t>项，资金余率小于</w:t>
      </w:r>
      <w:r>
        <w:rPr>
          <w:rFonts w:hint="default" w:ascii="方正仿宋_GBK" w:hAnsi="方正仿宋_GBK" w:eastAsia="方正仿宋_GBK" w:cs="方正仿宋_GBK"/>
          <w:kern w:val="0"/>
          <w:szCs w:val="32"/>
          <w:shd w:val="clear" w:color="auto" w:fill="FFFFFF"/>
          <w:lang w:val="en-US" w:eastAsia="zh-CN"/>
        </w:rPr>
        <w:t>0.1</w:t>
      </w:r>
      <w:r>
        <w:rPr>
          <w:rFonts w:hint="default" w:ascii="方正仿宋_GBK" w:hAnsi="方正仿宋_GBK" w:eastAsia="方正仿宋_GBK" w:cs="方正仿宋_GBK"/>
          <w:kern w:val="0"/>
          <w:szCs w:val="32"/>
          <w:shd w:val="clear" w:color="auto" w:fill="FFFFFF"/>
          <w:lang w:val="zh-CN"/>
        </w:rPr>
        <w:t>的项目数</w:t>
      </w:r>
      <w:r>
        <w:rPr>
          <w:rFonts w:hint="eastAsia" w:ascii="方正仿宋_GBK" w:hAnsi="方正仿宋_GBK" w:eastAsia="方正仿宋_GBK" w:cs="方正仿宋_GBK"/>
          <w:kern w:val="0"/>
          <w:szCs w:val="32"/>
          <w:shd w:val="clear" w:color="auto" w:fill="FFFFFF"/>
          <w:lang w:val="en-US" w:eastAsia="zh-CN"/>
        </w:rPr>
        <w:t>3</w:t>
      </w:r>
      <w:r>
        <w:rPr>
          <w:rFonts w:hint="default" w:ascii="方正仿宋_GBK" w:hAnsi="方正仿宋_GBK" w:eastAsia="方正仿宋_GBK" w:cs="方正仿宋_GBK"/>
          <w:kern w:val="0"/>
          <w:szCs w:val="32"/>
          <w:shd w:val="clear" w:color="auto" w:fill="FFFFFF"/>
          <w:lang w:val="zh-CN"/>
        </w:rPr>
        <w:t>项。该项指标分值为8分，按照相应量化计算得分</w:t>
      </w:r>
      <w:r>
        <w:rPr>
          <w:rFonts w:hint="default" w:ascii="方正仿宋_GBK" w:hAnsi="方正仿宋_GBK" w:eastAsia="方正仿宋_GBK" w:cs="方正仿宋_GBK"/>
          <w:kern w:val="0"/>
          <w:szCs w:val="32"/>
          <w:shd w:val="clear" w:color="auto" w:fill="FFFFFF"/>
          <w:lang w:val="en-US" w:eastAsia="zh-CN"/>
        </w:rPr>
        <w:t>8</w:t>
      </w:r>
      <w:r>
        <w:rPr>
          <w:rFonts w:hint="default" w:ascii="方正仿宋_GBK" w:hAnsi="方正仿宋_GBK" w:eastAsia="方正仿宋_GBK" w:cs="方正仿宋_GBK"/>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方正仿宋_GBK" w:hAnsi="方正仿宋_GBK" w:eastAsia="方正仿宋_GBK" w:cs="方正仿宋_GBK"/>
          <w:kern w:val="0"/>
          <w:szCs w:val="32"/>
          <w:shd w:val="clear" w:color="auto" w:fill="FFFFFF"/>
          <w:lang w:val="zh-CN"/>
        </w:rPr>
      </w:pPr>
      <w:r>
        <w:rPr>
          <w:rFonts w:hint="default" w:ascii="方正仿宋_GBK" w:hAnsi="方正仿宋_GBK" w:eastAsia="方正仿宋_GBK" w:cs="方正仿宋_GBK"/>
          <w:kern w:val="0"/>
          <w:szCs w:val="32"/>
          <w:shd w:val="clear" w:color="auto" w:fill="FFFFFF"/>
          <w:lang w:val="zh-CN"/>
        </w:rPr>
        <w:t>8.在违规记录上，我单位202</w:t>
      </w:r>
      <w:r>
        <w:rPr>
          <w:rFonts w:hint="default" w:ascii="方正仿宋_GBK" w:hAnsi="方正仿宋_GBK" w:eastAsia="方正仿宋_GBK" w:cs="方正仿宋_GBK"/>
          <w:kern w:val="0"/>
          <w:szCs w:val="32"/>
          <w:shd w:val="clear" w:color="auto" w:fill="FFFFFF"/>
          <w:lang w:val="en-US" w:eastAsia="zh-CN"/>
        </w:rPr>
        <w:t>2</w:t>
      </w:r>
      <w:r>
        <w:rPr>
          <w:rFonts w:hint="default" w:ascii="方正仿宋_GBK" w:hAnsi="方正仿宋_GBK" w:eastAsia="方正仿宋_GBK" w:cs="方正仿宋_GBK"/>
          <w:kern w:val="0"/>
          <w:szCs w:val="32"/>
          <w:shd w:val="clear" w:color="auto" w:fill="FFFFFF"/>
          <w:lang w:val="zh-CN"/>
        </w:rPr>
        <w:t>年没有出现部门预算管理方面违纪违规问题。该项指标分值为2分，自评得分2分。</w:t>
      </w:r>
    </w:p>
    <w:p>
      <w:pPr>
        <w:keepNext w:val="0"/>
        <w:pageBreakBefore w:val="0"/>
        <w:kinsoku/>
        <w:overflowPunct/>
        <w:topLinePunct w:val="0"/>
        <w:autoSpaceDE/>
        <w:autoSpaceDN/>
        <w:bidi w:val="0"/>
        <w:spacing w:line="578" w:lineRule="exact"/>
        <w:ind w:firstLine="643" w:firstLineChars="200"/>
        <w:textAlignment w:val="auto"/>
        <w:outlineLvl w:val="2"/>
        <w:rPr>
          <w:rFonts w:hint="eastAsia" w:ascii="方正仿宋_GBK" w:hAnsi="方正仿宋_GBK" w:eastAsia="方正仿宋_GBK" w:cs="方正仿宋_GBK"/>
          <w:b/>
          <w:bCs/>
          <w:kern w:val="0"/>
          <w:sz w:val="32"/>
          <w:szCs w:val="32"/>
          <w:highlight w:val="yellow"/>
          <w:lang w:val="en-US" w:eastAsia="zh-CN"/>
        </w:rPr>
      </w:pPr>
      <w:r>
        <w:rPr>
          <w:rFonts w:hint="eastAsia" w:ascii="方正仿宋_GBK" w:hAnsi="方正仿宋_GBK" w:eastAsia="方正仿宋_GBK" w:cs="方正仿宋_GBK"/>
          <w:b/>
          <w:bCs/>
          <w:kern w:val="0"/>
          <w:sz w:val="32"/>
          <w:szCs w:val="32"/>
          <w:highlight w:val="none"/>
        </w:rPr>
        <w:t>（</w:t>
      </w:r>
      <w:r>
        <w:rPr>
          <w:rFonts w:hint="eastAsia" w:ascii="方正仿宋_GBK" w:hAnsi="方正仿宋_GBK" w:eastAsia="方正仿宋_GBK" w:cs="方正仿宋_GBK"/>
          <w:b/>
          <w:bCs/>
          <w:kern w:val="0"/>
          <w:sz w:val="32"/>
          <w:szCs w:val="32"/>
          <w:highlight w:val="none"/>
          <w:lang w:val="en-US" w:eastAsia="zh-CN"/>
        </w:rPr>
        <w:t>三</w:t>
      </w:r>
      <w:r>
        <w:rPr>
          <w:rFonts w:hint="eastAsia" w:ascii="方正仿宋_GBK" w:hAnsi="方正仿宋_GBK" w:eastAsia="方正仿宋_GBK" w:cs="方正仿宋_GBK"/>
          <w:b/>
          <w:bCs/>
          <w:kern w:val="0"/>
          <w:sz w:val="32"/>
          <w:szCs w:val="32"/>
          <w:highlight w:val="none"/>
        </w:rPr>
        <w:t>）专项预算管理</w:t>
      </w:r>
      <w:bookmarkEnd w:id="1"/>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eastAsia" w:ascii="方正楷体_GBK" w:hAnsi="方正楷体_GBK" w:eastAsia="方正楷体_GBK" w:cs="方正楷体_GBK"/>
          <w:color w:val="000000"/>
          <w:sz w:val="32"/>
          <w:szCs w:val="32"/>
          <w:highlight w:val="none"/>
        </w:rPr>
      </w:pPr>
      <w:r>
        <w:rPr>
          <w:rFonts w:hint="eastAsia" w:ascii="方正楷体_GBK" w:hAnsi="方正楷体_GBK" w:eastAsia="方正楷体_GBK" w:cs="方正楷体_GBK"/>
          <w:color w:val="000000"/>
          <w:sz w:val="32"/>
          <w:szCs w:val="32"/>
          <w:highlight w:val="none"/>
        </w:rPr>
        <w:t>1.专项</w:t>
      </w:r>
      <w:r>
        <w:rPr>
          <w:rFonts w:hint="eastAsia" w:ascii="方正楷体_GBK" w:hAnsi="方正楷体_GBK" w:eastAsia="方正楷体_GBK" w:cs="方正楷体_GBK"/>
          <w:color w:val="000000"/>
          <w:sz w:val="32"/>
          <w:szCs w:val="32"/>
          <w:highlight w:val="none"/>
          <w:lang w:eastAsia="zh-CN"/>
        </w:rPr>
        <w:t>绩</w:t>
      </w:r>
      <w:r>
        <w:rPr>
          <w:rFonts w:hint="eastAsia" w:ascii="方正楷体_GBK" w:hAnsi="方正楷体_GBK" w:eastAsia="方正楷体_GBK" w:cs="方正楷体_GBK"/>
          <w:color w:val="000000"/>
          <w:sz w:val="32"/>
          <w:szCs w:val="32"/>
          <w:highlight w:val="none"/>
        </w:rPr>
        <w:t>效的预算情况</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 w:val="32"/>
          <w:szCs w:val="32"/>
          <w:highlight w:val="none"/>
        </w:rPr>
      </w:pPr>
      <w:r>
        <w:rPr>
          <w:rFonts w:hint="eastAsia" w:ascii="方正仿宋_GBK" w:hAnsi="方正仿宋_GBK" w:eastAsia="方正仿宋_GBK" w:cs="方正仿宋_GBK"/>
          <w:bCs/>
          <w:kern w:val="0"/>
          <w:sz w:val="32"/>
          <w:szCs w:val="32"/>
          <w:highlight w:val="none"/>
        </w:rPr>
        <w:t>202</w:t>
      </w:r>
      <w:r>
        <w:rPr>
          <w:rFonts w:hint="eastAsia" w:ascii="方正仿宋_GBK" w:hAnsi="方正仿宋_GBK" w:eastAsia="方正仿宋_GBK" w:cs="方正仿宋_GBK"/>
          <w:bCs/>
          <w:kern w:val="0"/>
          <w:sz w:val="32"/>
          <w:szCs w:val="32"/>
          <w:highlight w:val="none"/>
          <w:lang w:val="en-US" w:eastAsia="zh-CN"/>
        </w:rPr>
        <w:t>2</w:t>
      </w:r>
      <w:r>
        <w:rPr>
          <w:rFonts w:hint="eastAsia" w:ascii="方正仿宋_GBK" w:hAnsi="方正仿宋_GBK" w:eastAsia="方正仿宋_GBK" w:cs="方正仿宋_GBK"/>
          <w:bCs/>
          <w:kern w:val="0"/>
          <w:sz w:val="32"/>
          <w:szCs w:val="32"/>
          <w:highlight w:val="none"/>
        </w:rPr>
        <w:t>年度共有</w:t>
      </w:r>
      <w:r>
        <w:rPr>
          <w:rFonts w:hint="eastAsia" w:ascii="方正仿宋_GBK" w:hAnsi="方正仿宋_GBK" w:eastAsia="方正仿宋_GBK" w:cs="方正仿宋_GBK"/>
          <w:bCs/>
          <w:kern w:val="0"/>
          <w:sz w:val="32"/>
          <w:szCs w:val="32"/>
          <w:highlight w:val="none"/>
          <w:lang w:val="en-US" w:eastAsia="zh-CN"/>
        </w:rPr>
        <w:t>3</w:t>
      </w:r>
      <w:r>
        <w:rPr>
          <w:rFonts w:hint="eastAsia" w:ascii="方正仿宋_GBK" w:hAnsi="方正仿宋_GBK" w:eastAsia="方正仿宋_GBK" w:cs="方正仿宋_GBK"/>
          <w:bCs/>
          <w:kern w:val="0"/>
          <w:sz w:val="32"/>
          <w:szCs w:val="32"/>
          <w:highlight w:val="none"/>
        </w:rPr>
        <w:t>个项目，主要专项</w:t>
      </w:r>
      <w:r>
        <w:rPr>
          <w:rFonts w:hint="eastAsia" w:ascii="方正仿宋_GBK" w:hAnsi="方正仿宋_GBK" w:eastAsia="方正仿宋_GBK" w:cs="方正仿宋_GBK"/>
          <w:bCs/>
          <w:kern w:val="0"/>
          <w:sz w:val="32"/>
          <w:szCs w:val="32"/>
          <w:highlight w:val="none"/>
          <w:lang w:eastAsia="zh-CN"/>
        </w:rPr>
        <w:t>绩</w:t>
      </w:r>
      <w:r>
        <w:rPr>
          <w:rFonts w:hint="eastAsia" w:ascii="方正仿宋_GBK" w:hAnsi="方正仿宋_GBK" w:eastAsia="方正仿宋_GBK" w:cs="方正仿宋_GBK"/>
          <w:bCs/>
          <w:kern w:val="0"/>
          <w:sz w:val="32"/>
          <w:szCs w:val="32"/>
          <w:highlight w:val="none"/>
        </w:rPr>
        <w:t>效预算情况</w:t>
      </w:r>
      <w:r>
        <w:rPr>
          <w:rFonts w:hint="eastAsia" w:ascii="方正仿宋_GBK" w:hAnsi="方正仿宋_GBK" w:eastAsia="方正仿宋_GBK" w:cs="方正仿宋_GBK"/>
          <w:bCs/>
          <w:kern w:val="0"/>
          <w:sz w:val="32"/>
          <w:szCs w:val="32"/>
          <w:highlight w:val="none"/>
          <w:lang w:val="en-US" w:eastAsia="zh-CN"/>
        </w:rPr>
        <w:t>为</w:t>
      </w:r>
      <w:r>
        <w:rPr>
          <w:rFonts w:hint="eastAsia" w:ascii="方正仿宋_GBK" w:hAnsi="方正仿宋_GBK" w:eastAsia="方正仿宋_GBK" w:cs="方正仿宋_GBK"/>
          <w:bCs/>
          <w:kern w:val="0"/>
          <w:sz w:val="32"/>
          <w:szCs w:val="32"/>
          <w:highlight w:val="none"/>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1</w:t>
      </w: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eastAsia="zh-CN"/>
        </w:rPr>
        <w:t>三名工作室</w:t>
      </w:r>
      <w:r>
        <w:rPr>
          <w:rFonts w:hint="eastAsia" w:ascii="方正仿宋_GBK" w:hAnsi="方正仿宋_GBK" w:eastAsia="方正仿宋_GBK" w:cs="方正仿宋_GBK"/>
          <w:bCs/>
          <w:kern w:val="0"/>
          <w:szCs w:val="32"/>
        </w:rPr>
        <w:t>专项项目</w:t>
      </w:r>
      <w:r>
        <w:rPr>
          <w:rFonts w:hint="eastAsia" w:ascii="方正仿宋_GBK" w:hAnsi="方正仿宋_GBK" w:eastAsia="方正仿宋_GBK" w:cs="方正仿宋_GBK"/>
          <w:bCs/>
          <w:kern w:val="0"/>
          <w:szCs w:val="32"/>
          <w:lang w:val="en-US" w:eastAsia="zh-CN"/>
        </w:rPr>
        <w:t>0.6</w:t>
      </w:r>
      <w:r>
        <w:rPr>
          <w:rFonts w:hint="eastAsia" w:ascii="方正仿宋_GBK" w:hAnsi="方正仿宋_GBK" w:eastAsia="方正仿宋_GBK" w:cs="方正仿宋_GBK"/>
          <w:bCs/>
          <w:kern w:val="0"/>
          <w:szCs w:val="32"/>
        </w:rPr>
        <w:t>万元，全年目标为2022年内计划发放</w:t>
      </w:r>
      <w:r>
        <w:rPr>
          <w:rFonts w:hint="eastAsia" w:ascii="方正仿宋_GBK" w:hAnsi="方正仿宋_GBK" w:eastAsia="方正仿宋_GBK" w:cs="方正仿宋_GBK"/>
          <w:bCs/>
          <w:kern w:val="0"/>
          <w:szCs w:val="32"/>
          <w:lang w:eastAsia="zh-CN"/>
        </w:rPr>
        <w:t>三名工作室经费</w:t>
      </w:r>
      <w:r>
        <w:rPr>
          <w:rFonts w:hint="eastAsia" w:ascii="方正仿宋_GBK" w:hAnsi="方正仿宋_GBK" w:eastAsia="方正仿宋_GBK" w:cs="方正仿宋_GBK"/>
          <w:bCs/>
          <w:kern w:val="0"/>
          <w:szCs w:val="32"/>
          <w:lang w:val="en-US" w:eastAsia="zh-CN"/>
        </w:rPr>
        <w:t>0.6</w:t>
      </w:r>
      <w:r>
        <w:rPr>
          <w:rFonts w:hint="eastAsia" w:ascii="方正仿宋_GBK" w:hAnsi="方正仿宋_GBK" w:eastAsia="方正仿宋_GBK" w:cs="方正仿宋_GBK"/>
          <w:bCs/>
          <w:kern w:val="0"/>
          <w:szCs w:val="32"/>
        </w:rPr>
        <w:t>万元，目的是</w:t>
      </w:r>
      <w:r>
        <w:rPr>
          <w:rFonts w:hint="eastAsia" w:ascii="方正仿宋_GBK" w:hAnsi="方正仿宋_GBK" w:eastAsia="方正仿宋_GBK" w:cs="方正仿宋_GBK"/>
          <w:bCs/>
          <w:kern w:val="0"/>
          <w:szCs w:val="32"/>
          <w:lang w:val="zh-CN" w:eastAsia="zh-CN"/>
        </w:rPr>
        <w:t>用于</w:t>
      </w:r>
      <w:r>
        <w:rPr>
          <w:rFonts w:hint="eastAsia" w:ascii="方正仿宋_GBK" w:hAnsi="方正仿宋_GBK" w:eastAsia="方正仿宋_GBK" w:cs="方正仿宋_GBK"/>
          <w:bCs/>
          <w:kern w:val="0"/>
          <w:szCs w:val="32"/>
          <w:lang w:val="en-US" w:eastAsia="zh-CN"/>
        </w:rPr>
        <w:t>冯庆萍名园长工作室</w:t>
      </w:r>
      <w:r>
        <w:rPr>
          <w:rFonts w:hint="eastAsia" w:ascii="方正仿宋_GBK" w:hAnsi="方正仿宋_GBK" w:eastAsia="方正仿宋_GBK" w:cs="方正仿宋_GBK"/>
          <w:bCs/>
          <w:kern w:val="0"/>
          <w:szCs w:val="32"/>
          <w:lang w:val="zh-CN" w:eastAsia="zh-CN"/>
        </w:rPr>
        <w:t>支出</w:t>
      </w:r>
      <w:r>
        <w:rPr>
          <w:rFonts w:hint="eastAsia" w:ascii="方正仿宋_GBK" w:hAnsi="方正仿宋_GBK" w:eastAsia="方正仿宋_GBK" w:cs="方正仿宋_GBK"/>
          <w:bCs/>
          <w:kern w:val="0"/>
          <w:szCs w:val="32"/>
        </w:rPr>
        <w:t>。2022年实际完成</w:t>
      </w:r>
      <w:r>
        <w:rPr>
          <w:rFonts w:hint="eastAsia" w:ascii="方正仿宋_GBK" w:hAnsi="方正仿宋_GBK" w:eastAsia="方正仿宋_GBK" w:cs="方正仿宋_GBK"/>
          <w:bCs/>
          <w:kern w:val="0"/>
          <w:szCs w:val="32"/>
          <w:lang w:val="en-US" w:eastAsia="zh-CN"/>
        </w:rPr>
        <w:t>0.6</w:t>
      </w:r>
      <w:r>
        <w:rPr>
          <w:rFonts w:hint="eastAsia" w:ascii="方正仿宋_GBK" w:hAnsi="方正仿宋_GBK" w:eastAsia="方正仿宋_GBK" w:cs="方正仿宋_GBK"/>
          <w:bCs/>
          <w:kern w:val="0"/>
          <w:szCs w:val="32"/>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2</w:t>
      </w: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eastAsia="zh-CN"/>
        </w:rPr>
        <w:t>教育联盟工作</w:t>
      </w:r>
      <w:r>
        <w:rPr>
          <w:rFonts w:hint="eastAsia" w:ascii="方正仿宋_GBK" w:hAnsi="方正仿宋_GBK" w:eastAsia="方正仿宋_GBK" w:cs="方正仿宋_GBK"/>
          <w:bCs/>
          <w:kern w:val="0"/>
          <w:szCs w:val="32"/>
        </w:rPr>
        <w:t>专项项目</w:t>
      </w:r>
      <w:r>
        <w:rPr>
          <w:rFonts w:hint="eastAsia" w:ascii="方正仿宋_GBK" w:hAnsi="方正仿宋_GBK" w:eastAsia="方正仿宋_GBK" w:cs="方正仿宋_GBK"/>
          <w:bCs/>
          <w:kern w:val="0"/>
          <w:szCs w:val="32"/>
          <w:lang w:val="en-US" w:eastAsia="zh-CN"/>
        </w:rPr>
        <w:t>1.1</w:t>
      </w:r>
      <w:r>
        <w:rPr>
          <w:rFonts w:hint="eastAsia" w:ascii="方正仿宋_GBK" w:hAnsi="方正仿宋_GBK" w:eastAsia="方正仿宋_GBK" w:cs="方正仿宋_GBK"/>
          <w:bCs/>
          <w:kern w:val="0"/>
          <w:szCs w:val="32"/>
        </w:rPr>
        <w:t>万元，全年目标为2022年内计划发放</w:t>
      </w:r>
      <w:r>
        <w:rPr>
          <w:rFonts w:hint="eastAsia" w:ascii="方正仿宋_GBK" w:hAnsi="方正仿宋_GBK" w:eastAsia="方正仿宋_GBK" w:cs="方正仿宋_GBK"/>
          <w:bCs/>
          <w:kern w:val="0"/>
          <w:szCs w:val="32"/>
          <w:lang w:eastAsia="zh-CN"/>
        </w:rPr>
        <w:t>教育联盟工作经费</w:t>
      </w:r>
      <w:r>
        <w:rPr>
          <w:rFonts w:hint="eastAsia" w:ascii="方正仿宋_GBK" w:hAnsi="方正仿宋_GBK" w:eastAsia="方正仿宋_GBK" w:cs="方正仿宋_GBK"/>
          <w:bCs/>
          <w:kern w:val="0"/>
          <w:szCs w:val="32"/>
          <w:lang w:val="en-US" w:eastAsia="zh-CN"/>
        </w:rPr>
        <w:t>1.1</w:t>
      </w:r>
      <w:r>
        <w:rPr>
          <w:rFonts w:hint="eastAsia" w:ascii="方正仿宋_GBK" w:hAnsi="方正仿宋_GBK" w:eastAsia="方正仿宋_GBK" w:cs="方正仿宋_GBK"/>
          <w:bCs/>
          <w:kern w:val="0"/>
          <w:szCs w:val="32"/>
        </w:rPr>
        <w:t>万元，目的是</w:t>
      </w:r>
      <w:r>
        <w:rPr>
          <w:rFonts w:hint="eastAsia" w:ascii="方正仿宋_GBK" w:hAnsi="方正仿宋_GBK" w:eastAsia="方正仿宋_GBK" w:cs="方正仿宋_GBK"/>
          <w:bCs/>
          <w:kern w:val="0"/>
          <w:szCs w:val="32"/>
          <w:lang w:val="en-US" w:eastAsia="zh-CN"/>
        </w:rPr>
        <w:t>使联盟内成员校在教育理念、学校管理、师资建设、专业发展等方面实现共享、互通、合作，共享优质教育资源和管理</w:t>
      </w:r>
      <w:bookmarkStart w:id="2" w:name="_GoBack"/>
      <w:bookmarkEnd w:id="2"/>
      <w:r>
        <w:rPr>
          <w:rFonts w:hint="eastAsia" w:ascii="方正仿宋_GBK" w:hAnsi="方正仿宋_GBK" w:eastAsia="方正仿宋_GBK" w:cs="方正仿宋_GBK"/>
          <w:bCs/>
          <w:kern w:val="0"/>
          <w:szCs w:val="32"/>
          <w:lang w:val="en-US" w:eastAsia="zh-CN"/>
        </w:rPr>
        <w:t>经验，提升联盟学校整体办学水平。</w:t>
      </w:r>
      <w:r>
        <w:rPr>
          <w:rFonts w:hint="eastAsia" w:ascii="方正仿宋_GBK" w:hAnsi="方正仿宋_GBK" w:eastAsia="方正仿宋_GBK" w:cs="方正仿宋_GBK"/>
          <w:bCs/>
          <w:kern w:val="0"/>
          <w:szCs w:val="32"/>
        </w:rPr>
        <w:t>2022年实际完成</w:t>
      </w:r>
      <w:r>
        <w:rPr>
          <w:rFonts w:hint="eastAsia" w:ascii="方正仿宋_GBK" w:hAnsi="方正仿宋_GBK" w:eastAsia="方正仿宋_GBK" w:cs="方正仿宋_GBK"/>
          <w:bCs/>
          <w:kern w:val="0"/>
          <w:szCs w:val="32"/>
          <w:lang w:val="en-US" w:eastAsia="zh-CN"/>
        </w:rPr>
        <w:t>1.1</w:t>
      </w:r>
      <w:r>
        <w:rPr>
          <w:rFonts w:hint="eastAsia" w:ascii="方正仿宋_GBK" w:hAnsi="方正仿宋_GBK" w:eastAsia="方正仿宋_GBK" w:cs="方正仿宋_GBK"/>
          <w:bCs/>
          <w:kern w:val="0"/>
          <w:szCs w:val="32"/>
        </w:rPr>
        <w:t>万元工作任务，已完成100%；</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Cs w:val="32"/>
        </w:rPr>
        <w:t>（</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）购买安保服务专项项目</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万元，全年目标为2022年内计划发放学校物业管理服务费</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万元，目的是维护学校正常教育教学秩序，保障学校及师生的人身、财产安全。2022年实际完成</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万元工作任务，已完成100%；</w:t>
      </w:r>
    </w:p>
    <w:p>
      <w:pPr>
        <w:pStyle w:val="2"/>
        <w:rPr>
          <w:rFonts w:hint="eastAsia"/>
        </w:rPr>
      </w:pP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eastAsia" w:ascii="方正楷体_GBK" w:hAnsi="方正楷体_GBK" w:eastAsia="方正楷体_GBK" w:cs="方正楷体_GBK"/>
          <w:bCs/>
          <w:kern w:val="0"/>
          <w:sz w:val="32"/>
          <w:szCs w:val="32"/>
          <w:highlight w:val="none"/>
          <w:lang w:val="en-US" w:eastAsia="zh-CN"/>
        </w:rPr>
      </w:pPr>
      <w:r>
        <w:rPr>
          <w:rFonts w:hint="eastAsia" w:ascii="方正楷体_GBK" w:hAnsi="方正楷体_GBK" w:eastAsia="方正楷体_GBK" w:cs="方正楷体_GBK"/>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eastAsia" w:ascii="方正仿宋_GBK" w:hAnsi="方正仿宋_GBK" w:eastAsia="方正仿宋_GBK" w:cs="方正仿宋_GBK"/>
          <w:bCs/>
          <w:kern w:val="0"/>
          <w:szCs w:val="32"/>
        </w:rPr>
      </w:pPr>
      <w:r>
        <w:rPr>
          <w:rFonts w:hint="eastAsia" w:ascii="方正仿宋_GBK" w:hAnsi="方正仿宋_GBK" w:eastAsia="方正仿宋_GBK" w:cs="方正仿宋_GBK"/>
          <w:bCs/>
          <w:kern w:val="0"/>
          <w:sz w:val="32"/>
          <w:szCs w:val="32"/>
          <w:highlight w:val="none"/>
          <w:lang w:val="en-US" w:eastAsia="zh-CN"/>
        </w:rPr>
        <w:t>绩效目标项目年初有3个，开展绩效评价项目3个，开展自评项目数3个，完成绩效评价数3个；应填报绩效目标的项目数3个、应开展绩效监控的项目0个和应开展绩效自评项目3个，应完成绩效工作数为3个。</w:t>
      </w:r>
      <w:r>
        <w:rPr>
          <w:rFonts w:hint="eastAsia" w:ascii="方正仿宋_GBK" w:hAnsi="方正仿宋_GBK" w:eastAsia="方正仿宋_GBK" w:cs="方正仿宋_GBK"/>
          <w:bCs/>
          <w:kern w:val="0"/>
          <w:szCs w:val="32"/>
        </w:rPr>
        <w:t>项目执行达100%以上的项目</w:t>
      </w:r>
      <w:r>
        <w:rPr>
          <w:rFonts w:hint="eastAsia" w:ascii="方正仿宋_GBK" w:hAnsi="方正仿宋_GBK" w:eastAsia="方正仿宋_GBK" w:cs="方正仿宋_GBK"/>
          <w:bCs/>
          <w:kern w:val="0"/>
          <w:szCs w:val="32"/>
          <w:lang w:val="en-US" w:eastAsia="zh-CN"/>
        </w:rPr>
        <w:t>3</w:t>
      </w:r>
      <w:r>
        <w:rPr>
          <w:rFonts w:hint="eastAsia" w:ascii="方正仿宋_GBK" w:hAnsi="方正仿宋_GBK" w:eastAsia="方正仿宋_GBK" w:cs="方正仿宋_GBK"/>
          <w:bCs/>
          <w:kern w:val="0"/>
          <w:szCs w:val="32"/>
        </w:rPr>
        <w:t>项，项目综合完成率为100%。</w:t>
      </w:r>
    </w:p>
    <w:p>
      <w:pPr>
        <w:keepNext w:val="0"/>
        <w:pageBreakBefore w:val="0"/>
        <w:kinsoku/>
        <w:overflowPunct/>
        <w:topLinePunct w:val="0"/>
        <w:autoSpaceDE/>
        <w:autoSpaceDN/>
        <w:bidi w:val="0"/>
        <w:spacing w:line="578" w:lineRule="exact"/>
        <w:ind w:firstLine="480" w:firstLineChars="150"/>
        <w:textAlignment w:val="auto"/>
        <w:rPr>
          <w:rFonts w:hint="eastAsia" w:ascii="方正仿宋_GBK" w:hAnsi="方正仿宋_GBK" w:eastAsia="方正仿宋_GBK" w:cs="方正仿宋_GBK"/>
          <w:bCs/>
          <w:kern w:val="0"/>
          <w:sz w:val="32"/>
          <w:szCs w:val="32"/>
          <w:highlight w:val="none"/>
          <w:lang w:val="en-US" w:eastAsia="zh-CN"/>
        </w:rPr>
      </w:pPr>
      <w:r>
        <w:rPr>
          <w:rFonts w:hint="eastAsia" w:ascii="方正仿宋_GBK" w:hAnsi="方正仿宋_GBK" w:eastAsia="方正仿宋_GBK" w:cs="方正仿宋_GBK"/>
          <w:bCs/>
          <w:kern w:val="0"/>
          <w:szCs w:val="32"/>
        </w:rPr>
        <w:t>专项预算管理分值为40分，自评得分为</w:t>
      </w:r>
      <w:r>
        <w:rPr>
          <w:rFonts w:hint="eastAsia" w:ascii="方正仿宋_GBK" w:hAnsi="方正仿宋_GBK" w:eastAsia="方正仿宋_GBK" w:cs="方正仿宋_GBK"/>
          <w:bCs/>
          <w:kern w:val="0"/>
          <w:szCs w:val="32"/>
          <w:lang w:val="en-US" w:eastAsia="zh-CN"/>
        </w:rPr>
        <w:t>40</w:t>
      </w:r>
      <w:r>
        <w:rPr>
          <w:rFonts w:hint="eastAsia" w:ascii="方正仿宋_GBK" w:hAnsi="方正仿宋_GBK" w:eastAsia="方正仿宋_GBK" w:cs="方正仿宋_GBK"/>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highlight w:val="none"/>
          <w:shd w:val="clear" w:color="auto" w:fill="FFFFFF"/>
          <w:lang w:val="zh-CN"/>
        </w:rPr>
      </w:pPr>
      <w:r>
        <w:rPr>
          <w:rFonts w:hint="eastAsia" w:ascii="方正楷体_GBK" w:hAnsi="方正楷体_GBK" w:eastAsia="方正楷体_GBK" w:cs="方正楷体_GBK"/>
          <w:color w:val="auto"/>
          <w:kern w:val="0"/>
          <w:szCs w:val="32"/>
          <w:highlight w:val="none"/>
          <w:shd w:val="clear" w:color="auto" w:fill="FFFFFF"/>
          <w:lang w:val="zh-CN"/>
        </w:rPr>
        <w:t>（</w:t>
      </w:r>
      <w:r>
        <w:rPr>
          <w:rFonts w:hint="eastAsia" w:ascii="方正楷体_GBK" w:hAnsi="方正楷体_GBK" w:eastAsia="方正楷体_GBK" w:cs="方正楷体_GBK"/>
          <w:color w:val="auto"/>
          <w:kern w:val="0"/>
          <w:szCs w:val="32"/>
          <w:highlight w:val="none"/>
          <w:shd w:val="clear" w:color="auto" w:fill="FFFFFF"/>
          <w:lang w:val="en-US" w:eastAsia="zh-CN"/>
        </w:rPr>
        <w:t>四</w:t>
      </w:r>
      <w:r>
        <w:rPr>
          <w:rFonts w:hint="eastAsia" w:ascii="方正楷体_GBK" w:hAnsi="方正楷体_GBK" w:eastAsia="方正楷体_GBK" w:cs="方正楷体_GBK"/>
          <w:color w:val="auto"/>
          <w:kern w:val="0"/>
          <w:szCs w:val="32"/>
          <w:highlight w:val="none"/>
          <w:shd w:val="clear" w:color="auto" w:fill="FFFFFF"/>
          <w:lang w:val="zh-CN"/>
        </w:rPr>
        <w:t>）结果应用情况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1.在“预算挂钩”方面，我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已出台全面实施预算绩效管理工作方案，细化考核内容，加强各业务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室与绩效管理工作的联系，明确考核及绩效结果与专项预算安排挂钩举措，推动绩效管理工作更好的实施。该项指标分值为4分，自评得分</w:t>
      </w:r>
      <w:r>
        <w:rPr>
          <w:rFonts w:hint="eastAsia" w:ascii="方正仿宋_GBK" w:hAnsi="方正仿宋_GBK" w:eastAsia="方正仿宋_GBK" w:cs="方正仿宋_GBK"/>
          <w:color w:val="auto"/>
          <w:kern w:val="0"/>
          <w:szCs w:val="32"/>
          <w:shd w:val="clear" w:color="auto" w:fill="FFFFFF"/>
          <w:lang w:val="en-US" w:eastAsia="zh-CN"/>
        </w:rPr>
        <w:t>4</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2.在“自评公开”方面，我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3.在“问题整改”方面，结合部门预算项目实际情况，绩效目标设置要素完整也基本做到细化量化；对发现执行进度偏低的项目，要求各业务</w:t>
      </w:r>
      <w:r>
        <w:rPr>
          <w:rFonts w:hint="eastAsia" w:ascii="方正仿宋_GBK" w:hAnsi="方正仿宋_GBK" w:eastAsia="方正仿宋_GBK" w:cs="方正仿宋_GBK"/>
          <w:color w:val="auto"/>
          <w:kern w:val="0"/>
          <w:szCs w:val="32"/>
          <w:shd w:val="clear" w:color="auto" w:fill="FFFFFF"/>
          <w:lang w:val="en-US" w:eastAsia="zh-CN"/>
        </w:rPr>
        <w:t>股</w:t>
      </w:r>
      <w:r>
        <w:rPr>
          <w:rFonts w:hint="eastAsia" w:ascii="方正仿宋_GBK" w:hAnsi="方正仿宋_GBK" w:eastAsia="方正仿宋_GBK" w:cs="方正仿宋_GBK"/>
          <w:color w:val="auto"/>
          <w:kern w:val="0"/>
          <w:szCs w:val="32"/>
          <w:shd w:val="clear" w:color="auto" w:fill="FFFFFF"/>
          <w:lang w:val="zh-CN"/>
        </w:rPr>
        <w:t>室加快预算执行进度；针对我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4.在应用反馈上，我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已按要求在规定时间内将预算绩效</w:t>
      </w:r>
      <w:r>
        <w:rPr>
          <w:rFonts w:hint="eastAsia" w:ascii="方正楷体_GBK" w:hAnsi="方正楷体_GBK" w:eastAsia="方正楷体_GBK" w:cs="方正楷体_GBK"/>
          <w:color w:val="auto"/>
          <w:kern w:val="0"/>
          <w:szCs w:val="32"/>
          <w:shd w:val="clear" w:color="auto" w:fill="FFFFFF"/>
          <w:lang w:val="zh-CN"/>
        </w:rPr>
        <w:t>结果应用结果向财政反馈。该项指标分值为</w:t>
      </w:r>
      <w:r>
        <w:rPr>
          <w:rFonts w:hint="eastAsia" w:ascii="方正楷体_GBK" w:hAnsi="方正楷体_GBK" w:eastAsia="方正楷体_GBK" w:cs="方正楷体_GBK"/>
          <w:color w:val="auto"/>
          <w:kern w:val="0"/>
          <w:szCs w:val="32"/>
          <w:shd w:val="clear" w:color="auto" w:fill="FFFFFF"/>
          <w:lang w:val="en-US" w:eastAsia="zh-CN"/>
        </w:rPr>
        <w:t>2</w:t>
      </w:r>
      <w:r>
        <w:rPr>
          <w:rFonts w:hint="eastAsia" w:ascii="方正楷体_GBK" w:hAnsi="方正楷体_GBK" w:eastAsia="方正楷体_GBK" w:cs="方正楷体_GBK"/>
          <w:color w:val="auto"/>
          <w:kern w:val="0"/>
          <w:szCs w:val="32"/>
          <w:shd w:val="clear" w:color="auto" w:fill="FFFFFF"/>
          <w:lang w:val="zh-CN"/>
        </w:rPr>
        <w:t>分，自评得分</w:t>
      </w:r>
      <w:r>
        <w:rPr>
          <w:rFonts w:hint="eastAsia" w:ascii="方正楷体_GBK" w:hAnsi="方正楷体_GBK" w:eastAsia="方正楷体_GBK" w:cs="方正楷体_GBK"/>
          <w:color w:val="auto"/>
          <w:kern w:val="0"/>
          <w:szCs w:val="32"/>
          <w:shd w:val="clear" w:color="auto" w:fill="FFFFFF"/>
          <w:lang w:val="en-US" w:eastAsia="zh-CN"/>
        </w:rPr>
        <w:t>2</w:t>
      </w:r>
      <w:r>
        <w:rPr>
          <w:rFonts w:hint="eastAsia" w:ascii="方正楷体_GBK" w:hAnsi="方正楷体_GBK" w:eastAsia="方正楷体_GBK" w:cs="方正楷体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w:t>
      </w:r>
      <w:r>
        <w:rPr>
          <w:rFonts w:hint="eastAsia" w:ascii="方正楷体_GBK" w:hAnsi="方正楷体_GBK" w:eastAsia="方正楷体_GBK" w:cs="方正楷体_GBK"/>
          <w:color w:val="auto"/>
          <w:kern w:val="0"/>
          <w:szCs w:val="32"/>
          <w:shd w:val="clear" w:color="auto" w:fill="FFFFFF"/>
          <w:lang w:val="en-US" w:eastAsia="zh-CN"/>
        </w:rPr>
        <w:t>五</w:t>
      </w:r>
      <w:r>
        <w:rPr>
          <w:rFonts w:hint="eastAsia" w:ascii="方正楷体_GBK" w:hAnsi="方正楷体_GBK" w:eastAsia="方正楷体_GBK" w:cs="方正楷体_GBK"/>
          <w:color w:val="auto"/>
          <w:kern w:val="0"/>
          <w:szCs w:val="32"/>
          <w:shd w:val="clear" w:color="auto" w:fill="FFFFFF"/>
          <w:lang w:val="zh-CN"/>
        </w:rPr>
        <w:t>）自评质量情况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整体支出自评准确率较高，</w:t>
      </w:r>
      <w:r>
        <w:rPr>
          <w:rFonts w:hint="eastAsia" w:ascii="方正仿宋_GBK" w:hAnsi="方正仿宋_GBK" w:eastAsia="方正仿宋_GBK" w:cs="方正仿宋_GBK"/>
          <w:color w:val="auto"/>
          <w:kern w:val="0"/>
          <w:szCs w:val="32"/>
          <w:shd w:val="clear" w:color="auto" w:fill="FFFFFF"/>
          <w:lang w:val="en-US" w:eastAsia="zh-CN"/>
        </w:rPr>
        <w:t>且全面开展自评</w:t>
      </w:r>
      <w:r>
        <w:rPr>
          <w:rFonts w:hint="eastAsia" w:ascii="方正仿宋_GBK" w:hAnsi="方正仿宋_GBK" w:eastAsia="方正仿宋_GBK" w:cs="方正仿宋_GBK"/>
          <w:color w:val="auto"/>
          <w:kern w:val="0"/>
          <w:szCs w:val="32"/>
          <w:shd w:val="clear" w:color="auto" w:fill="FFFFFF"/>
          <w:lang w:val="zh-CN"/>
        </w:rPr>
        <w:t>。</w:t>
      </w:r>
      <w:r>
        <w:rPr>
          <w:rFonts w:hint="eastAsia" w:ascii="方正仿宋_GBK" w:hAnsi="方正仿宋_GBK" w:eastAsia="方正仿宋_GBK" w:cs="方正仿宋_GBK"/>
          <w:color w:val="auto"/>
          <w:kern w:val="0"/>
          <w:szCs w:val="32"/>
          <w:shd w:val="clear" w:color="auto" w:fill="FFFFFF"/>
          <w:lang w:val="en-US" w:eastAsia="zh-CN"/>
        </w:rPr>
        <w:t>自评质量分值为10分，由主管部门、财政部门考评，单位自评实际总分为84分。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zh-CN"/>
        </w:rPr>
        <w:t>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w:t>
      </w:r>
      <w:r>
        <w:rPr>
          <w:rFonts w:hint="eastAsia" w:ascii="方正仿宋_GBK" w:hAnsi="方正仿宋_GBK" w:eastAsia="方正仿宋_GBK" w:cs="方正仿宋_GBK"/>
          <w:color w:val="auto"/>
          <w:kern w:val="0"/>
          <w:szCs w:val="32"/>
          <w:shd w:val="clear" w:color="auto" w:fill="FFFFFF"/>
          <w:lang w:val="en-US" w:eastAsia="zh-CN"/>
        </w:rPr>
        <w:t>我单位</w:t>
      </w:r>
      <w:r>
        <w:rPr>
          <w:rFonts w:hint="eastAsia" w:ascii="方正仿宋_GBK" w:hAnsi="方正仿宋_GBK" w:eastAsia="方正仿宋_GBK" w:cs="方正仿宋_GBK"/>
          <w:color w:val="auto"/>
          <w:kern w:val="0"/>
          <w:szCs w:val="32"/>
          <w:shd w:val="clear" w:color="auto" w:fill="FFFFFF"/>
          <w:lang w:val="zh-CN"/>
        </w:rPr>
        <w:t>整体支出绩效自评得分</w:t>
      </w:r>
      <w:r>
        <w:rPr>
          <w:rFonts w:hint="eastAsia" w:ascii="方正仿宋_GBK" w:hAnsi="方正仿宋_GBK" w:eastAsia="方正仿宋_GBK" w:cs="方正仿宋_GBK"/>
          <w:color w:val="auto"/>
          <w:kern w:val="0"/>
          <w:szCs w:val="32"/>
          <w:shd w:val="clear" w:color="auto" w:fill="FFFFFF"/>
          <w:lang w:val="en-US" w:eastAsia="zh-CN"/>
        </w:rPr>
        <w:t>实际为84</w:t>
      </w:r>
      <w:r>
        <w:rPr>
          <w:rFonts w:hint="eastAsia" w:ascii="方正仿宋_GBK" w:hAnsi="方正仿宋_GBK" w:eastAsia="方正仿宋_GBK" w:cs="方正仿宋_GBK"/>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黑体_GBK" w:hAnsi="方正黑体_GBK" w:eastAsia="方正黑体_GBK" w:cs="方正黑体_GBK"/>
          <w:color w:val="auto"/>
          <w:kern w:val="0"/>
          <w:szCs w:val="32"/>
          <w:shd w:val="clear" w:color="auto" w:fill="FFFFFF"/>
          <w:lang w:val="zh-CN"/>
        </w:rPr>
      </w:pPr>
      <w:r>
        <w:rPr>
          <w:rFonts w:hint="eastAsia" w:ascii="方正黑体_GBK" w:hAnsi="方正黑体_GBK" w:eastAsia="方正黑体_GBK" w:cs="方正黑体_GBK"/>
          <w:color w:val="auto"/>
          <w:kern w:val="0"/>
          <w:szCs w:val="32"/>
          <w:shd w:val="clear" w:color="auto" w:fill="FFFFFF"/>
          <w:lang w:val="zh-CN"/>
        </w:rPr>
        <w:t>四、评价结论及建议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按照202</w:t>
      </w: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年度</w:t>
      </w:r>
      <w:r>
        <w:rPr>
          <w:rFonts w:hint="eastAsia" w:ascii="方正仿宋_GBK" w:hAnsi="方正仿宋_GBK" w:eastAsia="方正仿宋_GBK" w:cs="方正仿宋_GBK"/>
          <w:color w:val="auto"/>
          <w:kern w:val="0"/>
          <w:szCs w:val="32"/>
          <w:shd w:val="clear" w:color="auto" w:fill="FFFFFF"/>
          <w:lang w:val="en-US" w:eastAsia="zh-CN"/>
        </w:rPr>
        <w:t>区</w:t>
      </w:r>
      <w:r>
        <w:rPr>
          <w:rFonts w:hint="eastAsia" w:ascii="方正仿宋_GBK" w:hAnsi="方正仿宋_GBK" w:eastAsia="方正仿宋_GBK" w:cs="方正仿宋_GBK"/>
          <w:color w:val="auto"/>
          <w:kern w:val="0"/>
          <w:szCs w:val="32"/>
          <w:shd w:val="clear" w:color="auto" w:fill="FFFFFF"/>
          <w:lang w:val="zh-CN"/>
        </w:rPr>
        <w:t>级部门整体支出绩效评价指标体系，绩效评价总分</w:t>
      </w:r>
      <w:r>
        <w:rPr>
          <w:rFonts w:hint="eastAsia" w:ascii="方正仿宋_GBK" w:hAnsi="方正仿宋_GBK" w:eastAsia="方正仿宋_GBK" w:cs="方正仿宋_GBK"/>
          <w:color w:val="auto"/>
          <w:kern w:val="0"/>
          <w:szCs w:val="32"/>
          <w:shd w:val="clear" w:color="auto" w:fill="FFFFFF"/>
          <w:lang w:val="en-US" w:eastAsia="zh-CN"/>
        </w:rPr>
        <w:t>100</w:t>
      </w:r>
      <w:r>
        <w:rPr>
          <w:rFonts w:hint="eastAsia" w:ascii="方正仿宋_GBK" w:hAnsi="方正仿宋_GBK" w:eastAsia="方正仿宋_GBK" w:cs="方正仿宋_GBK"/>
          <w:color w:val="auto"/>
          <w:kern w:val="0"/>
          <w:szCs w:val="32"/>
          <w:shd w:val="clear" w:color="auto" w:fill="FFFFFF"/>
          <w:lang w:val="zh-CN"/>
        </w:rPr>
        <w:t>分，我</w:t>
      </w:r>
      <w:r>
        <w:rPr>
          <w:rFonts w:hint="eastAsia" w:ascii="方正仿宋_GBK" w:hAnsi="方正仿宋_GBK" w:eastAsia="方正仿宋_GBK" w:cs="方正仿宋_GBK"/>
          <w:color w:val="auto"/>
          <w:kern w:val="0"/>
          <w:szCs w:val="32"/>
          <w:shd w:val="clear" w:color="auto" w:fill="FFFFFF"/>
          <w:lang w:val="en-US" w:eastAsia="zh-CN"/>
        </w:rPr>
        <w:t>单位</w:t>
      </w:r>
      <w:r>
        <w:rPr>
          <w:rFonts w:hint="eastAsia" w:ascii="方正仿宋_GBK" w:hAnsi="方正仿宋_GBK" w:eastAsia="方正仿宋_GBK" w:cs="方正仿宋_GBK"/>
          <w:color w:val="auto"/>
          <w:kern w:val="0"/>
          <w:szCs w:val="32"/>
          <w:shd w:val="clear" w:color="auto" w:fill="FFFFFF"/>
          <w:lang w:val="zh-CN"/>
        </w:rPr>
        <w:t>得分</w:t>
      </w:r>
      <w:r>
        <w:rPr>
          <w:rFonts w:hint="eastAsia" w:ascii="方正仿宋_GBK" w:hAnsi="方正仿宋_GBK" w:eastAsia="方正仿宋_GBK" w:cs="方正仿宋_GBK"/>
          <w:color w:val="auto"/>
          <w:kern w:val="0"/>
          <w:szCs w:val="32"/>
          <w:shd w:val="clear" w:color="auto" w:fill="FFFFFF"/>
          <w:lang w:val="en-US" w:eastAsia="zh-CN"/>
        </w:rPr>
        <w:t>93</w:t>
      </w:r>
      <w:r>
        <w:rPr>
          <w:rFonts w:hint="eastAsia" w:ascii="方正仿宋_GBK" w:hAnsi="方正仿宋_GBK" w:eastAsia="方正仿宋_GBK" w:cs="方正仿宋_GBK"/>
          <w:color w:val="auto"/>
          <w:kern w:val="0"/>
          <w:szCs w:val="32"/>
          <w:shd w:val="clear" w:color="auto" w:fill="FFFFFF"/>
          <w:lang w:val="zh-CN"/>
        </w:rPr>
        <w:t>分（</w:t>
      </w:r>
      <w:r>
        <w:rPr>
          <w:rFonts w:hint="eastAsia" w:ascii="方正仿宋_GBK" w:hAnsi="方正仿宋_GBK" w:eastAsia="方正仿宋_GBK" w:cs="方正仿宋_GBK"/>
          <w:color w:val="auto"/>
          <w:kern w:val="0"/>
          <w:szCs w:val="32"/>
          <w:shd w:val="clear" w:color="auto" w:fill="FFFFFF"/>
          <w:lang w:val="en-US" w:eastAsia="zh-CN"/>
        </w:rPr>
        <w:t>详见《2023年整体支出绩效评价指标体系表》）。</w:t>
      </w:r>
      <w:r>
        <w:rPr>
          <w:rFonts w:hint="eastAsia" w:ascii="方正仿宋_GBK" w:hAnsi="方正仿宋_GBK" w:eastAsia="方正仿宋_GBK" w:cs="方正仿宋_GBK"/>
          <w:color w:val="auto"/>
          <w:kern w:val="0"/>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1</w:t>
      </w:r>
      <w:r>
        <w:rPr>
          <w:rFonts w:hint="eastAsia" w:ascii="方正仿宋_GBK" w:hAnsi="方正仿宋_GBK" w:eastAsia="方正仿宋_GBK" w:cs="方正仿宋_GBK"/>
          <w:color w:val="auto"/>
          <w:kern w:val="0"/>
          <w:szCs w:val="32"/>
          <w:shd w:val="clear" w:color="auto" w:fill="FFFFFF"/>
          <w:lang w:val="en-US" w:eastAsia="zh-CN"/>
        </w:rPr>
        <w:t>.</w:t>
      </w:r>
      <w:r>
        <w:rPr>
          <w:rFonts w:hint="eastAsia" w:ascii="方正仿宋_GBK" w:hAnsi="方正仿宋_GBK" w:eastAsia="方正仿宋_GBK" w:cs="方正仿宋_GBK"/>
          <w:color w:val="auto"/>
          <w:kern w:val="0"/>
          <w:szCs w:val="32"/>
          <w:shd w:val="clear" w:color="auto" w:fill="FFFFFF"/>
          <w:lang w:val="zh-CN"/>
        </w:rPr>
        <w:t>效管理意识还有待加强。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w:t>
      </w:r>
      <w:r>
        <w:rPr>
          <w:rFonts w:hint="eastAsia" w:ascii="方正仿宋_GBK" w:hAnsi="方正仿宋_GBK" w:eastAsia="方正仿宋_GBK" w:cs="方正仿宋_GBK"/>
          <w:color w:val="auto"/>
          <w:kern w:val="0"/>
          <w:szCs w:val="32"/>
          <w:shd w:val="clear" w:color="auto" w:fill="FFFFFF"/>
          <w:lang w:val="en-US" w:eastAsia="zh-CN"/>
        </w:rPr>
        <w:t>.</w:t>
      </w:r>
      <w:r>
        <w:rPr>
          <w:rFonts w:hint="eastAsia" w:ascii="方正仿宋_GBK" w:hAnsi="方正仿宋_GBK" w:eastAsia="方正仿宋_GBK" w:cs="方正仿宋_GBK"/>
          <w:color w:val="auto"/>
          <w:kern w:val="0"/>
          <w:szCs w:val="32"/>
          <w:shd w:val="clear" w:color="auto" w:fill="FFFFFF"/>
          <w:lang w:val="zh-CN"/>
        </w:rPr>
        <w:t>财务制度执行力有待加强，资金使用计划有待细化。</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lang w:val="zh-CN"/>
        </w:rPr>
      </w:pPr>
      <w:r>
        <w:rPr>
          <w:rFonts w:hint="eastAsia" w:ascii="方正仿宋_GBK" w:hAnsi="方正仿宋_GBK" w:eastAsia="方正仿宋_GBK" w:cs="方正仿宋_GBK"/>
          <w:color w:val="auto"/>
          <w:kern w:val="0"/>
          <w:szCs w:val="32"/>
          <w:shd w:val="clear" w:color="auto" w:fill="FFFFFF"/>
          <w:lang w:val="zh-CN"/>
        </w:rPr>
        <w:t>3</w:t>
      </w:r>
      <w:r>
        <w:rPr>
          <w:rFonts w:hint="eastAsia" w:ascii="方正仿宋_GBK" w:hAnsi="方正仿宋_GBK" w:eastAsia="方正仿宋_GBK" w:cs="方正仿宋_GBK"/>
          <w:color w:val="auto"/>
          <w:kern w:val="0"/>
          <w:szCs w:val="32"/>
          <w:shd w:val="clear" w:color="auto" w:fill="FFFFFF"/>
          <w:lang w:val="en-US" w:eastAsia="zh-CN"/>
        </w:rPr>
        <w:t>.</w:t>
      </w:r>
      <w:r>
        <w:rPr>
          <w:rFonts w:hint="eastAsia" w:ascii="方正仿宋_GBK" w:hAnsi="方正仿宋_GBK" w:eastAsia="方正仿宋_GBK" w:cs="方正仿宋_GBK"/>
          <w:color w:val="auto"/>
          <w:kern w:val="0"/>
          <w:szCs w:val="32"/>
          <w:shd w:val="clear" w:color="auto" w:fill="FFFFFF"/>
          <w:lang w:val="zh-CN"/>
        </w:rPr>
        <w:t>财政预算资金到位比较迟缓，各项目经费支付不能及时到位。</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楷体_GBK" w:hAnsi="方正楷体_GBK" w:eastAsia="方正楷体_GBK" w:cs="方正楷体_GBK"/>
          <w:color w:val="auto"/>
          <w:kern w:val="0"/>
          <w:szCs w:val="32"/>
          <w:shd w:val="clear" w:color="auto" w:fill="FFFFFF"/>
          <w:lang w:val="zh-CN"/>
        </w:rPr>
      </w:pPr>
      <w:r>
        <w:rPr>
          <w:rFonts w:hint="eastAsia" w:ascii="方正楷体_GBK" w:hAnsi="方正楷体_GBK" w:eastAsia="方正楷体_GBK" w:cs="方正楷体_GBK"/>
          <w:color w:val="auto"/>
          <w:kern w:val="0"/>
          <w:szCs w:val="32"/>
          <w:shd w:val="clear" w:color="auto" w:fill="FFFFFF"/>
          <w:lang w:val="zh-CN"/>
        </w:rPr>
        <w:t>（三）改进措施</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2023年，我单位将采取以下措施，提升预算绩效整体业务工作水平。</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1.</w:t>
      </w:r>
      <w:r>
        <w:rPr>
          <w:rFonts w:hint="eastAsia" w:ascii="方正仿宋_GBK" w:hAnsi="方正仿宋_GBK" w:eastAsia="方正仿宋_GBK" w:cs="方正仿宋_GBK"/>
          <w:color w:val="auto"/>
          <w:kern w:val="0"/>
          <w:szCs w:val="32"/>
          <w:shd w:val="clear" w:color="auto" w:fill="FFFFFF"/>
          <w:lang w:val="zh-CN"/>
        </w:rPr>
        <w:t>提高预算绩效管理工作意识，按照预算绩效管理工作方案要求，明确职责分工，压实主体责任，强化各具体项目承办。</w:t>
      </w:r>
      <w:r>
        <w:rPr>
          <w:rFonts w:hint="eastAsia" w:ascii="方正仿宋_GBK" w:hAnsi="方正仿宋_GBK" w:eastAsia="方正仿宋_GBK" w:cs="方正仿宋_GBK"/>
          <w:color w:val="auto"/>
          <w:kern w:val="0"/>
          <w:szCs w:val="32"/>
          <w:shd w:val="clear" w:color="auto" w:fill="FFFFFF"/>
          <w:lang w:val="en-US" w:eastAsia="zh-CN"/>
        </w:rPr>
        <w:t xml:space="preserve">                  </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en-US" w:eastAsia="zh-CN"/>
        </w:rPr>
        <w:t>2.</w:t>
      </w:r>
      <w:r>
        <w:rPr>
          <w:rFonts w:hint="eastAsia" w:ascii="方正仿宋_GBK" w:hAnsi="方正仿宋_GBK" w:eastAsia="方正仿宋_GBK" w:cs="方正仿宋_GBK"/>
          <w:color w:val="auto"/>
          <w:kern w:val="0"/>
          <w:szCs w:val="32"/>
          <w:shd w:val="clear" w:color="auto" w:fill="FFFFFF"/>
          <w:lang w:val="zh-CN"/>
        </w:rPr>
        <w:t>加强财务管理，严格财务审核。在费用报账支付时，按照预算规定的费用项目和用途进行资金使用审核、列报支付、财务核算，杜绝超支现象的发生。</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r>
        <w:rPr>
          <w:rFonts w:hint="eastAsia" w:ascii="方正仿宋_GBK" w:hAnsi="方正仿宋_GBK" w:eastAsia="方正仿宋_GBK" w:cs="方正仿宋_GBK"/>
          <w:color w:val="auto"/>
          <w:kern w:val="0"/>
          <w:szCs w:val="32"/>
          <w:shd w:val="clear" w:color="auto" w:fill="FFFFFF"/>
          <w:lang w:val="zh-CN"/>
        </w:rPr>
        <w:t> </w:t>
      </w:r>
      <w:r>
        <w:rPr>
          <w:rFonts w:hint="eastAsia" w:ascii="方正仿宋_GBK" w:hAnsi="方正仿宋_GBK" w:eastAsia="方正仿宋_GBK" w:cs="方正仿宋_GBK"/>
          <w:color w:val="auto"/>
          <w:kern w:val="0"/>
          <w:szCs w:val="32"/>
          <w:shd w:val="clear" w:color="auto" w:fill="FFFFFF"/>
          <w:lang w:val="en-US" w:eastAsia="zh-CN"/>
        </w:rPr>
        <w:t xml:space="preserve">  </w:t>
      </w:r>
      <w:r>
        <w:rPr>
          <w:rFonts w:hint="eastAsia" w:ascii="方正仿宋_GBK" w:hAnsi="方正仿宋_GBK" w:eastAsia="方正仿宋_GBK" w:cs="方正仿宋_GBK"/>
          <w:color w:val="auto"/>
          <w:kern w:val="0"/>
          <w:szCs w:val="32"/>
          <w:shd w:val="clear" w:color="auto" w:fill="FFFFFF"/>
          <w:lang w:val="zh-CN"/>
        </w:rPr>
        <w:t>3</w:t>
      </w:r>
      <w:r>
        <w:rPr>
          <w:rFonts w:hint="eastAsia" w:ascii="方正仿宋_GBK" w:hAnsi="方正仿宋_GBK" w:eastAsia="方正仿宋_GBK" w:cs="方正仿宋_GBK"/>
          <w:color w:val="auto"/>
          <w:kern w:val="0"/>
          <w:szCs w:val="32"/>
          <w:shd w:val="clear" w:color="auto" w:fill="FFFFFF"/>
          <w:lang w:val="en-US" w:eastAsia="zh-CN"/>
        </w:rPr>
        <w:t>.</w:t>
      </w:r>
      <w:r>
        <w:rPr>
          <w:rFonts w:hint="eastAsia" w:ascii="方正仿宋_GBK" w:hAnsi="方正仿宋_GBK" w:eastAsia="方正仿宋_GBK" w:cs="方正仿宋_GBK"/>
          <w:color w:val="auto"/>
          <w:kern w:val="0"/>
          <w:szCs w:val="32"/>
          <w:shd w:val="clear" w:color="auto" w:fill="FFFFFF"/>
          <w:lang w:val="zh-CN"/>
        </w:rPr>
        <w:t>加强项目开展进度的跟踪，开展项目绩效评价，确保项目绩效目标的完成。</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eastAsia" w:ascii="方正仿宋_GBK" w:hAnsi="方正仿宋_GBK" w:eastAsia="方正仿宋_GBK" w:cs="方正仿宋_GBK"/>
          <w:color w:val="auto"/>
          <w:kern w:val="0"/>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contextualSpacing/>
        <w:jc w:val="left"/>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附件：</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1.2022年特定目标类部门预算项目绩效目标自评（项目名称：</w:t>
      </w:r>
      <w:r>
        <w:rPr>
          <w:rFonts w:hint="eastAsia" w:ascii="方正仿宋_GBK" w:hAnsi="方正仿宋_GBK" w:eastAsia="方正仿宋_GBK" w:cs="方正仿宋_GBK"/>
          <w:bCs/>
          <w:kern w:val="0"/>
          <w:sz w:val="32"/>
          <w:szCs w:val="32"/>
          <w:highlight w:val="none"/>
          <w:lang w:val="en-US" w:eastAsia="zh-CN"/>
        </w:rPr>
        <w:t>三名工作室专项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2.2022年特定目标类部门预算项目绩效目标自评（项目名称：</w:t>
      </w:r>
      <w:r>
        <w:rPr>
          <w:rFonts w:hint="eastAsia" w:ascii="方正仿宋_GBK" w:hAnsi="方正仿宋_GBK" w:eastAsia="方正仿宋_GBK" w:cs="方正仿宋_GBK"/>
          <w:bCs/>
          <w:kern w:val="0"/>
          <w:sz w:val="32"/>
          <w:szCs w:val="32"/>
          <w:highlight w:val="none"/>
          <w:lang w:val="en-US" w:eastAsia="zh-CN"/>
        </w:rPr>
        <w:t>教育联盟工作专项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3.2022年特定目标类部门预算项目绩效目标自评（项目名称：</w:t>
      </w:r>
      <w:r>
        <w:rPr>
          <w:rFonts w:hint="eastAsia" w:ascii="方正仿宋_GBK" w:hAnsi="方正仿宋_GBK" w:eastAsia="方正仿宋_GBK" w:cs="方正仿宋_GBK"/>
          <w:bCs/>
          <w:kern w:val="0"/>
          <w:szCs w:val="32"/>
        </w:rPr>
        <w:t>购买安保服务专项</w:t>
      </w:r>
      <w:r>
        <w:rPr>
          <w:rFonts w:hint="eastAsia" w:ascii="方正仿宋_GBK" w:hAnsi="方正仿宋_GBK" w:eastAsia="方正仿宋_GBK" w:cs="方正仿宋_GBK"/>
          <w:color w:val="auto"/>
          <w:kern w:val="0"/>
          <w:szCs w:val="32"/>
          <w:shd w:val="clear" w:color="auto" w:fill="FFFFFF"/>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4.达川区南坝幼儿园2023年整体支出绩效评价指标体系表</w:t>
      </w:r>
    </w:p>
    <w:p>
      <w:pPr>
        <w:keepNext w:val="0"/>
        <w:pageBreakBefore w:val="0"/>
        <w:kinsoku/>
        <w:overflowPunct/>
        <w:topLinePunct w:val="0"/>
        <w:autoSpaceDE/>
        <w:autoSpaceDN/>
        <w:bidi w:val="0"/>
        <w:spacing w:line="578" w:lineRule="exact"/>
        <w:textAlignment w:val="auto"/>
        <w:rPr>
          <w:rFonts w:hint="eastAsia" w:ascii="方正仿宋_GBK" w:hAnsi="方正仿宋_GBK" w:eastAsia="方正仿宋_GBK" w:cs="方正仿宋_GBK"/>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eastAsia" w:ascii="方正仿宋_GBK" w:hAnsi="方正仿宋_GBK" w:eastAsia="方正仿宋_GBK" w:cs="方正仿宋_GBK"/>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方正仿宋_GBK" w:hAnsi="方正仿宋_GBK" w:eastAsia="方正仿宋_GBK" w:cs="方正仿宋_GBK"/>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达州市达川区南坝幼儿园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eastAsia" w:ascii="仿宋_GB2312" w:hAnsi="宋体" w:cs="宋体"/>
          <w:color w:val="auto"/>
          <w:kern w:val="0"/>
          <w:szCs w:val="32"/>
          <w:shd w:val="clear" w:color="auto" w:fill="FFFFFF"/>
          <w:lang w:val="en-US" w:eastAsia="zh-CN"/>
        </w:rPr>
      </w:pPr>
      <w:r>
        <w:rPr>
          <w:rFonts w:hint="eastAsia" w:ascii="方正仿宋_GBK" w:hAnsi="方正仿宋_GBK" w:eastAsia="方正仿宋_GBK" w:cs="方正仿宋_GBK"/>
          <w:color w:val="auto"/>
          <w:kern w:val="0"/>
          <w:szCs w:val="32"/>
          <w:shd w:val="clear" w:color="auto" w:fill="FFFFFF"/>
          <w:lang w:val="en-US" w:eastAsia="zh-CN"/>
        </w:rPr>
        <w:t xml:space="preserve">                             2023年4月10日</w:t>
      </w:r>
      <w:r>
        <w:rPr>
          <w:rFonts w:hint="eastAsia" w:ascii="仿宋_GB2312" w:hAnsi="宋体" w:cs="宋体"/>
          <w:color w:val="auto"/>
          <w:kern w:val="0"/>
          <w:szCs w:val="32"/>
          <w:shd w:val="clear" w:color="auto" w:fill="FFFFFF"/>
          <w:lang w:val="en-US" w:eastAsia="zh-CN"/>
        </w:rPr>
        <w:t xml:space="preserve">  </w:t>
      </w: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ind w:firstLine="640" w:firstLineChars="200"/>
        <w:contextualSpacing/>
        <w:jc w:val="right"/>
        <w:rPr>
          <w:rFonts w:hint="eastAsia" w:ascii="仿宋_GB2312" w:hAnsi="宋体" w:cs="宋体"/>
          <w:color w:val="auto"/>
          <w:kern w:val="0"/>
          <w:szCs w:val="32"/>
          <w:shd w:val="clear" w:color="auto" w:fill="FFFFFF"/>
          <w:lang w:val="en-US" w:eastAsia="zh-CN"/>
        </w:rPr>
      </w:pPr>
    </w:p>
    <w:p>
      <w:pPr>
        <w:widowControl/>
        <w:wordWrap w:val="0"/>
        <w:adjustRightInd w:val="0"/>
        <w:snapToGrid w:val="0"/>
        <w:spacing w:line="580" w:lineRule="exact"/>
        <w:contextualSpacing/>
        <w:jc w:val="both"/>
        <w:rPr>
          <w:rFonts w:hint="eastAsia"/>
          <w:lang w:val="en-US" w:eastAsia="zh-CN"/>
        </w:rPr>
      </w:pPr>
    </w:p>
    <w:p>
      <w:pPr>
        <w:widowControl/>
        <w:wordWrap w:val="0"/>
        <w:adjustRightInd w:val="0"/>
        <w:snapToGrid w:val="0"/>
        <w:spacing w:line="580" w:lineRule="exact"/>
        <w:contextualSpacing/>
        <w:jc w:val="both"/>
        <w:rPr>
          <w:rFonts w:hint="eastAsia"/>
          <w:lang w:val="en-US" w:eastAsia="zh-CN"/>
        </w:rPr>
      </w:pPr>
      <w:r>
        <w:rPr>
          <w:rFonts w:hint="eastAsia"/>
          <w:lang w:val="en-US" w:eastAsia="zh-CN"/>
        </w:rPr>
        <w:t>附表1：</w:t>
      </w:r>
    </w:p>
    <w:p>
      <w:pPr>
        <w:pStyle w:val="2"/>
        <w:rPr>
          <w:rFonts w:hint="eastAsia"/>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49"/>
        <w:gridCol w:w="1848"/>
        <w:gridCol w:w="330"/>
        <w:gridCol w:w="941"/>
        <w:gridCol w:w="995"/>
        <w:gridCol w:w="703"/>
        <w:gridCol w:w="692"/>
        <w:gridCol w:w="588"/>
        <w:gridCol w:w="1256"/>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三名工作室</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达川区南坝幼儿园</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0.6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0.6</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0.6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0.6</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6"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22022年</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入名师工作室经费</w:t>
            </w:r>
            <w:r>
              <w:rPr>
                <w:rFonts w:hint="eastAsia" w:ascii="仿宋_GB2312" w:hAnsi="仿宋_GB2312" w:cs="仿宋_GB2312"/>
                <w:color w:val="000000"/>
                <w:kern w:val="0"/>
                <w:sz w:val="21"/>
                <w:szCs w:val="21"/>
                <w:lang w:val="en-US" w:eastAsia="zh-CN" w:bidi="ar"/>
              </w:rPr>
              <w:t>0.6万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用于名师工作室办公、教学教研及课题等费用支出，提高名园长教育教学业务能力和教学水平，促进教育发展。</w:t>
            </w:r>
          </w:p>
        </w:tc>
        <w:tc>
          <w:tcPr>
            <w:tcW w:w="2259"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0.6</w:t>
            </w:r>
            <w:r>
              <w:rPr>
                <w:rFonts w:hint="eastAsia" w:ascii="仿宋_GB2312" w:hAnsi="仿宋_GB2312" w:cs="仿宋_GB2312"/>
                <w:color w:val="000000"/>
                <w:kern w:val="0"/>
                <w:sz w:val="21"/>
                <w:szCs w:val="21"/>
                <w:lang w:bidi="ar"/>
              </w:rPr>
              <w:t>万元，</w:t>
            </w:r>
            <w:r>
              <w:rPr>
                <w:rFonts w:hint="eastAsia" w:ascii="仿宋_GB2312" w:hAnsi="仿宋_GB2312" w:cs="仿宋_GB2312"/>
                <w:color w:val="000000"/>
                <w:kern w:val="0"/>
                <w:sz w:val="21"/>
                <w:szCs w:val="21"/>
                <w:lang w:eastAsia="zh-CN" w:bidi="ar"/>
              </w:rPr>
              <w:t>完成了</w:t>
            </w:r>
            <w:r>
              <w:rPr>
                <w:rFonts w:hint="eastAsia" w:ascii="仿宋_GB2312" w:hAnsi="仿宋_GB2312" w:cs="仿宋_GB2312"/>
                <w:color w:val="000000"/>
                <w:kern w:val="0"/>
                <w:sz w:val="21"/>
                <w:szCs w:val="21"/>
                <w:lang w:bidi="ar"/>
              </w:rPr>
              <w:t>名师工作室办公、教学教研及课题等费用支出，提高名园长教育教学业务能力和教学水平，促进教育发展。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2"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开展教研活动、课题研究次数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4次</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cs="仿宋_GB2312"/>
                <w:color w:val="000000"/>
                <w:kern w:val="0"/>
                <w:sz w:val="20"/>
                <w:szCs w:val="20"/>
                <w:lang w:bidi="ar"/>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sz w:val="20"/>
                <w:szCs w:val="20"/>
              </w:rPr>
            </w:pPr>
            <w:r>
              <w:rPr>
                <w:rFonts w:hint="eastAsia"/>
                <w:sz w:val="20"/>
                <w:szCs w:val="20"/>
              </w:rPr>
              <w:t>数量指标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sz w:val="20"/>
                <w:szCs w:val="20"/>
                <w:lang w:val="en-US" w:eastAsia="zh-CN"/>
              </w:rPr>
            </w:pPr>
            <w:r>
              <w:rPr>
                <w:rFonts w:hint="default"/>
                <w:sz w:val="20"/>
                <w:szCs w:val="20"/>
                <w:lang w:val="en-US" w:eastAsia="zh-CN"/>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default"/>
                <w:b w:val="0"/>
                <w:bCs w:val="0"/>
                <w:color w:val="000000" w:themeColor="text1"/>
                <w:sz w:val="18"/>
                <w:szCs w:val="18"/>
                <w:lang w:val="en-US" w:eastAsia="zh-CN"/>
                <w14:textFill>
                  <w14:solidFill>
                    <w14:schemeClr w14:val="tx1"/>
                  </w14:solidFill>
                </w14:textFill>
              </w:rPr>
              <w:t>240</w:t>
            </w:r>
            <w:r>
              <w:rPr>
                <w:rFonts w:hint="eastAsia"/>
                <w:b w:val="0"/>
                <w:bCs w:val="0"/>
                <w:color w:val="000000" w:themeColor="text1"/>
                <w:sz w:val="18"/>
                <w:szCs w:val="18"/>
                <w:lang w:val="en-US" w:eastAsia="zh-CN"/>
                <w14:textFill>
                  <w14:solidFill>
                    <w14:schemeClr w14:val="tx1"/>
                  </w14:solidFill>
                </w14:textFill>
              </w:rPr>
              <w:t>本</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240本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cs="仿宋_GB2312"/>
                <w:color w:val="000000"/>
                <w:sz w:val="21"/>
                <w:szCs w:val="21"/>
                <w:lang w:eastAsia="zh-CN"/>
              </w:rPr>
              <w:t>、</w:t>
            </w: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0.6万元</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0.6万元</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教研活动、课题研究、购买笔记本及时率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名师工作室经费制度健全性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b w:val="0"/>
                <w:bCs w:val="0"/>
                <w:color w:val="000000" w:themeColor="text1"/>
                <w:sz w:val="18"/>
                <w:szCs w:val="18"/>
                <w:lang w:val="en-US" w:eastAsia="zh-CN"/>
                <w14:textFill>
                  <w14:solidFill>
                    <w14:schemeClr w14:val="tx1"/>
                  </w14:solidFill>
                </w14:textFill>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0"/>
                <w:szCs w:val="20"/>
                <w:lang w:val="en-US" w:eastAsia="zh-CN"/>
              </w:rPr>
            </w:pPr>
            <w:r>
              <w:rPr>
                <w:rFonts w:hint="default"/>
                <w:sz w:val="20"/>
                <w:szCs w:val="20"/>
                <w:lang w:val="en-US" w:eastAsia="zh-CN"/>
              </w:rPr>
              <w:t>学生、家长及教职工满意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90%</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val="0"/>
                <w:bCs w:val="0"/>
                <w:color w:val="000000" w:themeColor="text1"/>
                <w:sz w:val="18"/>
                <w:szCs w:val="18"/>
                <w:lang w:val="en-US" w:eastAsia="zh-CN"/>
                <w14:textFill>
                  <w14:solidFill>
                    <w14:schemeClr w14:val="tx1"/>
                  </w14:solidFill>
                </w14:textFill>
              </w:rPr>
            </w:pPr>
            <w:r>
              <w:rPr>
                <w:rFonts w:hint="eastAsia"/>
                <w:b w:val="0"/>
                <w:bCs w:val="0"/>
                <w:color w:val="000000" w:themeColor="text1"/>
                <w:sz w:val="18"/>
                <w:szCs w:val="18"/>
                <w:lang w:val="en-US" w:eastAsia="zh-CN"/>
                <w14:textFill>
                  <w14:solidFill>
                    <w14:schemeClr w14:val="tx1"/>
                  </w14:solidFill>
                </w14:textFill>
              </w:rPr>
              <w:t>100%</w:t>
            </w:r>
          </w:p>
        </w:tc>
      </w:tr>
    </w:tbl>
    <w:p>
      <w:pPr>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lang w:val="en-US" w:eastAsia="zh-CN"/>
        </w:rPr>
      </w:pPr>
    </w:p>
    <w:p>
      <w:pPr>
        <w:rPr>
          <w:rFonts w:hint="eastAsia"/>
          <w:lang w:val="en-US" w:eastAsia="zh-CN"/>
        </w:rPr>
      </w:pPr>
      <w:r>
        <w:rPr>
          <w:rFonts w:hint="eastAsia"/>
          <w:lang w:val="en-US" w:eastAsia="zh-CN"/>
        </w:rPr>
        <w:t>附表2：</w:t>
      </w: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2"/>
        <w:gridCol w:w="151"/>
        <w:gridCol w:w="1848"/>
        <w:gridCol w:w="330"/>
        <w:gridCol w:w="941"/>
        <w:gridCol w:w="993"/>
        <w:gridCol w:w="707"/>
        <w:gridCol w:w="692"/>
        <w:gridCol w:w="588"/>
        <w:gridCol w:w="1252"/>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w:t>
            </w:r>
            <w:r>
              <w:rPr>
                <w:rFonts w:hint="eastAsia" w:ascii="宋体" w:hAnsi="宋体" w:eastAsia="宋体" w:cs="宋体"/>
                <w:b/>
                <w:color w:val="000000"/>
                <w:szCs w:val="32"/>
                <w:lang w:eastAsia="zh-CN"/>
              </w:rPr>
              <w:t>绩</w:t>
            </w:r>
            <w:r>
              <w:rPr>
                <w:rFonts w:hint="eastAsia" w:ascii="宋体" w:hAnsi="宋体" w:eastAsia="宋体" w:cs="宋体"/>
                <w:b/>
                <w:color w:val="000000"/>
                <w:szCs w:val="32"/>
              </w:rPr>
              <w:t>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w:t>
            </w:r>
            <w:r>
              <w:rPr>
                <w:rFonts w:hint="eastAsia" w:ascii="宋体" w:hAnsi="宋体" w:eastAsia="宋体" w:cs="宋体"/>
                <w:b/>
                <w:color w:val="000000"/>
                <w:szCs w:val="32"/>
                <w:lang w:eastAsia="zh-CN"/>
              </w:rPr>
              <w:t>联盟工作</w:t>
            </w:r>
            <w:r>
              <w:rPr>
                <w:rFonts w:hint="eastAsia" w:ascii="宋体" w:hAnsi="宋体" w:eastAsia="宋体" w:cs="宋体"/>
                <w:b/>
                <w:color w:val="000000"/>
                <w:szCs w:val="32"/>
              </w:rPr>
              <w:t>专项）</w:t>
            </w:r>
          </w:p>
        </w:tc>
        <w:tc>
          <w:tcPr>
            <w:tcW w:w="117" w:type="pct"/>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kern w:val="0"/>
                <w:szCs w:val="32"/>
                <w:lang w:bidi="ar"/>
              </w:rPr>
            </w:pPr>
          </w:p>
        </w:tc>
      </w:tr>
      <w:tr>
        <w:tblPrEx>
          <w:tblCellMar>
            <w:top w:w="0" w:type="dxa"/>
            <w:left w:w="108" w:type="dxa"/>
            <w:bottom w:w="0" w:type="dxa"/>
            <w:right w:w="108" w:type="dxa"/>
          </w:tblCellMar>
        </w:tblPrEx>
        <w:trPr>
          <w:gridAfter w:val="1"/>
          <w:wAfter w:w="117"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达川区南坝幼儿园</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1.1</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1.1</w:t>
            </w:r>
          </w:p>
        </w:tc>
      </w:tr>
      <w:tr>
        <w:tblPrEx>
          <w:tblCellMar>
            <w:top w:w="0" w:type="dxa"/>
            <w:left w:w="108" w:type="dxa"/>
            <w:bottom w:w="0" w:type="dxa"/>
            <w:right w:w="108" w:type="dxa"/>
          </w:tblCellMar>
        </w:tblPrEx>
        <w:trPr>
          <w:gridAfter w:val="1"/>
          <w:wAfter w:w="117"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1.1</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仿宋_GB2312" w:hAnsi="仿宋_GB2312" w:cs="仿宋_GB2312"/>
                <w:color w:val="000000"/>
                <w:kern w:val="0"/>
                <w:sz w:val="21"/>
                <w:szCs w:val="21"/>
                <w:lang w:val="en-US" w:bidi="ar"/>
              </w:rPr>
            </w:pPr>
            <w:r>
              <w:rPr>
                <w:rFonts w:hint="eastAsia" w:ascii="仿宋_GB2312" w:hAnsi="仿宋_GB2312" w:cs="仿宋_GB2312"/>
                <w:color w:val="000000"/>
                <w:kern w:val="0"/>
                <w:sz w:val="21"/>
                <w:szCs w:val="21"/>
                <w:lang w:val="en-US" w:eastAsia="zh-CN" w:bidi="ar"/>
              </w:rPr>
              <w:t>1.1</w:t>
            </w:r>
          </w:p>
        </w:tc>
      </w:tr>
      <w:tr>
        <w:tblPrEx>
          <w:tblCellMar>
            <w:top w:w="0" w:type="dxa"/>
            <w:left w:w="108" w:type="dxa"/>
            <w:bottom w:w="0" w:type="dxa"/>
            <w:right w:w="108" w:type="dxa"/>
          </w:tblCellMar>
        </w:tblPrEx>
        <w:trPr>
          <w:gridAfter w:val="1"/>
          <w:wAfter w:w="117"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gridAfter w:val="1"/>
          <w:wAfter w:w="117"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7"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67"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w:t>
            </w:r>
            <w:r>
              <w:rPr>
                <w:rFonts w:hint="eastAsia" w:ascii="仿宋_GB2312" w:hAnsi="仿宋_GB2312" w:cs="仿宋_GB2312"/>
                <w:color w:val="000000"/>
                <w:kern w:val="0"/>
                <w:sz w:val="21"/>
                <w:szCs w:val="21"/>
                <w:lang w:eastAsia="zh-CN" w:bidi="ar"/>
              </w:rPr>
              <w:t>投</w:t>
            </w:r>
            <w:r>
              <w:rPr>
                <w:rFonts w:hint="eastAsia" w:ascii="仿宋_GB2312" w:hAnsi="仿宋_GB2312" w:cs="仿宋_GB2312"/>
                <w:color w:val="000000"/>
                <w:kern w:val="0"/>
                <w:sz w:val="21"/>
                <w:szCs w:val="21"/>
                <w:lang w:bidi="ar"/>
              </w:rPr>
              <w:t>入教育联盟经费</w:t>
            </w:r>
            <w:r>
              <w:rPr>
                <w:rFonts w:hint="eastAsia" w:ascii="仿宋_GB2312" w:hAnsi="仿宋_GB2312" w:cs="仿宋_GB2312"/>
                <w:color w:val="000000"/>
                <w:kern w:val="0"/>
                <w:sz w:val="21"/>
                <w:szCs w:val="21"/>
                <w:lang w:val="en-US" w:eastAsia="zh-CN" w:bidi="ar"/>
              </w:rPr>
              <w:t>1.1</w:t>
            </w:r>
            <w:r>
              <w:rPr>
                <w:rFonts w:hint="eastAsia" w:ascii="仿宋_GB2312" w:hAnsi="仿宋_GB2312" w:cs="仿宋_GB2312"/>
                <w:color w:val="000000"/>
                <w:kern w:val="0"/>
                <w:sz w:val="21"/>
                <w:szCs w:val="21"/>
                <w:lang w:eastAsia="zh-CN" w:bidi="ar"/>
              </w:rPr>
              <w:t>万</w:t>
            </w:r>
            <w:r>
              <w:rPr>
                <w:rFonts w:hint="eastAsia" w:ascii="仿宋_GB2312" w:hAnsi="仿宋_GB2312" w:cs="仿宋_GB2312"/>
                <w:color w:val="000000"/>
                <w:kern w:val="0"/>
                <w:sz w:val="21"/>
                <w:szCs w:val="21"/>
                <w:lang w:bidi="ar"/>
              </w:rPr>
              <w:t>元，</w:t>
            </w:r>
            <w:r>
              <w:rPr>
                <w:rFonts w:hint="eastAsia" w:ascii="仿宋_GB2312" w:hAnsi="仿宋_GB2312" w:cs="仿宋_GB2312"/>
                <w:color w:val="000000"/>
                <w:kern w:val="0"/>
                <w:sz w:val="21"/>
                <w:szCs w:val="21"/>
                <w:lang w:eastAsia="zh-CN" w:bidi="ar"/>
              </w:rPr>
              <w:t>目的：</w:t>
            </w:r>
            <w:r>
              <w:rPr>
                <w:rFonts w:hint="eastAsia" w:ascii="仿宋_GB2312" w:hAnsi="仿宋_GB2312" w:cs="仿宋_GB2312"/>
                <w:color w:val="000000"/>
                <w:kern w:val="0"/>
                <w:sz w:val="21"/>
                <w:szCs w:val="21"/>
                <w:lang w:bidi="ar"/>
              </w:rPr>
              <w:t>用于日常办公、教学教研及课题等费用支出。提高教师教育教学业务能力和教学水平，促进教育发展。</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w:t>
            </w:r>
            <w:r>
              <w:rPr>
                <w:rFonts w:hint="eastAsia" w:ascii="仿宋_GB2312" w:hAnsi="仿宋_GB2312" w:cs="仿宋_GB2312"/>
                <w:color w:val="000000"/>
                <w:kern w:val="0"/>
                <w:sz w:val="21"/>
                <w:szCs w:val="21"/>
                <w:lang w:eastAsia="zh-CN" w:bidi="ar"/>
              </w:rPr>
              <w:t>投入</w:t>
            </w:r>
            <w:r>
              <w:rPr>
                <w:rFonts w:hint="eastAsia" w:ascii="仿宋_GB2312" w:hAnsi="仿宋_GB2312" w:cs="仿宋_GB2312"/>
                <w:color w:val="000000"/>
                <w:kern w:val="0"/>
                <w:sz w:val="21"/>
                <w:szCs w:val="21"/>
                <w:lang w:val="en-US" w:eastAsia="zh-CN" w:bidi="ar"/>
              </w:rPr>
              <w:t>1.1</w:t>
            </w:r>
            <w:r>
              <w:rPr>
                <w:rFonts w:hint="eastAsia" w:ascii="仿宋_GB2312" w:hAnsi="仿宋_GB2312" w:cs="仿宋_GB2312"/>
                <w:color w:val="000000"/>
                <w:kern w:val="0"/>
                <w:sz w:val="21"/>
                <w:szCs w:val="21"/>
                <w:lang w:bidi="ar"/>
              </w:rPr>
              <w:t>万元，用于日常办公、教学教研及课题等费用支出。提高教师教育教学业务能力和教学水平，促进教育发展。</w:t>
            </w:r>
          </w:p>
        </w:tc>
      </w:tr>
      <w:tr>
        <w:tblPrEx>
          <w:tblCellMar>
            <w:top w:w="0" w:type="dxa"/>
            <w:left w:w="108" w:type="dxa"/>
            <w:bottom w:w="0" w:type="dxa"/>
            <w:right w:w="108" w:type="dxa"/>
          </w:tblCellMar>
        </w:tblPrEx>
        <w:trPr>
          <w:gridAfter w:val="1"/>
          <w:wAfter w:w="117"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w:t>
            </w:r>
            <w:r>
              <w:rPr>
                <w:rFonts w:hint="eastAsia" w:ascii="仿宋_GB2312" w:hAnsi="仿宋_GB2312" w:cs="仿宋_GB2312"/>
                <w:color w:val="000000"/>
                <w:kern w:val="0"/>
                <w:sz w:val="21"/>
                <w:szCs w:val="21"/>
                <w:lang w:eastAsia="zh-CN" w:bidi="ar"/>
              </w:rPr>
              <w:t>绩</w:t>
            </w:r>
            <w:r>
              <w:rPr>
                <w:rFonts w:hint="eastAsia" w:ascii="仿宋_GB2312" w:hAnsi="仿宋_GB2312" w:cs="仿宋_GB2312"/>
                <w:color w:val="000000"/>
                <w:kern w:val="0"/>
                <w:sz w:val="21"/>
                <w:szCs w:val="21"/>
                <w:lang w:bidi="ar"/>
              </w:rPr>
              <w:t>效指标完成情况</w:t>
            </w:r>
          </w:p>
        </w:tc>
        <w:tc>
          <w:tcPr>
            <w:tcW w:w="403"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gridAfter w:val="1"/>
          <w:wAfter w:w="117"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购买工作笔记本数量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0"/>
                <w:szCs w:val="20"/>
                <w:lang w:val="en-US"/>
              </w:rPr>
            </w:pPr>
            <w:r>
              <w:rPr>
                <w:rFonts w:hint="eastAsia"/>
                <w:sz w:val="20"/>
                <w:szCs w:val="20"/>
                <w:lang w:val="en-US" w:eastAsia="zh-CN"/>
              </w:rPr>
              <w:t>50本</w:t>
            </w:r>
          </w:p>
        </w:tc>
      </w:tr>
      <w:tr>
        <w:tblPrEx>
          <w:tblCellMar>
            <w:top w:w="0" w:type="dxa"/>
            <w:left w:w="108" w:type="dxa"/>
            <w:bottom w:w="0" w:type="dxa"/>
            <w:right w:w="108" w:type="dxa"/>
          </w:tblCellMar>
        </w:tblPrEx>
        <w:trPr>
          <w:gridAfter w:val="1"/>
          <w:wAfter w:w="117"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开展教育联盟教研活动次数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0"/>
                <w:szCs w:val="20"/>
                <w:lang w:eastAsia="zh-CN"/>
              </w:rPr>
            </w:pPr>
            <w:r>
              <w:rPr>
                <w:rFonts w:hint="eastAsia" w:eastAsia="宋体"/>
                <w:sz w:val="20"/>
                <w:szCs w:val="20"/>
                <w:lang w:val="en-US" w:eastAsia="zh-CN"/>
              </w:rPr>
              <w:t>4次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lang w:eastAsia="zh-CN"/>
              </w:rPr>
              <w:t>数量</w:t>
            </w:r>
            <w:r>
              <w:rPr>
                <w:rFonts w:hint="eastAsia"/>
                <w:sz w:val="20"/>
                <w:szCs w:val="20"/>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联盟教育质量监测次数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1次</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联盟教研活动参与率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物资采购、教研活动、质量监测及时率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采购物资验收合格率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gridAfter w:val="1"/>
          <w:wAfter w:w="117"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eastAsia="仿宋_GB2312"/>
                <w:sz w:val="20"/>
                <w:szCs w:val="20"/>
                <w:lang w:eastAsia="zh-CN"/>
              </w:rPr>
            </w:pPr>
            <w:r>
              <w:rPr>
                <w:rFonts w:hint="eastAsia"/>
                <w:sz w:val="20"/>
                <w:szCs w:val="20"/>
                <w:lang w:eastAsia="zh-CN"/>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小学教育联盟经费预算控制数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1.1万</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仿宋_GB2312"/>
                <w:sz w:val="20"/>
                <w:szCs w:val="20"/>
                <w:lang w:val="en-US" w:eastAsia="zh-CN"/>
              </w:rPr>
            </w:pPr>
            <w:r>
              <w:rPr>
                <w:rFonts w:hint="eastAsia"/>
                <w:sz w:val="20"/>
                <w:szCs w:val="20"/>
                <w:lang w:val="en-US" w:eastAsia="zh-CN"/>
              </w:rPr>
              <w:t>1.1万</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提高教师教育教学业务能力和教学水平，促进教育发展</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default" w:ascii="等线" w:hAnsi="等线" w:eastAsia="等线" w:cs="等线"/>
                <w:i w:val="0"/>
                <w:iCs w:val="0"/>
                <w:color w:val="000000"/>
                <w:kern w:val="0"/>
                <w:sz w:val="18"/>
                <w:szCs w:val="18"/>
                <w:u w:val="none"/>
                <w:lang w:val="en-US" w:eastAsia="zh-CN" w:bidi="ar"/>
              </w:rPr>
              <w:t>小学教育联盟经费制度健全性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gridAfter w:val="1"/>
          <w:wAfter w:w="117"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p>
        </w:tc>
      </w:tr>
      <w:tr>
        <w:tblPrEx>
          <w:tblCellMar>
            <w:top w:w="0" w:type="dxa"/>
            <w:left w:w="108" w:type="dxa"/>
            <w:bottom w:w="0" w:type="dxa"/>
            <w:right w:w="108" w:type="dxa"/>
          </w:tblCellMar>
        </w:tblPrEx>
        <w:trPr>
          <w:gridAfter w:val="1"/>
          <w:wAfter w:w="117"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kern w:val="2"/>
                <w:sz w:val="18"/>
                <w:szCs w:val="18"/>
                <w:u w:val="none"/>
                <w:lang w:val="en-US" w:eastAsia="zh-CN" w:bidi="ar-SA"/>
              </w:rPr>
            </w:pPr>
            <w:r>
              <w:rPr>
                <w:rFonts w:hint="default" w:ascii="等线" w:hAnsi="等线" w:eastAsia="等线" w:cs="等线"/>
                <w:i w:val="0"/>
                <w:iCs w:val="0"/>
                <w:color w:val="000000"/>
                <w:kern w:val="0"/>
                <w:sz w:val="18"/>
                <w:szCs w:val="18"/>
                <w:u w:val="none"/>
                <w:lang w:val="en-US" w:eastAsia="zh-CN" w:bidi="ar"/>
              </w:rPr>
              <w:t>学生、家长、教职工满意度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附表4：</w:t>
      </w:r>
    </w:p>
    <w:p>
      <w:pPr>
        <w:pStyle w:val="2"/>
        <w:rPr>
          <w:rFonts w:hint="eastAsia"/>
          <w:lang w:val="zh-CN"/>
        </w:rPr>
      </w:pP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69"/>
        <w:gridCol w:w="618"/>
        <w:gridCol w:w="161"/>
        <w:gridCol w:w="1892"/>
        <w:gridCol w:w="338"/>
        <w:gridCol w:w="963"/>
        <w:gridCol w:w="1013"/>
        <w:gridCol w:w="729"/>
        <w:gridCol w:w="702"/>
        <w:gridCol w:w="609"/>
        <w:gridCol w:w="1275"/>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2022年特定目标类部门预算项目绩效目标自评</w:t>
            </w:r>
          </w:p>
          <w:p>
            <w:pPr>
              <w:widowControl/>
              <w:jc w:val="center"/>
              <w:textAlignment w:val="center"/>
              <w:rPr>
                <w:rFonts w:ascii="宋体" w:hAnsi="宋体" w:eastAsia="宋体" w:cs="宋体"/>
                <w:b/>
                <w:color w:val="000000"/>
                <w:szCs w:val="32"/>
              </w:rPr>
            </w:pPr>
            <w:r>
              <w:rPr>
                <w:rFonts w:hint="eastAsia" w:ascii="宋体" w:hAnsi="宋体" w:eastAsia="宋体" w:cs="宋体"/>
                <w:b/>
                <w:color w:val="000000"/>
                <w:szCs w:val="32"/>
              </w:rPr>
              <w:t>（项目名称：购买安保服务专项）</w:t>
            </w:r>
          </w:p>
        </w:tc>
      </w:tr>
      <w:tr>
        <w:tblPrEx>
          <w:tblCellMar>
            <w:top w:w="0" w:type="dxa"/>
            <w:left w:w="108" w:type="dxa"/>
            <w:bottom w:w="0" w:type="dxa"/>
            <w:right w:w="108" w:type="dxa"/>
          </w:tblCellMar>
        </w:tblPrEx>
        <w:trPr>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达川区南坝幼儿园</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达川区教育局</w:t>
            </w:r>
          </w:p>
        </w:tc>
      </w:tr>
      <w:tr>
        <w:tblPrEx>
          <w:tblCellMar>
            <w:top w:w="0" w:type="dxa"/>
            <w:left w:w="108" w:type="dxa"/>
            <w:bottom w:w="0" w:type="dxa"/>
            <w:right w:w="108" w:type="dxa"/>
          </w:tblCellMar>
        </w:tblPrEx>
        <w:trPr>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项目预算</w:t>
            </w:r>
          </w:p>
          <w:p>
            <w:pPr>
              <w:widowControl/>
              <w:spacing w:line="32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执行情况</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3.00</w:t>
            </w:r>
          </w:p>
        </w:tc>
      </w:tr>
      <w:tr>
        <w:tblPrEx>
          <w:tblCellMar>
            <w:top w:w="0" w:type="dxa"/>
            <w:left w:w="108" w:type="dxa"/>
            <w:bottom w:w="0" w:type="dxa"/>
            <w:right w:w="108" w:type="dxa"/>
          </w:tblCellMar>
        </w:tblPrEx>
        <w:trPr>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0</w:t>
            </w:r>
          </w:p>
        </w:tc>
      </w:tr>
      <w:tr>
        <w:tblPrEx>
          <w:tblCellMar>
            <w:top w:w="0" w:type="dxa"/>
            <w:left w:w="108" w:type="dxa"/>
            <w:bottom w:w="0" w:type="dxa"/>
            <w:right w:w="108" w:type="dxa"/>
          </w:tblCellMar>
        </w:tblPrEx>
        <w:trPr>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年度总体目标</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目标实际完成情况</w:t>
            </w:r>
          </w:p>
        </w:tc>
      </w:tr>
      <w:tr>
        <w:tblPrEx>
          <w:tblCellMar>
            <w:top w:w="0" w:type="dxa"/>
            <w:left w:w="108" w:type="dxa"/>
            <w:bottom w:w="0" w:type="dxa"/>
            <w:right w:w="108" w:type="dxa"/>
          </w:tblCellMar>
        </w:tblPrEx>
        <w:trPr>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2022年内计划发放学校物业管理服务费3万元，涉及补贴对象数量2人，目的是维护学校正常教育教学秩序，保障学校及师生的人身、财产安全。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实际完成指标值</w:t>
            </w:r>
          </w:p>
        </w:tc>
      </w:tr>
      <w:tr>
        <w:tblPrEx>
          <w:tblCellMar>
            <w:top w:w="0" w:type="dxa"/>
            <w:left w:w="108" w:type="dxa"/>
            <w:bottom w:w="0" w:type="dxa"/>
            <w:right w:w="108" w:type="dxa"/>
          </w:tblCellMar>
        </w:tblPrEx>
        <w:trPr>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kern w:val="0"/>
                <w:sz w:val="20"/>
                <w:szCs w:val="20"/>
                <w:lang w:bidi="ar"/>
              </w:rPr>
            </w:pPr>
            <w:r>
              <w:rPr>
                <w:rFonts w:hint="eastAsia" w:ascii="仿宋_GB2312" w:hAnsi="仿宋_GB2312" w:cs="仿宋_GB2312"/>
                <w:color w:val="000000"/>
                <w:kern w:val="0"/>
                <w:sz w:val="20"/>
                <w:szCs w:val="20"/>
                <w:lang w:bidi="ar"/>
              </w:rPr>
              <w:t>完成</w:t>
            </w:r>
          </w:p>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2人</w:t>
            </w:r>
          </w:p>
        </w:tc>
      </w:tr>
      <w:tr>
        <w:tblPrEx>
          <w:tblCellMar>
            <w:top w:w="0" w:type="dxa"/>
            <w:left w:w="108" w:type="dxa"/>
            <w:bottom w:w="0" w:type="dxa"/>
            <w:right w:w="108" w:type="dxa"/>
          </w:tblCellMar>
        </w:tblPrEx>
        <w:trPr>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3万元/人年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3万元/人年</w:t>
            </w:r>
          </w:p>
        </w:tc>
      </w:tr>
      <w:tr>
        <w:tblPrEx>
          <w:tblCellMar>
            <w:top w:w="0" w:type="dxa"/>
            <w:left w:w="108" w:type="dxa"/>
            <w:bottom w:w="0" w:type="dxa"/>
            <w:right w:w="108" w:type="dxa"/>
          </w:tblCellMar>
        </w:tblPrEx>
        <w:trPr>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rFonts w:hint="eastAsia"/>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100%</w:t>
            </w:r>
          </w:p>
        </w:tc>
      </w:tr>
      <w:tr>
        <w:tblPrEx>
          <w:tblCellMar>
            <w:top w:w="0" w:type="dxa"/>
            <w:left w:w="108" w:type="dxa"/>
            <w:bottom w:w="0" w:type="dxa"/>
            <w:right w:w="108" w:type="dxa"/>
          </w:tblCellMar>
        </w:tblPrEx>
        <w:trPr>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cs="仿宋_GB2312"/>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r>
              <w:rPr>
                <w:rFonts w:hint="eastAsia"/>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优</w:t>
            </w:r>
          </w:p>
        </w:tc>
      </w:tr>
      <w:tr>
        <w:tblPrEx>
          <w:tblCellMar>
            <w:top w:w="0" w:type="dxa"/>
            <w:left w:w="108" w:type="dxa"/>
            <w:bottom w:w="0" w:type="dxa"/>
            <w:right w:w="108" w:type="dxa"/>
          </w:tblCellMar>
        </w:tblPrEx>
        <w:trPr>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ascii="仿宋_GB2312" w:hAnsi="仿宋_GB2312" w:cs="仿宋_GB2312"/>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仿宋_GB2312" w:hAnsi="仿宋_GB2312" w:cs="仿宋_GB2312"/>
                <w:color w:val="000000"/>
                <w:sz w:val="20"/>
                <w:szCs w:val="20"/>
              </w:rPr>
            </w:pPr>
            <w:r>
              <w:rPr>
                <w:rFonts w:hint="eastAsia" w:ascii="仿宋_GB2312" w:hAnsi="仿宋_GB2312" w:cs="仿宋_GB2312"/>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cs="仿宋_GB2312"/>
                <w:color w:val="000000"/>
                <w:sz w:val="20"/>
                <w:szCs w:val="20"/>
              </w:rPr>
            </w:pPr>
            <w:r>
              <w:rPr>
                <w:rFonts w:hint="eastAsia" w:ascii="仿宋_GB2312" w:hAnsi="仿宋_GB2312" w:cs="仿宋_GB2312"/>
                <w:color w:val="000000"/>
                <w:sz w:val="20"/>
                <w:szCs w:val="20"/>
              </w:rPr>
              <w:t>100%</w:t>
            </w:r>
          </w:p>
        </w:tc>
      </w:tr>
    </w:tbl>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pStyle w:val="2"/>
        <w:rPr>
          <w:rFonts w:hint="eastAsia"/>
          <w:lang w:val="zh-CN"/>
        </w:rPr>
      </w:pPr>
    </w:p>
    <w:p>
      <w:pPr>
        <w:pStyle w:val="2"/>
        <w:rPr>
          <w:rFonts w:hint="eastAsia" w:ascii="仿宋_GB2312" w:hAnsi="宋体" w:cs="宋体"/>
          <w:b w:val="0"/>
          <w:bCs w:val="0"/>
          <w:color w:val="000000" w:themeColor="text1"/>
          <w:kern w:val="0"/>
          <w:szCs w:val="32"/>
          <w:highlight w:val="red"/>
          <w:shd w:val="clear" w:color="auto" w:fill="FFFFFF"/>
          <w:lang w:val="zh-CN"/>
          <w14:textFill>
            <w14:solidFill>
              <w14:schemeClr w14:val="tx1"/>
            </w14:solidFill>
          </w14:textFill>
        </w:rPr>
      </w:pPr>
    </w:p>
    <w:p>
      <w:pPr>
        <w:rPr>
          <w:rFonts w:hint="eastAsia"/>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5" w:charSpace="0"/>
        </w:sectPr>
      </w:pPr>
    </w:p>
    <w:tbl>
      <w:tblPr>
        <w:tblStyle w:val="5"/>
        <w:tblW w:w="142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附件6：</w:t>
            </w:r>
          </w:p>
        </w:tc>
        <w:tc>
          <w:tcPr>
            <w:tcW w:w="66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4"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87"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6"/>
                <w:szCs w:val="16"/>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69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达川区南坝幼儿园2023年整体支出绩效评价指标体系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bCs/>
                <w:i w:val="0"/>
                <w:iCs w:val="0"/>
                <w:color w:val="000000"/>
                <w:sz w:val="18"/>
                <w:szCs w:val="18"/>
                <w:u w:val="none"/>
                <w:lang w:val="en-US" w:eastAsia="zh-CN"/>
              </w:rPr>
            </w:pP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93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部门</w:t>
            </w:r>
            <w:r>
              <w:rPr>
                <w:rFonts w:hint="eastAsia" w:ascii="宋体" w:hAnsi="宋体" w:eastAsia="宋体" w:cs="宋体"/>
                <w:i w:val="0"/>
                <w:iCs w:val="0"/>
                <w:color w:val="FF0000"/>
                <w:kern w:val="0"/>
                <w:sz w:val="15"/>
                <w:szCs w:val="15"/>
                <w:u w:val="none"/>
                <w:lang w:val="en-US" w:eastAsia="zh-CN" w:bidi="ar"/>
              </w:rPr>
              <w:t>自评范围为部门所有纳入绩效目标管理的部门预算项目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部门预算执行进度在6、9、11月应达到序时进度的80%、90%、</w:t>
            </w:r>
            <w:r>
              <w:rPr>
                <w:rFonts w:hint="eastAsia" w:ascii="宋体" w:hAnsi="宋体" w:eastAsia="宋体" w:cs="宋体"/>
                <w:i w:val="0"/>
                <w:iCs w:val="0"/>
                <w:color w:val="FF0000"/>
                <w:kern w:val="0"/>
                <w:sz w:val="18"/>
                <w:szCs w:val="18"/>
                <w:u w:val="none"/>
                <w:lang w:val="en-US" w:eastAsia="zh-CN" w:bidi="ar"/>
              </w:rPr>
              <w:t>95%</w:t>
            </w:r>
            <w:r>
              <w:rPr>
                <w:rFonts w:hint="eastAsia" w:ascii="宋体" w:hAnsi="宋体" w:eastAsia="宋体" w:cs="宋体"/>
                <w:i w:val="0"/>
                <w:iCs w:val="0"/>
                <w:color w:val="000000"/>
                <w:kern w:val="0"/>
                <w:sz w:val="18"/>
                <w:szCs w:val="18"/>
                <w:u w:val="none"/>
                <w:lang w:val="en-US" w:eastAsia="zh-CN" w:bidi="ar"/>
              </w:rPr>
              <w:t xml:space="preserve">，即实际支出进度分别达到40%、67.5%、82.5%。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（低效无效率）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pStyle w:val="2"/>
        <w:rPr>
          <w:rFonts w:hint="eastAsia"/>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64C869-2310-4A8D-967D-2CAAEA7ABA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8B2607D-DE2C-4857-8C1A-5FB4CA1DFCF0}"/>
  </w:font>
  <w:font w:name="方正小标宋_GBK">
    <w:panose1 w:val="03000509000000000000"/>
    <w:charset w:val="86"/>
    <w:family w:val="auto"/>
    <w:pitch w:val="default"/>
    <w:sig w:usb0="00000001" w:usb1="080E0000" w:usb2="00000000" w:usb3="00000000" w:csb0="00040000" w:csb1="00000000"/>
    <w:embedRegular r:id="rId3" w:fontKey="{54C52845-768D-47C4-BB61-AA4EBA3FEAA0}"/>
  </w:font>
  <w:font w:name="仿宋">
    <w:panose1 w:val="02010609060101010101"/>
    <w:charset w:val="86"/>
    <w:family w:val="modern"/>
    <w:pitch w:val="default"/>
    <w:sig w:usb0="800002BF" w:usb1="38CF7CFA" w:usb2="00000016" w:usb3="00000000" w:csb0="00040001" w:csb1="00000000"/>
    <w:embedRegular r:id="rId4" w:fontKey="{7DD7B5FF-E64A-4444-B5C4-1653027908F9}"/>
  </w:font>
  <w:font w:name="方正仿宋_GBK">
    <w:panose1 w:val="03000509000000000000"/>
    <w:charset w:val="86"/>
    <w:family w:val="auto"/>
    <w:pitch w:val="default"/>
    <w:sig w:usb0="00000001" w:usb1="080E0000" w:usb2="00000000" w:usb3="00000000" w:csb0="00040000" w:csb1="00000000"/>
    <w:embedRegular r:id="rId5" w:fontKey="{34B72695-1B21-4950-B2F3-E0F0847F03F0}"/>
  </w:font>
  <w:font w:name="方正黑体_GBK">
    <w:panose1 w:val="03000509000000000000"/>
    <w:charset w:val="86"/>
    <w:family w:val="auto"/>
    <w:pitch w:val="default"/>
    <w:sig w:usb0="00000001" w:usb1="080E0000" w:usb2="00000000" w:usb3="00000000" w:csb0="00040000" w:csb1="00000000"/>
    <w:embedRegular r:id="rId6" w:fontKey="{740F5B90-3F39-4426-8C50-1112C7C81454}"/>
  </w:font>
  <w:font w:name="方正楷体_GBK">
    <w:panose1 w:val="03000509000000000000"/>
    <w:charset w:val="86"/>
    <w:family w:val="auto"/>
    <w:pitch w:val="default"/>
    <w:sig w:usb0="00000001" w:usb1="080E0000" w:usb2="00000000" w:usb3="00000000" w:csb0="00040000" w:csb1="00000000"/>
    <w:embedRegular r:id="rId7" w:fontKey="{03691FD6-DA69-4D87-8307-8BDC112CB3CE}"/>
  </w:font>
  <w:font w:name="楷体_GB2312">
    <w:panose1 w:val="02010609030101010101"/>
    <w:charset w:val="86"/>
    <w:family w:val="modern"/>
    <w:pitch w:val="default"/>
    <w:sig w:usb0="00000001" w:usb1="080E0000" w:usb2="00000000" w:usb3="00000000" w:csb0="00040000" w:csb1="00000000"/>
    <w:embedRegular r:id="rId8" w:fontKey="{FC4CD521-552C-49F7-A498-1DC52CD6AA45}"/>
  </w:font>
  <w:font w:name="等线">
    <w:panose1 w:val="02010600030101010101"/>
    <w:charset w:val="86"/>
    <w:family w:val="auto"/>
    <w:pitch w:val="default"/>
    <w:sig w:usb0="A00002BF" w:usb1="38CF7CFA" w:usb2="00000016" w:usb3="00000000" w:csb0="0004000F" w:csb1="00000000"/>
    <w:embedRegular r:id="rId9" w:fontKey="{E202D62A-FB62-4387-B2EA-EB20C200967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C7128"/>
    <w:multiLevelType w:val="singleLevel"/>
    <w:tmpl w:val="09CC71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E5Mzc2YjQyYjkyOTE3NDY0Yjg4ZjFkNDJiNWYifQ=="/>
  </w:docVars>
  <w:rsids>
    <w:rsidRoot w:val="24DD0D9F"/>
    <w:rsid w:val="004E502D"/>
    <w:rsid w:val="00667963"/>
    <w:rsid w:val="008F4A47"/>
    <w:rsid w:val="00C77B0F"/>
    <w:rsid w:val="02546A72"/>
    <w:rsid w:val="02675F92"/>
    <w:rsid w:val="030777EC"/>
    <w:rsid w:val="0329668A"/>
    <w:rsid w:val="0345351B"/>
    <w:rsid w:val="035D3297"/>
    <w:rsid w:val="038B7230"/>
    <w:rsid w:val="03EE05AA"/>
    <w:rsid w:val="03F2150D"/>
    <w:rsid w:val="03F34AF1"/>
    <w:rsid w:val="03F93B1B"/>
    <w:rsid w:val="046D40D6"/>
    <w:rsid w:val="04A80415"/>
    <w:rsid w:val="05160BC6"/>
    <w:rsid w:val="053553CA"/>
    <w:rsid w:val="05485DF6"/>
    <w:rsid w:val="05CD4745"/>
    <w:rsid w:val="06302C4A"/>
    <w:rsid w:val="06874187"/>
    <w:rsid w:val="06A0572A"/>
    <w:rsid w:val="06F86E33"/>
    <w:rsid w:val="07157053"/>
    <w:rsid w:val="077F41EF"/>
    <w:rsid w:val="07A56FBB"/>
    <w:rsid w:val="084D5D0C"/>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462918"/>
    <w:rsid w:val="0E6D3530"/>
    <w:rsid w:val="0ED35B18"/>
    <w:rsid w:val="0EE05570"/>
    <w:rsid w:val="0EEA0603"/>
    <w:rsid w:val="0F7C0A5E"/>
    <w:rsid w:val="10347C6B"/>
    <w:rsid w:val="105113E1"/>
    <w:rsid w:val="10F35A79"/>
    <w:rsid w:val="11340302"/>
    <w:rsid w:val="1176045B"/>
    <w:rsid w:val="118B5F8A"/>
    <w:rsid w:val="120D5781"/>
    <w:rsid w:val="12420353"/>
    <w:rsid w:val="12B66520"/>
    <w:rsid w:val="13276A0E"/>
    <w:rsid w:val="133F5EF7"/>
    <w:rsid w:val="13702C49"/>
    <w:rsid w:val="137D6C5D"/>
    <w:rsid w:val="13844C50"/>
    <w:rsid w:val="145D29CB"/>
    <w:rsid w:val="14863F75"/>
    <w:rsid w:val="14F56125"/>
    <w:rsid w:val="15D023E1"/>
    <w:rsid w:val="16126DDA"/>
    <w:rsid w:val="16CB091A"/>
    <w:rsid w:val="17244A9A"/>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8901A5"/>
    <w:rsid w:val="1D9D4633"/>
    <w:rsid w:val="1DD71937"/>
    <w:rsid w:val="1DD71A40"/>
    <w:rsid w:val="1E4525F0"/>
    <w:rsid w:val="1E800ECE"/>
    <w:rsid w:val="1E811F2D"/>
    <w:rsid w:val="1EAA14DD"/>
    <w:rsid w:val="1EAF0002"/>
    <w:rsid w:val="1ED41261"/>
    <w:rsid w:val="1F051986"/>
    <w:rsid w:val="1FBF7AA1"/>
    <w:rsid w:val="20203410"/>
    <w:rsid w:val="20292739"/>
    <w:rsid w:val="205F1DDC"/>
    <w:rsid w:val="206300A8"/>
    <w:rsid w:val="207B38A4"/>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21951"/>
    <w:rsid w:val="27F75D2D"/>
    <w:rsid w:val="281007E5"/>
    <w:rsid w:val="284819FF"/>
    <w:rsid w:val="28EC0C2B"/>
    <w:rsid w:val="28EF5908"/>
    <w:rsid w:val="28FB3842"/>
    <w:rsid w:val="29A72857"/>
    <w:rsid w:val="29BB2FBA"/>
    <w:rsid w:val="29D64754"/>
    <w:rsid w:val="2A3B4896"/>
    <w:rsid w:val="2AB44067"/>
    <w:rsid w:val="2AF431BC"/>
    <w:rsid w:val="2B8F1ED2"/>
    <w:rsid w:val="2BFE1A74"/>
    <w:rsid w:val="2C1A12E0"/>
    <w:rsid w:val="2C276DF0"/>
    <w:rsid w:val="2C970772"/>
    <w:rsid w:val="2CD45AC9"/>
    <w:rsid w:val="2D2C09C7"/>
    <w:rsid w:val="2D951D4E"/>
    <w:rsid w:val="2D97648F"/>
    <w:rsid w:val="2E0A4DE3"/>
    <w:rsid w:val="2E5D5E8C"/>
    <w:rsid w:val="2E914D5E"/>
    <w:rsid w:val="2F3054D7"/>
    <w:rsid w:val="2FE54655"/>
    <w:rsid w:val="30460994"/>
    <w:rsid w:val="318B1005"/>
    <w:rsid w:val="31950B3C"/>
    <w:rsid w:val="32350E38"/>
    <w:rsid w:val="325E210A"/>
    <w:rsid w:val="328C4682"/>
    <w:rsid w:val="32AB3878"/>
    <w:rsid w:val="32E34FD8"/>
    <w:rsid w:val="331E668C"/>
    <w:rsid w:val="341A67FB"/>
    <w:rsid w:val="352F19CD"/>
    <w:rsid w:val="36316C35"/>
    <w:rsid w:val="36AD0CC0"/>
    <w:rsid w:val="36E9371D"/>
    <w:rsid w:val="3777766B"/>
    <w:rsid w:val="37896841"/>
    <w:rsid w:val="37E64902"/>
    <w:rsid w:val="38120B24"/>
    <w:rsid w:val="381E75D8"/>
    <w:rsid w:val="384E46DC"/>
    <w:rsid w:val="38D11145"/>
    <w:rsid w:val="38EF5871"/>
    <w:rsid w:val="39523466"/>
    <w:rsid w:val="3A176A0C"/>
    <w:rsid w:val="3ADB44C6"/>
    <w:rsid w:val="3B4E1B66"/>
    <w:rsid w:val="3B927FC0"/>
    <w:rsid w:val="3B973F04"/>
    <w:rsid w:val="3BA1661B"/>
    <w:rsid w:val="3C0D76D7"/>
    <w:rsid w:val="3C313453"/>
    <w:rsid w:val="3C4168BF"/>
    <w:rsid w:val="3C6C1155"/>
    <w:rsid w:val="3D3B070D"/>
    <w:rsid w:val="3E581A30"/>
    <w:rsid w:val="3EC531C0"/>
    <w:rsid w:val="3EF436BA"/>
    <w:rsid w:val="3EF43A7A"/>
    <w:rsid w:val="3F1B51C8"/>
    <w:rsid w:val="3F864857"/>
    <w:rsid w:val="3FA64212"/>
    <w:rsid w:val="3FB34286"/>
    <w:rsid w:val="3FCA10BA"/>
    <w:rsid w:val="403B4E5B"/>
    <w:rsid w:val="407D1676"/>
    <w:rsid w:val="40C9514D"/>
    <w:rsid w:val="41574677"/>
    <w:rsid w:val="430B26BB"/>
    <w:rsid w:val="430F052D"/>
    <w:rsid w:val="432711BB"/>
    <w:rsid w:val="437F29F8"/>
    <w:rsid w:val="43A833B4"/>
    <w:rsid w:val="44512840"/>
    <w:rsid w:val="44EB4583"/>
    <w:rsid w:val="453E5ADB"/>
    <w:rsid w:val="459221AF"/>
    <w:rsid w:val="45A0681F"/>
    <w:rsid w:val="45AA1447"/>
    <w:rsid w:val="467A2B43"/>
    <w:rsid w:val="46B64F68"/>
    <w:rsid w:val="471E3036"/>
    <w:rsid w:val="475447B9"/>
    <w:rsid w:val="47B553DC"/>
    <w:rsid w:val="47C812FA"/>
    <w:rsid w:val="481212DA"/>
    <w:rsid w:val="48344F93"/>
    <w:rsid w:val="48CA6540"/>
    <w:rsid w:val="492E25E8"/>
    <w:rsid w:val="494D5B12"/>
    <w:rsid w:val="496C59D8"/>
    <w:rsid w:val="4A294BF0"/>
    <w:rsid w:val="4ABB6F11"/>
    <w:rsid w:val="4ADE6B3E"/>
    <w:rsid w:val="4B0F5DBD"/>
    <w:rsid w:val="4B840F58"/>
    <w:rsid w:val="4BC46433"/>
    <w:rsid w:val="4C0C2FE0"/>
    <w:rsid w:val="4CD77D18"/>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8B71AA"/>
    <w:rsid w:val="53F457AC"/>
    <w:rsid w:val="54011CBD"/>
    <w:rsid w:val="54E60E9E"/>
    <w:rsid w:val="54EB3797"/>
    <w:rsid w:val="55256529"/>
    <w:rsid w:val="55E01770"/>
    <w:rsid w:val="56765354"/>
    <w:rsid w:val="57C1696A"/>
    <w:rsid w:val="57D16367"/>
    <w:rsid w:val="57F468E6"/>
    <w:rsid w:val="58DC4DC9"/>
    <w:rsid w:val="594B05CE"/>
    <w:rsid w:val="598D7122"/>
    <w:rsid w:val="59AC533B"/>
    <w:rsid w:val="5A5773F1"/>
    <w:rsid w:val="5A9C7A2D"/>
    <w:rsid w:val="5AA67CE7"/>
    <w:rsid w:val="5ACA788E"/>
    <w:rsid w:val="5B570375"/>
    <w:rsid w:val="5B5D1179"/>
    <w:rsid w:val="5B650361"/>
    <w:rsid w:val="5BAC74A6"/>
    <w:rsid w:val="5BB112D2"/>
    <w:rsid w:val="5CCA7E92"/>
    <w:rsid w:val="5D2E44D2"/>
    <w:rsid w:val="5D4B5084"/>
    <w:rsid w:val="5E8B00E2"/>
    <w:rsid w:val="5EA72CF2"/>
    <w:rsid w:val="5F1836CD"/>
    <w:rsid w:val="5F497AD2"/>
    <w:rsid w:val="5F5844DC"/>
    <w:rsid w:val="5F734876"/>
    <w:rsid w:val="5F7B095B"/>
    <w:rsid w:val="5FC45888"/>
    <w:rsid w:val="607B3DA1"/>
    <w:rsid w:val="60BF0CD2"/>
    <w:rsid w:val="60F24CDB"/>
    <w:rsid w:val="6187621A"/>
    <w:rsid w:val="62C70D09"/>
    <w:rsid w:val="63690766"/>
    <w:rsid w:val="63A83743"/>
    <w:rsid w:val="63B57B8D"/>
    <w:rsid w:val="63EC1FDA"/>
    <w:rsid w:val="64D84A58"/>
    <w:rsid w:val="651833E8"/>
    <w:rsid w:val="65836EA5"/>
    <w:rsid w:val="65FF0204"/>
    <w:rsid w:val="66633E6E"/>
    <w:rsid w:val="66703465"/>
    <w:rsid w:val="66931727"/>
    <w:rsid w:val="67570EB1"/>
    <w:rsid w:val="67647781"/>
    <w:rsid w:val="68EF6D3E"/>
    <w:rsid w:val="693D23AB"/>
    <w:rsid w:val="694A02F2"/>
    <w:rsid w:val="69CF799B"/>
    <w:rsid w:val="6A542C1F"/>
    <w:rsid w:val="6B731339"/>
    <w:rsid w:val="6B995F45"/>
    <w:rsid w:val="6C940E00"/>
    <w:rsid w:val="6D1241A0"/>
    <w:rsid w:val="6E406318"/>
    <w:rsid w:val="6F6C2DCC"/>
    <w:rsid w:val="707B3132"/>
    <w:rsid w:val="70BE708F"/>
    <w:rsid w:val="71982220"/>
    <w:rsid w:val="71E35433"/>
    <w:rsid w:val="71FE401B"/>
    <w:rsid w:val="72352623"/>
    <w:rsid w:val="723E4C29"/>
    <w:rsid w:val="72C8211B"/>
    <w:rsid w:val="735B0C23"/>
    <w:rsid w:val="73BD1ADF"/>
    <w:rsid w:val="73E9130F"/>
    <w:rsid w:val="746A213F"/>
    <w:rsid w:val="75CA667B"/>
    <w:rsid w:val="75E635B5"/>
    <w:rsid w:val="77636A64"/>
    <w:rsid w:val="778E46D4"/>
    <w:rsid w:val="77C6261E"/>
    <w:rsid w:val="77EA25B1"/>
    <w:rsid w:val="787D7EFC"/>
    <w:rsid w:val="78A81A5C"/>
    <w:rsid w:val="790243F1"/>
    <w:rsid w:val="796A35B7"/>
    <w:rsid w:val="79710303"/>
    <w:rsid w:val="7A3E4ED4"/>
    <w:rsid w:val="7A802674"/>
    <w:rsid w:val="7AB06959"/>
    <w:rsid w:val="7B0001E5"/>
    <w:rsid w:val="7B89704B"/>
    <w:rsid w:val="7BF62539"/>
    <w:rsid w:val="7C305C04"/>
    <w:rsid w:val="7D007E4C"/>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6383</Words>
  <Characters>6848</Characters>
  <Lines>0</Lines>
  <Paragraphs>0</Paragraphs>
  <TotalTime>15</TotalTime>
  <ScaleCrop>false</ScaleCrop>
  <LinksUpToDate>false</LinksUpToDate>
  <CharactersWithSpaces>7520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2023-03-17T07:44:00Z</dcterms:created>
  <dc:creator>WPS_1676363659</dc:creator>
  <cp:lastModifiedBy>蓝色永恒</cp:lastModifiedBy>
  <dcterms:modified xsi:type="dcterms:W3CDTF">2023-04-18T03:23:10Z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AE19C68C866E4F36BD8829F1C1A31B4E</vt:lpwstr>
  </property>
</Properties>
</file>