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达州市达川区万家镇黄都卫生院</w:t>
      </w:r>
    </w:p>
    <w:p>
      <w:pPr>
        <w:widowControl/>
        <w:spacing w:line="578"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关于2023年开展单位整体支出</w:t>
      </w:r>
    </w:p>
    <w:p>
      <w:pPr>
        <w:widowControl/>
        <w:spacing w:line="578" w:lineRule="exact"/>
        <w:contextualSpacing/>
        <w:jc w:val="center"/>
        <w:rPr>
          <w:rFonts w:ascii="方正小标宋_GBK" w:hAnsi="方正小标宋_GBK" w:eastAsia="方正小标宋_GBK" w:cs="方正小标宋_GBK"/>
          <w:bCs/>
          <w:color w:val="000000" w:themeColor="text1"/>
          <w:sz w:val="44"/>
          <w:szCs w:val="44"/>
          <w:shd w:val="clear" w:color="auto" w:fill="FFFFFF"/>
        </w:rPr>
      </w:pPr>
      <w:r>
        <w:rPr>
          <w:rFonts w:hint="eastAsia" w:ascii="方正小标宋_GBK" w:hAnsi="方正小标宋_GBK" w:eastAsia="方正小标宋_GBK" w:cs="方正小标宋_GBK"/>
          <w:bCs/>
          <w:color w:val="000000" w:themeColor="text1"/>
          <w:sz w:val="44"/>
          <w:szCs w:val="44"/>
          <w:shd w:val="clear" w:color="auto" w:fill="FFFFFF"/>
        </w:rPr>
        <w:t>绩效评价的报告</w:t>
      </w:r>
    </w:p>
    <w:p>
      <w:pPr>
        <w:tabs>
          <w:tab w:val="left" w:pos="3885"/>
        </w:tabs>
        <w:snapToGrid w:val="0"/>
        <w:spacing w:line="578" w:lineRule="exact"/>
        <w:rPr>
          <w:rFonts w:eastAsia="仿宋"/>
          <w:kern w:val="0"/>
          <w:szCs w:val="32"/>
        </w:rPr>
      </w:pPr>
    </w:p>
    <w:p>
      <w:pPr>
        <w:tabs>
          <w:tab w:val="left" w:pos="3885"/>
        </w:tabs>
        <w:snapToGrid w:val="0"/>
        <w:spacing w:line="578" w:lineRule="exact"/>
        <w:rPr>
          <w:rFonts w:eastAsia="方正仿宋_GBK"/>
          <w:bCs/>
          <w:color w:val="000000"/>
          <w:kern w:val="0"/>
          <w:shd w:val="clear" w:color="auto" w:fill="FFFFFF"/>
        </w:rPr>
      </w:pPr>
      <w:r>
        <w:rPr>
          <w:rFonts w:eastAsia="方正仿宋_GBK"/>
          <w:bCs/>
          <w:color w:val="000000"/>
          <w:kern w:val="0"/>
          <w:shd w:val="clear" w:color="auto" w:fill="FFFFFF"/>
        </w:rPr>
        <w:t>达州市达川区财政局：</w:t>
      </w:r>
    </w:p>
    <w:p>
      <w:pPr>
        <w:tabs>
          <w:tab w:val="left" w:pos="3885"/>
        </w:tabs>
        <w:snapToGrid w:val="0"/>
        <w:spacing w:line="578" w:lineRule="exact"/>
        <w:ind w:firstLine="640" w:firstLineChars="200"/>
        <w:rPr>
          <w:rFonts w:eastAsia="方正仿宋_GBK"/>
          <w:bCs/>
          <w:color w:val="000000"/>
          <w:kern w:val="0"/>
          <w:shd w:val="clear" w:color="auto" w:fill="FFFFFF"/>
        </w:rPr>
      </w:pPr>
      <w:r>
        <w:rPr>
          <w:rFonts w:eastAsia="方正仿宋_GBK"/>
          <w:bCs/>
          <w:color w:val="000000"/>
          <w:kern w:val="0"/>
          <w:shd w:val="clear" w:color="auto" w:fill="FFFFFF"/>
        </w:rPr>
        <w:t>按照达州市达川区财政局《关于开展2023年</w:t>
      </w:r>
      <w:r>
        <w:rPr>
          <w:rFonts w:hint="eastAsia" w:eastAsia="方正仿宋_GBK"/>
          <w:bCs/>
          <w:color w:val="000000"/>
          <w:kern w:val="0"/>
          <w:shd w:val="clear" w:color="auto" w:fill="FFFFFF"/>
        </w:rPr>
        <w:t>单位</w:t>
      </w:r>
      <w:r>
        <w:rPr>
          <w:rFonts w:eastAsia="方正仿宋_GBK"/>
          <w:bCs/>
          <w:color w:val="000000"/>
          <w:kern w:val="0"/>
          <w:shd w:val="clear" w:color="auto" w:fill="FFFFFF"/>
        </w:rPr>
        <w:t>、政策和项目支出绩效评价工作的通知》（达川财绩效〔2023〕9号）文件要求，现将本单位2023年开展</w:t>
      </w:r>
      <w:r>
        <w:rPr>
          <w:rFonts w:hint="eastAsia" w:eastAsia="方正仿宋_GBK"/>
          <w:bCs/>
          <w:color w:val="000000"/>
          <w:kern w:val="0"/>
          <w:shd w:val="clear" w:color="auto" w:fill="FFFFFF"/>
        </w:rPr>
        <w:t>单位</w:t>
      </w:r>
      <w:r>
        <w:rPr>
          <w:rFonts w:eastAsia="方正仿宋_GBK"/>
          <w:bCs/>
          <w:color w:val="000000"/>
          <w:kern w:val="0"/>
          <w:shd w:val="clear" w:color="auto" w:fill="FFFFFF"/>
        </w:rPr>
        <w:t>整体支出绩效评价情况报告如下：</w:t>
      </w:r>
    </w:p>
    <w:p>
      <w:pPr>
        <w:tabs>
          <w:tab w:val="left" w:pos="3885"/>
        </w:tabs>
        <w:snapToGrid w:val="0"/>
        <w:spacing w:line="578" w:lineRule="exact"/>
        <w:ind w:firstLine="640" w:firstLineChars="200"/>
        <w:rPr>
          <w:rFonts w:ascii="方正黑体_GBK" w:hAnsi="方正黑体_GBK" w:eastAsia="方正黑体_GBK" w:cs="方正黑体_GBK"/>
          <w:color w:val="000000"/>
          <w:kern w:val="0"/>
          <w:szCs w:val="32"/>
          <w:shd w:val="clear" w:color="auto" w:fill="FFFFFF"/>
          <w:lang w:val="zh-CN"/>
        </w:rPr>
      </w:pPr>
      <w:r>
        <w:rPr>
          <w:rFonts w:hint="eastAsia" w:ascii="方正黑体_GBK" w:hAnsi="方正黑体_GBK" w:eastAsia="方正黑体_GBK" w:cs="方正黑体_GBK"/>
          <w:color w:val="000000"/>
          <w:kern w:val="0"/>
          <w:szCs w:val="32"/>
          <w:shd w:val="clear" w:color="auto" w:fill="FFFFFF"/>
        </w:rPr>
        <w:t>一、</w:t>
      </w:r>
      <w:r>
        <w:rPr>
          <w:rFonts w:hint="eastAsia" w:ascii="方正黑体_GBK" w:hAnsi="方正黑体_GBK" w:eastAsia="方正黑体_GBK" w:cs="方正黑体_GBK"/>
          <w:color w:val="000000"/>
          <w:kern w:val="0"/>
          <w:szCs w:val="32"/>
          <w:shd w:val="clear" w:color="auto" w:fill="FFFFFF"/>
          <w:lang w:val="zh-CN"/>
        </w:rPr>
        <w:t>单位概况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highlight w:val="yellow"/>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（一）机构组成</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rPr>
        <w:t>达州市达川区万家镇黄都卫生院是达川区一级预算单位，是一所差额补助性全民所有制事业单位，属于公益一类乡镇卫生院。设有政府办公室、公共卫生科、医疗保险办公室等3个职能科室，开设有中西医内科、外科、放射科、检验科、手术室、等5个临床科室。</w:t>
      </w:r>
    </w:p>
    <w:p>
      <w:pPr>
        <w:widowControl/>
        <w:numPr>
          <w:ilvl w:val="0"/>
          <w:numId w:val="1"/>
        </w:numPr>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机构职能</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rPr>
        <w:t>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rPr>
        <w:t>的主要职能职责为：</w:t>
      </w:r>
      <w:r>
        <w:rPr>
          <w:rFonts w:eastAsia="方正仿宋_GBK"/>
          <w:bCs/>
          <w:color w:val="000000"/>
          <w:kern w:val="0"/>
          <w:shd w:val="clear" w:color="auto" w:fill="FFFFFF"/>
          <w:lang w:val="zh-CN"/>
        </w:rPr>
        <w:t>根据党的方针政策及</w:t>
      </w:r>
      <w:r>
        <w:rPr>
          <w:rFonts w:hint="eastAsia" w:eastAsia="方正仿宋_GBK"/>
          <w:bCs/>
          <w:color w:val="000000"/>
          <w:kern w:val="0"/>
          <w:shd w:val="clear" w:color="auto" w:fill="FFFFFF"/>
          <w:lang w:val="zh-CN"/>
        </w:rPr>
        <w:t>上级主管部门</w:t>
      </w:r>
      <w:r>
        <w:rPr>
          <w:rFonts w:eastAsia="方正仿宋_GBK"/>
          <w:bCs/>
          <w:color w:val="000000"/>
          <w:kern w:val="0"/>
          <w:shd w:val="clear" w:color="auto" w:fill="FFFFFF"/>
          <w:lang w:val="zh-CN"/>
        </w:rPr>
        <w:t>对基层卫生服务工作的总体要求、做好基层卫生服务行政业务工作，积极开展以</w:t>
      </w:r>
      <w:r>
        <w:rPr>
          <w:rFonts w:hint="eastAsia" w:eastAsia="方正仿宋_GBK"/>
          <w:bCs/>
          <w:color w:val="000000"/>
          <w:kern w:val="0"/>
          <w:shd w:val="clear" w:color="auto" w:fill="FFFFFF"/>
          <w:lang w:val="zh-CN"/>
        </w:rPr>
        <w:t>保障</w:t>
      </w:r>
      <w:r>
        <w:rPr>
          <w:rFonts w:eastAsia="方正仿宋_GBK"/>
          <w:bCs/>
          <w:color w:val="000000"/>
          <w:kern w:val="0"/>
          <w:shd w:val="clear" w:color="auto" w:fill="FFFFFF"/>
          <w:lang w:val="zh-CN"/>
        </w:rPr>
        <w:t>、促进人民健康，不断提高居民生活质量为目的的卫生保健工作，认真落实各项卫生工作指标。开展以辖区为范围，家庭为单位，健康为中心，人的生命为过程的以老年、妇女、儿童和慢性病人为重点的集预防、医疗、保健、康复、健康教育、计划生育指导为一体的综合性基层卫生服务。</w:t>
      </w:r>
    </w:p>
    <w:p>
      <w:pPr>
        <w:widowControl/>
        <w:numPr>
          <w:ilvl w:val="0"/>
          <w:numId w:val="1"/>
        </w:numPr>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人员概况</w:t>
      </w:r>
    </w:p>
    <w:p>
      <w:pPr>
        <w:pStyle w:val="10"/>
        <w:spacing w:line="578" w:lineRule="exact"/>
        <w:ind w:firstLine="640"/>
        <w:jc w:val="left"/>
        <w:rPr>
          <w:rFonts w:eastAsia="方正仿宋_GBK"/>
          <w:bCs/>
          <w:color w:val="000000"/>
          <w:kern w:val="0"/>
          <w:shd w:val="clear" w:color="auto" w:fill="FFFFFF"/>
          <w:lang w:val="zh-CN"/>
        </w:rPr>
      </w:pPr>
      <w:r>
        <w:rPr>
          <w:rFonts w:eastAsia="方正仿宋_GBK"/>
          <w:bCs/>
          <w:color w:val="000000"/>
          <w:kern w:val="0"/>
          <w:shd w:val="clear" w:color="auto" w:fill="FFFFFF"/>
          <w:lang w:val="zh-CN"/>
        </w:rPr>
        <w:t>年末实有人数</w:t>
      </w:r>
      <w:r>
        <w:rPr>
          <w:rFonts w:hint="eastAsia" w:eastAsia="方正仿宋_GBK"/>
          <w:bCs/>
          <w:color w:val="000000"/>
          <w:kern w:val="0"/>
          <w:shd w:val="clear" w:color="auto" w:fill="FFFFFF"/>
        </w:rPr>
        <w:t>18</w:t>
      </w:r>
      <w:r>
        <w:rPr>
          <w:rFonts w:eastAsia="方正仿宋_GBK"/>
          <w:bCs/>
          <w:color w:val="000000"/>
          <w:kern w:val="0"/>
          <w:shd w:val="clear" w:color="auto" w:fill="FFFFFF"/>
          <w:lang w:val="zh-CN"/>
        </w:rPr>
        <w:t>（含临聘</w:t>
      </w:r>
      <w:r>
        <w:rPr>
          <w:rFonts w:hint="eastAsia" w:eastAsia="方正仿宋_GBK"/>
          <w:bCs/>
          <w:color w:val="000000"/>
          <w:kern w:val="0"/>
          <w:shd w:val="clear" w:color="auto" w:fill="FFFFFF"/>
        </w:rPr>
        <w:t>5</w:t>
      </w:r>
      <w:r>
        <w:rPr>
          <w:rFonts w:eastAsia="方正仿宋_GBK"/>
          <w:bCs/>
          <w:color w:val="000000"/>
          <w:kern w:val="0"/>
          <w:shd w:val="clear" w:color="auto" w:fill="FFFFFF"/>
          <w:lang w:val="zh-CN"/>
        </w:rPr>
        <w:t>人）人，其中事业专技人员</w:t>
      </w:r>
      <w:r>
        <w:rPr>
          <w:rFonts w:hint="eastAsia" w:eastAsia="方正仿宋_GBK"/>
          <w:bCs/>
          <w:color w:val="000000"/>
          <w:kern w:val="0"/>
          <w:shd w:val="clear" w:color="auto" w:fill="FFFFFF"/>
        </w:rPr>
        <w:t>16</w:t>
      </w:r>
      <w:r>
        <w:rPr>
          <w:rFonts w:eastAsia="方正仿宋_GBK"/>
          <w:bCs/>
          <w:color w:val="000000"/>
          <w:kern w:val="0"/>
          <w:shd w:val="clear" w:color="auto" w:fill="FFFFFF"/>
          <w:lang w:val="zh-CN"/>
        </w:rPr>
        <w:t>人、事业工勤人员</w:t>
      </w:r>
      <w:r>
        <w:rPr>
          <w:rFonts w:hint="eastAsia" w:eastAsia="方正仿宋_GBK"/>
          <w:bCs/>
          <w:color w:val="000000"/>
          <w:kern w:val="0"/>
          <w:shd w:val="clear" w:color="auto" w:fill="FFFFFF"/>
        </w:rPr>
        <w:t>2</w:t>
      </w:r>
      <w:r>
        <w:rPr>
          <w:rFonts w:eastAsia="方正仿宋_GBK"/>
          <w:bCs/>
          <w:color w:val="000000"/>
          <w:kern w:val="0"/>
          <w:shd w:val="clear" w:color="auto" w:fill="FFFFFF"/>
          <w:lang w:val="zh-CN"/>
        </w:rPr>
        <w:t>人、临聘人员</w:t>
      </w:r>
      <w:r>
        <w:rPr>
          <w:rFonts w:hint="eastAsia" w:eastAsia="方正仿宋_GBK"/>
          <w:bCs/>
          <w:color w:val="000000"/>
          <w:kern w:val="0"/>
          <w:shd w:val="clear" w:color="auto" w:fill="FFFFFF"/>
        </w:rPr>
        <w:t>5</w:t>
      </w:r>
      <w:r>
        <w:rPr>
          <w:rFonts w:eastAsia="方正仿宋_GBK"/>
          <w:bCs/>
          <w:color w:val="000000"/>
          <w:kern w:val="0"/>
          <w:shd w:val="clear" w:color="auto" w:fill="FFFFFF"/>
          <w:lang w:val="zh-CN"/>
        </w:rPr>
        <w:t>人；年末退休人员</w:t>
      </w:r>
      <w:r>
        <w:rPr>
          <w:rFonts w:hint="eastAsia" w:eastAsia="方正仿宋_GBK"/>
          <w:bCs/>
          <w:color w:val="000000"/>
          <w:kern w:val="0"/>
          <w:shd w:val="clear" w:color="auto" w:fill="FFFFFF"/>
        </w:rPr>
        <w:t>1</w:t>
      </w:r>
      <w:r>
        <w:rPr>
          <w:rFonts w:eastAsia="方正仿宋_GBK"/>
          <w:bCs/>
          <w:color w:val="000000"/>
          <w:kern w:val="0"/>
          <w:shd w:val="clear" w:color="auto" w:fill="FFFFFF"/>
          <w:lang w:val="zh-CN"/>
        </w:rPr>
        <w:t>人，遗属</w:t>
      </w:r>
      <w:r>
        <w:rPr>
          <w:rFonts w:hint="eastAsia" w:eastAsia="方正仿宋_GBK"/>
          <w:bCs/>
          <w:color w:val="000000"/>
          <w:kern w:val="0"/>
          <w:shd w:val="clear" w:color="auto" w:fill="FFFFFF"/>
        </w:rPr>
        <w:t>1</w:t>
      </w:r>
      <w:r>
        <w:rPr>
          <w:rFonts w:eastAsia="方正仿宋_GBK"/>
          <w:bCs/>
          <w:color w:val="000000"/>
          <w:kern w:val="0"/>
          <w:shd w:val="clear" w:color="auto" w:fill="FFFFFF"/>
          <w:lang w:val="zh-CN"/>
        </w:rPr>
        <w:t>人。</w:t>
      </w:r>
    </w:p>
    <w:p>
      <w:pPr>
        <w:widowControl/>
        <w:numPr>
          <w:ilvl w:val="0"/>
          <w:numId w:val="2"/>
        </w:numPr>
        <w:adjustRightInd w:val="0"/>
        <w:snapToGrid w:val="0"/>
        <w:spacing w:line="578" w:lineRule="exact"/>
        <w:ind w:firstLine="640" w:firstLineChars="200"/>
        <w:contextualSpacing/>
        <w:rPr>
          <w:rFonts w:ascii="方正黑体_GBK" w:hAnsi="方正黑体_GBK" w:eastAsia="方正黑体_GBK" w:cs="方正黑体_GBK"/>
          <w:color w:val="000000"/>
          <w:kern w:val="0"/>
          <w:szCs w:val="32"/>
          <w:shd w:val="clear" w:color="auto" w:fill="FFFFFF"/>
        </w:rPr>
      </w:pPr>
      <w:r>
        <w:rPr>
          <w:rFonts w:hint="eastAsia" w:ascii="方正黑体_GBK" w:hAnsi="方正黑体_GBK" w:eastAsia="方正黑体_GBK" w:cs="方正黑体_GBK"/>
          <w:color w:val="000000"/>
          <w:kern w:val="0"/>
          <w:szCs w:val="32"/>
          <w:shd w:val="clear" w:color="auto" w:fill="FFFFFF"/>
        </w:rPr>
        <w:t>部门财政资金收支情况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（一）部门财政资金收入情况</w:t>
      </w:r>
    </w:p>
    <w:p>
      <w:pPr>
        <w:pStyle w:val="10"/>
        <w:spacing w:line="578" w:lineRule="exact"/>
        <w:ind w:firstLine="640"/>
        <w:rPr>
          <w:rFonts w:eastAsia="方正仿宋_GBK"/>
          <w:bCs/>
          <w:color w:val="000000"/>
          <w:kern w:val="0"/>
          <w:shd w:val="clear" w:color="auto" w:fill="FFFFFF"/>
          <w:lang w:val="zh-CN"/>
        </w:rPr>
      </w:pPr>
      <w:r>
        <w:rPr>
          <w:rFonts w:hint="eastAsia" w:eastAsia="方正仿宋_GBK"/>
          <w:bCs/>
          <w:color w:val="000000"/>
          <w:kern w:val="0"/>
          <w:shd w:val="clear" w:color="auto" w:fill="FFFFFF"/>
          <w:lang w:val="zh-CN"/>
        </w:rPr>
        <w:t>2022年年初预算收入</w:t>
      </w:r>
      <w:r>
        <w:rPr>
          <w:rFonts w:hint="eastAsia" w:eastAsia="方正仿宋_GBK"/>
          <w:bCs/>
          <w:color w:val="000000"/>
          <w:kern w:val="0"/>
          <w:shd w:val="clear" w:color="auto" w:fill="FFFFFF"/>
        </w:rPr>
        <w:t>87.84</w:t>
      </w:r>
      <w:r>
        <w:rPr>
          <w:rFonts w:hint="eastAsia" w:eastAsia="方正仿宋_GBK"/>
          <w:bCs/>
          <w:color w:val="000000"/>
          <w:kern w:val="0"/>
          <w:shd w:val="clear" w:color="auto" w:fill="FFFFFF"/>
          <w:lang w:val="zh-CN"/>
        </w:rPr>
        <w:t>万元，年初结转和结余</w:t>
      </w:r>
      <w:r>
        <w:rPr>
          <w:rFonts w:hint="eastAsia" w:eastAsia="方正仿宋_GBK"/>
          <w:bCs/>
          <w:color w:val="000000"/>
          <w:kern w:val="0"/>
          <w:shd w:val="clear" w:color="auto" w:fill="FFFFFF"/>
        </w:rPr>
        <w:t>142.46</w:t>
      </w:r>
      <w:r>
        <w:rPr>
          <w:rFonts w:hint="eastAsia" w:eastAsia="方正仿宋_GBK"/>
          <w:bCs/>
          <w:color w:val="000000"/>
          <w:kern w:val="0"/>
          <w:shd w:val="clear" w:color="auto" w:fill="FFFFFF"/>
          <w:lang w:val="zh-CN"/>
        </w:rPr>
        <w:t>万元</w:t>
      </w:r>
      <w:r>
        <w:rPr>
          <w:rFonts w:hint="eastAsia" w:eastAsia="方正仿宋_GBK"/>
          <w:bCs/>
          <w:kern w:val="0"/>
          <w:shd w:val="clear" w:color="auto" w:fill="FFFFFF"/>
          <w:lang w:val="zh-CN"/>
        </w:rPr>
        <w:t>，年中追减预算</w:t>
      </w:r>
      <w:r>
        <w:rPr>
          <w:rFonts w:hint="eastAsia" w:eastAsia="方正仿宋_GBK"/>
          <w:bCs/>
          <w:kern w:val="0"/>
          <w:shd w:val="clear" w:color="auto" w:fill="FFFFFF"/>
        </w:rPr>
        <w:t>39.50</w:t>
      </w:r>
      <w:r>
        <w:rPr>
          <w:rFonts w:hint="eastAsia" w:eastAsia="方正仿宋_GBK"/>
          <w:bCs/>
          <w:kern w:val="0"/>
          <w:shd w:val="clear" w:color="auto" w:fill="FFFFFF"/>
          <w:lang w:val="zh-CN"/>
        </w:rPr>
        <w:t>万元</w:t>
      </w:r>
      <w:r>
        <w:rPr>
          <w:rFonts w:hint="eastAsia" w:eastAsia="方正仿宋_GBK"/>
          <w:bCs/>
          <w:color w:val="000000"/>
          <w:kern w:val="0"/>
          <w:shd w:val="clear" w:color="auto" w:fill="FFFFFF"/>
          <w:lang w:val="zh-CN"/>
        </w:rPr>
        <w:t>，年终决算收入</w:t>
      </w:r>
      <w:r>
        <w:rPr>
          <w:rFonts w:hint="eastAsia" w:eastAsia="方正仿宋_GBK"/>
          <w:bCs/>
          <w:color w:val="000000"/>
          <w:kern w:val="0"/>
          <w:shd w:val="clear" w:color="auto" w:fill="FFFFFF"/>
        </w:rPr>
        <w:t>48.34</w:t>
      </w:r>
      <w:r>
        <w:rPr>
          <w:rFonts w:hint="eastAsia" w:eastAsia="方正仿宋_GBK"/>
          <w:bCs/>
          <w:color w:val="000000"/>
          <w:kern w:val="0"/>
          <w:shd w:val="clear" w:color="auto" w:fill="FFFFFF"/>
          <w:lang w:val="zh-CN"/>
        </w:rPr>
        <w:t>万元。</w:t>
      </w:r>
    </w:p>
    <w:p>
      <w:pPr>
        <w:widowControl/>
        <w:adjustRightInd w:val="0"/>
        <w:snapToGrid w:val="0"/>
        <w:spacing w:line="578" w:lineRule="exact"/>
        <w:ind w:firstLine="640" w:firstLineChars="200"/>
        <w:contextualSpacing/>
        <w:rPr>
          <w:rFonts w:eastAsia="方正楷体_GBK"/>
          <w:color w:val="000000"/>
          <w:kern w:val="0"/>
          <w:szCs w:val="32"/>
          <w:shd w:val="clear" w:color="auto" w:fill="FFFFFF"/>
          <w:lang w:val="zh-CN"/>
        </w:rPr>
      </w:pPr>
      <w:r>
        <w:rPr>
          <w:rFonts w:eastAsia="方正楷体_GBK"/>
          <w:color w:val="000000"/>
          <w:kern w:val="0"/>
          <w:szCs w:val="32"/>
          <w:shd w:val="clear" w:color="auto" w:fill="FFFFFF"/>
          <w:lang w:val="zh-CN"/>
        </w:rPr>
        <w:t>（</w:t>
      </w:r>
      <w:r>
        <w:rPr>
          <w:rFonts w:eastAsia="方正楷体_GBK"/>
          <w:color w:val="000000"/>
          <w:kern w:val="0"/>
          <w:szCs w:val="32"/>
          <w:shd w:val="clear" w:color="auto" w:fill="FFFFFF"/>
        </w:rPr>
        <w:t>二</w:t>
      </w:r>
      <w:r>
        <w:rPr>
          <w:rFonts w:eastAsia="方正楷体_GBK"/>
          <w:color w:val="000000"/>
          <w:kern w:val="0"/>
          <w:szCs w:val="32"/>
          <w:shd w:val="clear" w:color="auto" w:fill="FFFFFF"/>
          <w:lang w:val="zh-CN"/>
        </w:rPr>
        <w:t>）部门财政资金支出情况</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20</w:t>
      </w:r>
      <w:r>
        <w:rPr>
          <w:rFonts w:eastAsia="方正仿宋_GBK"/>
          <w:bCs/>
          <w:color w:val="000000"/>
          <w:kern w:val="0"/>
          <w:shd w:val="clear" w:color="auto" w:fill="FFFFFF"/>
        </w:rPr>
        <w:t>22</w:t>
      </w:r>
      <w:r>
        <w:rPr>
          <w:rFonts w:eastAsia="方正仿宋_GBK"/>
          <w:bCs/>
          <w:color w:val="000000"/>
          <w:kern w:val="0"/>
          <w:shd w:val="clear" w:color="auto" w:fill="FFFFFF"/>
          <w:lang w:val="zh-CN"/>
        </w:rPr>
        <w:t>年达州市达川区万家镇黄都卫生院单位本年支出</w:t>
      </w:r>
      <w:r>
        <w:rPr>
          <w:rFonts w:eastAsia="方正仿宋_GBK"/>
          <w:bCs/>
          <w:color w:val="000000"/>
          <w:kern w:val="0"/>
          <w:shd w:val="clear" w:color="auto" w:fill="FFFFFF"/>
        </w:rPr>
        <w:t>48.34</w:t>
      </w:r>
      <w:r>
        <w:rPr>
          <w:rFonts w:eastAsia="方正仿宋_GBK"/>
          <w:bCs/>
          <w:color w:val="000000"/>
          <w:kern w:val="0"/>
          <w:shd w:val="clear" w:color="auto" w:fill="FFFFFF"/>
          <w:lang w:val="zh-CN"/>
        </w:rPr>
        <w:t>万元，其中：基本支出</w:t>
      </w:r>
      <w:r>
        <w:rPr>
          <w:rFonts w:eastAsia="方正仿宋_GBK"/>
          <w:bCs/>
          <w:color w:val="000000"/>
          <w:kern w:val="0"/>
          <w:shd w:val="clear" w:color="auto" w:fill="FFFFFF"/>
        </w:rPr>
        <w:t>35.28</w:t>
      </w:r>
      <w:r>
        <w:rPr>
          <w:rFonts w:eastAsia="方正仿宋_GBK"/>
          <w:bCs/>
          <w:color w:val="000000"/>
          <w:kern w:val="0"/>
          <w:shd w:val="clear" w:color="auto" w:fill="FFFFFF"/>
          <w:lang w:val="zh-CN"/>
        </w:rPr>
        <w:t>万元（人员经费</w:t>
      </w:r>
      <w:r>
        <w:rPr>
          <w:rFonts w:eastAsia="方正仿宋_GBK"/>
          <w:bCs/>
          <w:color w:val="000000"/>
          <w:kern w:val="0"/>
          <w:shd w:val="clear" w:color="auto" w:fill="FFFFFF"/>
        </w:rPr>
        <w:t>35.28</w:t>
      </w:r>
      <w:r>
        <w:rPr>
          <w:rFonts w:eastAsia="方正仿宋_GBK"/>
          <w:bCs/>
          <w:color w:val="000000"/>
          <w:kern w:val="0"/>
          <w:shd w:val="clear" w:color="auto" w:fill="FFFFFF"/>
          <w:lang w:val="zh-CN"/>
        </w:rPr>
        <w:t>万元），项目支出</w:t>
      </w:r>
      <w:r>
        <w:rPr>
          <w:rFonts w:eastAsia="方正仿宋_GBK"/>
          <w:bCs/>
          <w:color w:val="000000"/>
          <w:kern w:val="0"/>
          <w:shd w:val="clear" w:color="auto" w:fill="FFFFFF"/>
        </w:rPr>
        <w:t>13.06</w:t>
      </w:r>
      <w:r>
        <w:rPr>
          <w:rFonts w:eastAsia="方正仿宋_GBK"/>
          <w:bCs/>
          <w:color w:val="000000"/>
          <w:kern w:val="0"/>
          <w:shd w:val="clear" w:color="auto" w:fill="FFFFFF"/>
          <w:lang w:val="zh-CN"/>
        </w:rPr>
        <w:t>万元（其中公共卫生服务项目支出</w:t>
      </w:r>
      <w:r>
        <w:rPr>
          <w:rFonts w:eastAsia="方正仿宋_GBK"/>
          <w:bCs/>
          <w:color w:val="000000"/>
          <w:kern w:val="0"/>
          <w:shd w:val="clear" w:color="auto" w:fill="FFFFFF"/>
        </w:rPr>
        <w:t>8.94</w:t>
      </w:r>
      <w:r>
        <w:rPr>
          <w:rFonts w:eastAsia="方正仿宋_GBK"/>
          <w:bCs/>
          <w:color w:val="000000"/>
          <w:kern w:val="0"/>
          <w:shd w:val="clear" w:color="auto" w:fill="FFFFFF"/>
          <w:lang w:val="zh-CN"/>
        </w:rPr>
        <w:t>万元，实施基本药物制度项目支出</w:t>
      </w:r>
      <w:r>
        <w:rPr>
          <w:rFonts w:eastAsia="方正仿宋_GBK"/>
          <w:bCs/>
          <w:color w:val="000000"/>
          <w:kern w:val="0"/>
          <w:shd w:val="clear" w:color="auto" w:fill="FFFFFF"/>
        </w:rPr>
        <w:t>4.12</w:t>
      </w:r>
      <w:r>
        <w:rPr>
          <w:rFonts w:eastAsia="方正仿宋_GBK"/>
          <w:bCs/>
          <w:color w:val="000000"/>
          <w:kern w:val="0"/>
          <w:shd w:val="clear" w:color="auto" w:fill="FFFFFF"/>
          <w:lang w:val="zh-CN"/>
        </w:rPr>
        <w:t>万元）。</w:t>
      </w:r>
    </w:p>
    <w:p>
      <w:pPr>
        <w:widowControl/>
        <w:adjustRightInd w:val="0"/>
        <w:snapToGrid w:val="0"/>
        <w:spacing w:line="578" w:lineRule="exact"/>
        <w:ind w:firstLine="640" w:firstLineChars="200"/>
        <w:contextualSpacing/>
        <w:rPr>
          <w:rFonts w:eastAsia="方正楷体_GBK"/>
          <w:color w:val="000000"/>
          <w:kern w:val="0"/>
          <w:szCs w:val="32"/>
          <w:shd w:val="clear" w:color="auto" w:fill="FFFFFF"/>
          <w:lang w:val="zh-CN"/>
        </w:rPr>
      </w:pPr>
      <w:r>
        <w:rPr>
          <w:rFonts w:eastAsia="方正楷体_GBK"/>
          <w:color w:val="000000"/>
          <w:kern w:val="0"/>
          <w:szCs w:val="32"/>
          <w:shd w:val="clear" w:color="auto" w:fill="FFFFFF"/>
          <w:lang w:val="zh-CN"/>
        </w:rPr>
        <w:t>（</w:t>
      </w:r>
      <w:r>
        <w:rPr>
          <w:rFonts w:eastAsia="方正楷体_GBK"/>
          <w:color w:val="000000"/>
          <w:kern w:val="0"/>
          <w:szCs w:val="32"/>
          <w:shd w:val="clear" w:color="auto" w:fill="FFFFFF"/>
        </w:rPr>
        <w:t>三</w:t>
      </w:r>
      <w:r>
        <w:rPr>
          <w:rFonts w:eastAsia="方正楷体_GBK"/>
          <w:color w:val="000000"/>
          <w:kern w:val="0"/>
          <w:szCs w:val="32"/>
          <w:shd w:val="clear" w:color="auto" w:fill="FFFFFF"/>
          <w:lang w:val="zh-CN"/>
        </w:rPr>
        <w:t>）部门财政收入结转结余情况</w:t>
      </w:r>
    </w:p>
    <w:p>
      <w:pPr>
        <w:pStyle w:val="10"/>
        <w:spacing w:line="578" w:lineRule="exact"/>
        <w:ind w:firstLine="640"/>
        <w:rPr>
          <w:rFonts w:eastAsia="方正仿宋_GBK"/>
          <w:bCs/>
          <w:color w:val="000000"/>
          <w:kern w:val="0"/>
          <w:shd w:val="clear" w:color="auto" w:fill="FFFFFF"/>
          <w:lang w:val="zh-CN"/>
        </w:rPr>
      </w:pPr>
      <w:r>
        <w:rPr>
          <w:rFonts w:hint="eastAsia" w:eastAsia="方正仿宋_GBK"/>
          <w:bCs/>
          <w:color w:val="000000"/>
          <w:kern w:val="0"/>
          <w:shd w:val="clear" w:color="auto" w:fill="FFFFFF"/>
        </w:rPr>
        <w:t>2022</w:t>
      </w:r>
      <w:r>
        <w:rPr>
          <w:rFonts w:eastAsia="方正仿宋_GBK"/>
          <w:bCs/>
          <w:color w:val="000000"/>
          <w:kern w:val="0"/>
          <w:shd w:val="clear" w:color="auto" w:fill="FFFFFF"/>
          <w:lang w:val="zh-CN"/>
        </w:rPr>
        <w:t>年年末财政拨款结转和结余</w:t>
      </w:r>
      <w:r>
        <w:rPr>
          <w:rFonts w:hint="eastAsia" w:eastAsia="方正仿宋_GBK"/>
          <w:bCs/>
          <w:color w:val="000000"/>
          <w:kern w:val="0"/>
          <w:shd w:val="clear" w:color="auto" w:fill="FFFFFF"/>
        </w:rPr>
        <w:t>142.46</w:t>
      </w:r>
      <w:r>
        <w:rPr>
          <w:rFonts w:eastAsia="方正仿宋_GBK"/>
          <w:bCs/>
          <w:color w:val="000000"/>
          <w:kern w:val="0"/>
          <w:shd w:val="clear" w:color="auto" w:fill="FFFFFF"/>
          <w:lang w:val="zh-CN"/>
        </w:rPr>
        <w:t>万元。</w:t>
      </w:r>
    </w:p>
    <w:p>
      <w:pPr>
        <w:widowControl/>
        <w:adjustRightInd w:val="0"/>
        <w:snapToGrid w:val="0"/>
        <w:spacing w:line="578" w:lineRule="exact"/>
        <w:ind w:firstLine="640" w:firstLineChars="200"/>
        <w:contextualSpacing/>
        <w:rPr>
          <w:rFonts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color w:val="000000"/>
          <w:kern w:val="0"/>
          <w:szCs w:val="32"/>
          <w:shd w:val="clear" w:color="auto" w:fill="FFFFFF"/>
        </w:rPr>
        <w:t>三、部门整体预算绩效管理情况</w:t>
      </w:r>
    </w:p>
    <w:p>
      <w:pPr>
        <w:widowControl/>
        <w:adjustRightInd w:val="0"/>
        <w:snapToGrid w:val="0"/>
        <w:spacing w:line="578" w:lineRule="exact"/>
        <w:ind w:firstLine="640" w:firstLineChars="200"/>
        <w:contextualSpacing/>
        <w:rPr>
          <w:rFonts w:ascii="方正楷体_GBK" w:hAnsi="方正楷体_GBK" w:eastAsia="方正楷体_GBK" w:cs="方正楷体_GBK"/>
          <w:color w:val="000000"/>
          <w:kern w:val="0"/>
          <w:szCs w:val="32"/>
          <w:shd w:val="clear" w:color="auto" w:fill="FFFFFF"/>
          <w:lang w:val="zh-CN"/>
        </w:rPr>
      </w:pPr>
      <w:r>
        <w:rPr>
          <w:rFonts w:hint="eastAsia" w:ascii="方正楷体_GBK" w:hAnsi="方正楷体_GBK" w:eastAsia="方正楷体_GBK" w:cs="方正楷体_GBK"/>
          <w:color w:val="000000"/>
          <w:kern w:val="0"/>
          <w:szCs w:val="32"/>
          <w:shd w:val="clear" w:color="auto" w:fill="FFFFFF"/>
          <w:lang w:val="zh-CN"/>
        </w:rPr>
        <w:t>（</w:t>
      </w:r>
      <w:r>
        <w:rPr>
          <w:rFonts w:hint="eastAsia" w:ascii="方正楷体_GBK" w:hAnsi="方正楷体_GBK" w:eastAsia="方正楷体_GBK" w:cs="方正楷体_GBK"/>
          <w:color w:val="000000"/>
          <w:kern w:val="0"/>
          <w:szCs w:val="32"/>
          <w:shd w:val="clear" w:color="auto" w:fill="FFFFFF"/>
        </w:rPr>
        <w:t>一</w:t>
      </w:r>
      <w:r>
        <w:rPr>
          <w:rFonts w:hint="eastAsia" w:ascii="方正楷体_GBK" w:hAnsi="方正楷体_GBK" w:eastAsia="方正楷体_GBK" w:cs="方正楷体_GBK"/>
          <w:color w:val="000000"/>
          <w:kern w:val="0"/>
          <w:szCs w:val="32"/>
          <w:shd w:val="clear" w:color="auto" w:fill="FFFFFF"/>
          <w:lang w:val="zh-CN"/>
        </w:rPr>
        <w:t>）总体工作情况</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设定的总体工作目标为</w:t>
      </w:r>
      <w:r>
        <w:rPr>
          <w:rFonts w:eastAsia="方正仿宋_GBK"/>
          <w:bCs/>
          <w:color w:val="000000"/>
          <w:kern w:val="0"/>
          <w:shd w:val="clear" w:color="auto" w:fill="FFFFFF"/>
        </w:rPr>
        <w:t>2022年内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w:t>
      </w:r>
      <w:bookmarkStart w:id="1" w:name="_GoBack"/>
      <w:bookmarkEnd w:id="1"/>
      <w:r>
        <w:rPr>
          <w:rFonts w:eastAsia="方正仿宋_GBK"/>
          <w:bCs/>
          <w:color w:val="000000"/>
          <w:kern w:val="0"/>
          <w:shd w:val="clear" w:color="auto" w:fill="FFFFFF"/>
        </w:rPr>
        <w:t>民和0-36个月常住儿童)、传染病及突发公共卫生事件报告和处理、卫生计生监督协管、免费提供避孕药具、健康素养促进服务，以确保基本公共卫生服务工作顺利有序开展。2022年内计划为辖区内常住人口</w:t>
      </w:r>
      <w:r>
        <w:rPr>
          <w:rFonts w:hint="eastAsia" w:eastAsia="方正仿宋_GBK"/>
          <w:bCs/>
          <w:color w:val="000000"/>
          <w:kern w:val="0"/>
          <w:shd w:val="clear" w:color="auto" w:fill="FFFFFF"/>
        </w:rPr>
        <w:t>10352</w:t>
      </w:r>
      <w:r>
        <w:rPr>
          <w:rFonts w:eastAsia="方正仿宋_GBK"/>
          <w:bCs/>
          <w:color w:val="000000"/>
          <w:kern w:val="0"/>
          <w:shd w:val="clear" w:color="auto" w:fill="FFFFFF"/>
        </w:rPr>
        <w:t>人提供基本药物补助，目的是为保障人民群众基本用药，提高基本医疗卫生服务及人民群众健康水平。为更高质量地完成整体绩效目标，我院科学量化重点项目绩效目标，确保预算编制的准确性，按照科学的测算依据按时完成2022年预算编制工作，2022年年终各项工作任务均全面完成，且完成质量达到整体预算绩效目标要求。</w:t>
      </w:r>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(二)部门预算管理情况</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的部门预算管理工作有序开展，现结合整体支出绩效评价指标体系，将主要情况总结如下:</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lang w:val="zh-CN"/>
        </w:rPr>
        <w:t>1.在“目标制定”方面，我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严格按照绩效目标制定的相关规定，结合本</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部门预算项目的实际情况，完整、合理地制定各项目的绩效目标，无要素遗漏，绩效指标基本做到细化量化。部门绩效目标纳入单位党组会集体决策范围。该项指标分值为5分，自评得分</w:t>
      </w:r>
      <w:r>
        <w:rPr>
          <w:rFonts w:eastAsia="方正仿宋_GBK"/>
          <w:bCs/>
          <w:color w:val="000000"/>
          <w:kern w:val="0"/>
          <w:shd w:val="clear" w:color="auto" w:fill="FFFFFF"/>
        </w:rPr>
        <w:t>5</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2.在“目标实现”方面，我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年共</w:t>
      </w:r>
      <w:r>
        <w:rPr>
          <w:rFonts w:eastAsia="方正仿宋_GBK"/>
          <w:bCs/>
          <w:color w:val="000000"/>
          <w:kern w:val="0"/>
          <w:shd w:val="clear" w:color="auto" w:fill="FFFFFF"/>
        </w:rPr>
        <w:t>2</w:t>
      </w:r>
      <w:r>
        <w:rPr>
          <w:rFonts w:eastAsia="方正仿宋_GBK"/>
          <w:bCs/>
          <w:color w:val="000000"/>
          <w:kern w:val="0"/>
          <w:shd w:val="clear" w:color="auto" w:fill="FFFFFF"/>
          <w:lang w:val="zh-CN"/>
        </w:rPr>
        <w:t>个部门预算项目，均属于特定目标类项目。部门所有纳入绩效目标管理的部门预算项目中涉及数量指标共计</w:t>
      </w:r>
      <w:r>
        <w:rPr>
          <w:rFonts w:eastAsia="方正仿宋_GBK"/>
          <w:bCs/>
          <w:color w:val="000000"/>
          <w:kern w:val="0"/>
          <w:shd w:val="clear" w:color="auto" w:fill="FFFFFF"/>
        </w:rPr>
        <w:t>2</w:t>
      </w:r>
      <w:r>
        <w:rPr>
          <w:rFonts w:eastAsia="方正仿宋_GBK"/>
          <w:bCs/>
          <w:color w:val="000000"/>
          <w:kern w:val="0"/>
          <w:shd w:val="clear" w:color="auto" w:fill="FFFFFF"/>
          <w:lang w:val="zh-CN"/>
        </w:rPr>
        <w:t>个，已完成数量为</w:t>
      </w:r>
      <w:r>
        <w:rPr>
          <w:rFonts w:eastAsia="方正仿宋_GBK"/>
          <w:bCs/>
          <w:color w:val="000000"/>
          <w:kern w:val="0"/>
          <w:shd w:val="clear" w:color="auto" w:fill="FFFFFF"/>
        </w:rPr>
        <w:t>2</w:t>
      </w:r>
      <w:r>
        <w:rPr>
          <w:rFonts w:eastAsia="方正仿宋_GBK"/>
          <w:bCs/>
          <w:color w:val="000000"/>
          <w:kern w:val="0"/>
          <w:shd w:val="clear" w:color="auto" w:fill="FFFFFF"/>
          <w:lang w:val="zh-CN"/>
        </w:rPr>
        <w:t>个。该项指标分值为10分，自评得分</w:t>
      </w:r>
      <w:r>
        <w:rPr>
          <w:rFonts w:hint="eastAsia" w:eastAsia="方正仿宋_GBK"/>
          <w:bCs/>
          <w:color w:val="000000"/>
          <w:kern w:val="0"/>
          <w:shd w:val="clear" w:color="auto" w:fill="FFFFFF"/>
        </w:rPr>
        <w:t>9</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3.在“支出控制”方面，我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年日常公用经费、项目支出中“办公费、印刷费、水费、电费、物业管理费”年初预算额</w:t>
      </w:r>
      <w:r>
        <w:rPr>
          <w:rFonts w:hint="eastAsia" w:eastAsia="方正仿宋_GBK"/>
          <w:bCs/>
          <w:color w:val="000000"/>
          <w:kern w:val="0"/>
          <w:shd w:val="clear" w:color="auto" w:fill="FFFFFF"/>
        </w:rPr>
        <w:t>0</w:t>
      </w:r>
      <w:r>
        <w:rPr>
          <w:rFonts w:eastAsia="方正仿宋_GBK"/>
          <w:bCs/>
          <w:color w:val="000000"/>
          <w:kern w:val="0"/>
          <w:shd w:val="clear" w:color="auto" w:fill="FFFFFF"/>
          <w:lang w:val="zh-CN"/>
        </w:rPr>
        <w:t>万元，年末决算数</w:t>
      </w:r>
      <w:r>
        <w:rPr>
          <w:rFonts w:hint="eastAsia" w:eastAsia="方正仿宋_GBK"/>
          <w:bCs/>
          <w:color w:val="000000"/>
          <w:kern w:val="0"/>
          <w:shd w:val="clear" w:color="auto" w:fill="FFFFFF"/>
        </w:rPr>
        <w:t>0</w:t>
      </w:r>
      <w:r>
        <w:rPr>
          <w:rFonts w:eastAsia="方正仿宋_GBK"/>
          <w:bCs/>
          <w:color w:val="000000"/>
          <w:kern w:val="0"/>
          <w:shd w:val="clear" w:color="auto" w:fill="FFFFFF"/>
          <w:lang w:val="zh-CN"/>
        </w:rPr>
        <w:t>万元，偏差度</w:t>
      </w:r>
      <w:r>
        <w:rPr>
          <w:rFonts w:hint="eastAsia" w:eastAsia="方正仿宋_GBK"/>
          <w:bCs/>
          <w:color w:val="000000"/>
          <w:kern w:val="0"/>
          <w:shd w:val="clear" w:color="auto" w:fill="FFFFFF"/>
        </w:rPr>
        <w:t>0</w:t>
      </w:r>
      <w:r>
        <w:rPr>
          <w:rFonts w:eastAsia="方正仿宋_GBK"/>
          <w:bCs/>
          <w:color w:val="000000"/>
          <w:kern w:val="0"/>
          <w:shd w:val="clear" w:color="auto" w:fill="FFFFFF"/>
          <w:lang w:val="zh-CN"/>
        </w:rPr>
        <w:t>。该项指标分值为2分，年初预算数与决算数偏差程度在10%以内的，自评得</w:t>
      </w:r>
      <w:r>
        <w:rPr>
          <w:rFonts w:eastAsia="方正仿宋_GBK"/>
          <w:bCs/>
          <w:color w:val="000000"/>
          <w:kern w:val="0"/>
          <w:shd w:val="clear" w:color="auto" w:fill="FFFFFF"/>
        </w:rPr>
        <w:t>1</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4.在“及时处置”方面，部门绩效监控调整取消额(</w:t>
      </w:r>
      <w:r>
        <w:rPr>
          <w:rFonts w:hint="eastAsia" w:eastAsia="方正仿宋_GBK"/>
          <w:bCs/>
          <w:color w:val="000000"/>
          <w:kern w:val="0"/>
          <w:shd w:val="clear" w:color="auto" w:fill="FFFFFF"/>
        </w:rPr>
        <w:t>0</w:t>
      </w:r>
      <w:r>
        <w:rPr>
          <w:rFonts w:eastAsia="方正仿宋_GBK"/>
          <w:bCs/>
          <w:color w:val="000000"/>
          <w:kern w:val="0"/>
          <w:shd w:val="clear" w:color="auto" w:fill="FFFFFF"/>
          <w:lang w:val="zh-CN"/>
        </w:rPr>
        <w:t>万元)和结余注销额(</w:t>
      </w:r>
      <w:r>
        <w:rPr>
          <w:rFonts w:hint="eastAsia" w:eastAsia="方正仿宋_GBK"/>
          <w:bCs/>
          <w:color w:val="000000"/>
          <w:kern w:val="0"/>
          <w:shd w:val="clear" w:color="auto" w:fill="FFFFFF"/>
        </w:rPr>
        <w:t>0</w:t>
      </w:r>
      <w:r>
        <w:rPr>
          <w:rFonts w:eastAsia="方正仿宋_GBK"/>
          <w:bCs/>
          <w:color w:val="000000"/>
          <w:kern w:val="0"/>
          <w:shd w:val="clear" w:color="auto" w:fill="FFFFFF"/>
          <w:lang w:val="zh-CN"/>
        </w:rPr>
        <w:t>万元)，该项指标分值为4分，指标自评得分</w:t>
      </w:r>
      <w:r>
        <w:rPr>
          <w:rFonts w:eastAsia="方正仿宋_GBK"/>
          <w:bCs/>
          <w:color w:val="000000"/>
          <w:kern w:val="0"/>
          <w:shd w:val="clear" w:color="auto" w:fill="FFFFFF"/>
        </w:rPr>
        <w:t>4分</w:t>
      </w:r>
      <w:r>
        <w:rPr>
          <w:rFonts w:eastAsia="方正仿宋_GBK"/>
          <w:bCs/>
          <w:color w:val="000000"/>
          <w:kern w:val="0"/>
          <w:shd w:val="clear" w:color="auto" w:fill="FFFFFF"/>
          <w:lang w:val="zh-CN"/>
        </w:rPr>
        <w:t>。</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5.在“执行进度”方面，根据系统提取数据显示，我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年6月、9月、11月执行进度分别为</w:t>
      </w:r>
      <w:r>
        <w:rPr>
          <w:rFonts w:hint="eastAsia" w:eastAsia="方正仿宋_GBK"/>
          <w:bCs/>
          <w:color w:val="000000"/>
          <w:kern w:val="0"/>
          <w:shd w:val="clear" w:color="auto" w:fill="FFFFFF"/>
        </w:rPr>
        <w:t>47.3</w:t>
      </w:r>
      <w:r>
        <w:rPr>
          <w:rFonts w:eastAsia="方正仿宋_GBK"/>
          <w:bCs/>
          <w:color w:val="000000"/>
          <w:kern w:val="0"/>
          <w:shd w:val="clear" w:color="auto" w:fill="FFFFFF"/>
          <w:lang w:val="zh-CN"/>
        </w:rPr>
        <w:t>%、</w:t>
      </w:r>
      <w:r>
        <w:rPr>
          <w:rFonts w:hint="eastAsia" w:eastAsia="方正仿宋_GBK"/>
          <w:bCs/>
          <w:color w:val="000000"/>
          <w:kern w:val="0"/>
          <w:shd w:val="clear" w:color="auto" w:fill="FFFFFF"/>
        </w:rPr>
        <w:t>47.3</w:t>
      </w:r>
      <w:r>
        <w:rPr>
          <w:rFonts w:eastAsia="方正仿宋_GBK"/>
          <w:bCs/>
          <w:color w:val="000000"/>
          <w:kern w:val="0"/>
          <w:shd w:val="clear" w:color="auto" w:fill="FFFFFF"/>
          <w:lang w:val="zh-CN"/>
        </w:rPr>
        <w:t>%、</w:t>
      </w:r>
      <w:r>
        <w:rPr>
          <w:rFonts w:hint="eastAsia" w:eastAsia="方正仿宋_GBK"/>
          <w:bCs/>
          <w:color w:val="000000"/>
          <w:kern w:val="0"/>
          <w:shd w:val="clear" w:color="auto" w:fill="FFFFFF"/>
        </w:rPr>
        <w:t>94.95</w:t>
      </w:r>
      <w:r>
        <w:rPr>
          <w:rFonts w:eastAsia="方正仿宋_GBK"/>
          <w:bCs/>
          <w:color w:val="000000"/>
          <w:kern w:val="0"/>
          <w:shd w:val="clear" w:color="auto" w:fill="FFFFFF"/>
          <w:lang w:val="zh-CN"/>
        </w:rPr>
        <w:t>%.该项指标分值为4分，按其实际进度占目标进度的比重计算得分</w:t>
      </w:r>
      <w:r>
        <w:rPr>
          <w:rFonts w:hint="eastAsia" w:eastAsia="方正仿宋_GBK"/>
          <w:bCs/>
          <w:color w:val="000000"/>
          <w:kern w:val="0"/>
          <w:shd w:val="clear" w:color="auto" w:fill="FFFFFF"/>
        </w:rPr>
        <w:t>3</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6.在“预算完成”方面，部门预算项目年末预算执行进度</w:t>
      </w:r>
      <w:r>
        <w:rPr>
          <w:rFonts w:eastAsia="方正仿宋_GBK"/>
          <w:bCs/>
          <w:color w:val="000000"/>
          <w:kern w:val="0"/>
          <w:shd w:val="clear" w:color="auto" w:fill="FFFFFF"/>
        </w:rPr>
        <w:t>100</w:t>
      </w:r>
      <w:r>
        <w:rPr>
          <w:rFonts w:eastAsia="方正仿宋_GBK"/>
          <w:bCs/>
          <w:color w:val="000000"/>
          <w:kern w:val="0"/>
          <w:shd w:val="clear" w:color="auto" w:fill="FFFFFF"/>
          <w:lang w:val="zh-CN"/>
        </w:rPr>
        <w:t>%。该项指标分值为5分，按照实际进度量化计算得分</w:t>
      </w:r>
      <w:r>
        <w:rPr>
          <w:rFonts w:eastAsia="方正仿宋_GBK"/>
          <w:bCs/>
          <w:color w:val="000000"/>
          <w:kern w:val="0"/>
          <w:shd w:val="clear" w:color="auto" w:fill="FFFFFF"/>
        </w:rPr>
        <w:t>5</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7.在“资金结余率”方面，我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部门预算项目共</w:t>
      </w:r>
      <w:r>
        <w:rPr>
          <w:rFonts w:eastAsia="方正仿宋_GBK"/>
          <w:bCs/>
          <w:color w:val="000000"/>
          <w:kern w:val="0"/>
          <w:shd w:val="clear" w:color="auto" w:fill="FFFFFF"/>
        </w:rPr>
        <w:t>2</w:t>
      </w:r>
      <w:r>
        <w:rPr>
          <w:rFonts w:eastAsia="方正仿宋_GBK"/>
          <w:bCs/>
          <w:color w:val="000000"/>
          <w:kern w:val="0"/>
          <w:shd w:val="clear" w:color="auto" w:fill="FFFFFF"/>
          <w:lang w:val="zh-CN"/>
        </w:rPr>
        <w:t>项，资金</w:t>
      </w:r>
      <w:r>
        <w:rPr>
          <w:rFonts w:hint="eastAsia" w:eastAsia="方正仿宋_GBK"/>
          <w:bCs/>
          <w:color w:val="000000"/>
          <w:kern w:val="0"/>
          <w:shd w:val="clear" w:color="auto" w:fill="FFFFFF"/>
          <w:lang w:val="zh-CN"/>
        </w:rPr>
        <w:t>结</w:t>
      </w:r>
      <w:r>
        <w:rPr>
          <w:rFonts w:eastAsia="方正仿宋_GBK"/>
          <w:bCs/>
          <w:color w:val="000000"/>
          <w:kern w:val="0"/>
          <w:shd w:val="clear" w:color="auto" w:fill="FFFFFF"/>
          <w:lang w:val="zh-CN"/>
        </w:rPr>
        <w:t>余率小于</w:t>
      </w:r>
      <w:r>
        <w:rPr>
          <w:rFonts w:eastAsia="方正仿宋_GBK"/>
          <w:bCs/>
          <w:color w:val="000000"/>
          <w:kern w:val="0"/>
          <w:shd w:val="clear" w:color="auto" w:fill="FFFFFF"/>
        </w:rPr>
        <w:t>0.1</w:t>
      </w:r>
      <w:r>
        <w:rPr>
          <w:rFonts w:eastAsia="方正仿宋_GBK"/>
          <w:bCs/>
          <w:color w:val="000000"/>
          <w:kern w:val="0"/>
          <w:shd w:val="clear" w:color="auto" w:fill="FFFFFF"/>
          <w:lang w:val="zh-CN"/>
        </w:rPr>
        <w:t>的项目数</w:t>
      </w:r>
      <w:r>
        <w:rPr>
          <w:rFonts w:eastAsia="方正仿宋_GBK"/>
          <w:bCs/>
          <w:color w:val="000000"/>
          <w:kern w:val="0"/>
          <w:shd w:val="clear" w:color="auto" w:fill="FFFFFF"/>
        </w:rPr>
        <w:t>2</w:t>
      </w:r>
      <w:r>
        <w:rPr>
          <w:rFonts w:eastAsia="方正仿宋_GBK"/>
          <w:bCs/>
          <w:color w:val="000000"/>
          <w:kern w:val="0"/>
          <w:shd w:val="clear" w:color="auto" w:fill="FFFFFF"/>
          <w:lang w:val="zh-CN"/>
        </w:rPr>
        <w:t>项。该项指标分值为8分，按照相应量化计算得分</w:t>
      </w:r>
      <w:r>
        <w:rPr>
          <w:rFonts w:eastAsia="方正仿宋_GBK"/>
          <w:bCs/>
          <w:color w:val="000000"/>
          <w:kern w:val="0"/>
          <w:shd w:val="clear" w:color="auto" w:fill="FFFFFF"/>
        </w:rPr>
        <w:t>8</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8.在违规记录上，我</w:t>
      </w:r>
      <w:r>
        <w:rPr>
          <w:rFonts w:hint="eastAsia" w:eastAsia="方正仿宋_GBK"/>
          <w:bCs/>
          <w:color w:val="000000"/>
          <w:kern w:val="0"/>
          <w:shd w:val="clear" w:color="auto" w:fill="FFFFFF"/>
          <w:lang w:val="zh-CN"/>
        </w:rPr>
        <w:t>单位</w:t>
      </w: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年没有出现部门预算管理方面违纪违规问题。该项指标分值为2分，自评得分2分。</w:t>
      </w:r>
      <w:bookmarkStart w:id="0" w:name="_Toc110955069"/>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（三）专项预算管理</w:t>
      </w:r>
      <w:bookmarkEnd w:id="0"/>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1.专项绩效的预算情况</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年度共有</w:t>
      </w:r>
      <w:r>
        <w:rPr>
          <w:rFonts w:eastAsia="方正仿宋_GBK"/>
          <w:bCs/>
          <w:color w:val="000000"/>
          <w:kern w:val="0"/>
          <w:shd w:val="clear" w:color="auto" w:fill="FFFFFF"/>
        </w:rPr>
        <w:t>2</w:t>
      </w:r>
      <w:r>
        <w:rPr>
          <w:rFonts w:eastAsia="方正仿宋_GBK"/>
          <w:bCs/>
          <w:color w:val="000000"/>
          <w:kern w:val="0"/>
          <w:shd w:val="clear" w:color="auto" w:fill="FFFFFF"/>
          <w:lang w:val="zh-CN"/>
        </w:rPr>
        <w:t>个项目，主要专项绩效预算情况</w:t>
      </w:r>
      <w:r>
        <w:rPr>
          <w:rFonts w:eastAsia="方正仿宋_GBK"/>
          <w:bCs/>
          <w:color w:val="000000"/>
          <w:kern w:val="0"/>
          <w:shd w:val="clear" w:color="auto" w:fill="FFFFFF"/>
        </w:rPr>
        <w:t>为</w:t>
      </w:r>
      <w:r>
        <w:rPr>
          <w:rFonts w:eastAsia="方正仿宋_GBK"/>
          <w:bCs/>
          <w:color w:val="000000"/>
          <w:kern w:val="0"/>
          <w:shd w:val="clear" w:color="auto" w:fill="FFFFFF"/>
          <w:lang w:val="zh-CN"/>
        </w:rPr>
        <w:t>：1、</w:t>
      </w:r>
      <w:r>
        <w:rPr>
          <w:rFonts w:eastAsia="方正仿宋_GBK"/>
          <w:bCs/>
          <w:color w:val="000000"/>
          <w:kern w:val="0"/>
          <w:shd w:val="clear" w:color="auto" w:fill="FFFFFF"/>
        </w:rPr>
        <w:t>基本公共卫生服务项目</w:t>
      </w:r>
      <w:r>
        <w:rPr>
          <w:rFonts w:hint="eastAsia" w:eastAsia="方正仿宋_GBK"/>
          <w:bCs/>
          <w:color w:val="000000"/>
          <w:kern w:val="0"/>
          <w:shd w:val="clear" w:color="auto" w:fill="FFFFFF"/>
        </w:rPr>
        <w:t>8.94</w:t>
      </w:r>
      <w:r>
        <w:rPr>
          <w:rFonts w:eastAsia="方正仿宋_GBK"/>
          <w:bCs/>
          <w:color w:val="000000"/>
          <w:kern w:val="0"/>
          <w:shd w:val="clear" w:color="auto" w:fill="FFFFFF"/>
          <w:lang w:val="zh-CN"/>
        </w:rPr>
        <w:t>万元，完成全年</w:t>
      </w:r>
      <w:r>
        <w:rPr>
          <w:rFonts w:hint="eastAsia" w:eastAsia="方正仿宋_GBK"/>
          <w:bCs/>
          <w:color w:val="000000"/>
          <w:kern w:val="0"/>
          <w:shd w:val="clear" w:color="auto" w:fill="FFFFFF"/>
          <w:lang w:val="zh-CN"/>
        </w:rPr>
        <w:t>基本公共卫生服务共十四项</w:t>
      </w:r>
      <w:r>
        <w:rPr>
          <w:rFonts w:eastAsia="方正仿宋_GBK"/>
          <w:bCs/>
          <w:color w:val="000000"/>
          <w:kern w:val="0"/>
          <w:shd w:val="clear" w:color="auto" w:fill="FFFFFF"/>
          <w:lang w:val="zh-CN"/>
        </w:rPr>
        <w:t>工作任务，</w:t>
      </w:r>
      <w:r>
        <w:rPr>
          <w:rFonts w:eastAsia="方正仿宋_GBK"/>
          <w:bCs/>
          <w:color w:val="000000"/>
          <w:kern w:val="0"/>
          <w:shd w:val="clear" w:color="auto" w:fill="FFFFFF"/>
        </w:rPr>
        <w:t>已完成</w:t>
      </w:r>
      <w:r>
        <w:rPr>
          <w:rFonts w:hint="eastAsia" w:eastAsia="方正仿宋_GBK"/>
          <w:bCs/>
          <w:color w:val="000000"/>
          <w:kern w:val="0"/>
          <w:shd w:val="clear" w:color="auto" w:fill="FFFFFF"/>
        </w:rPr>
        <w:t>率</w:t>
      </w:r>
      <w:r>
        <w:rPr>
          <w:rFonts w:eastAsia="方正仿宋_GBK"/>
          <w:bCs/>
          <w:color w:val="000000"/>
          <w:kern w:val="0"/>
          <w:shd w:val="clear" w:color="auto" w:fill="FFFFFF"/>
        </w:rPr>
        <w:t>100%；</w:t>
      </w:r>
      <w:r>
        <w:rPr>
          <w:rFonts w:eastAsia="方正仿宋_GBK"/>
          <w:bCs/>
          <w:color w:val="000000"/>
          <w:kern w:val="0"/>
          <w:shd w:val="clear" w:color="auto" w:fill="FFFFFF"/>
          <w:lang w:val="zh-CN"/>
        </w:rPr>
        <w:t>2、</w:t>
      </w:r>
      <w:r>
        <w:rPr>
          <w:rFonts w:eastAsia="方正仿宋_GBK"/>
          <w:bCs/>
          <w:color w:val="000000"/>
          <w:kern w:val="0"/>
          <w:shd w:val="clear" w:color="auto" w:fill="FFFFFF"/>
        </w:rPr>
        <w:t>国家基本药物制度项目</w:t>
      </w:r>
      <w:r>
        <w:rPr>
          <w:rFonts w:hint="eastAsia" w:eastAsia="方正仿宋_GBK"/>
          <w:bCs/>
          <w:color w:val="000000"/>
          <w:kern w:val="0"/>
          <w:shd w:val="clear" w:color="auto" w:fill="FFFFFF"/>
        </w:rPr>
        <w:t>4.12</w:t>
      </w:r>
      <w:r>
        <w:rPr>
          <w:rFonts w:eastAsia="方正仿宋_GBK"/>
          <w:bCs/>
          <w:color w:val="000000"/>
          <w:kern w:val="0"/>
          <w:shd w:val="clear" w:color="auto" w:fill="FFFFFF"/>
          <w:lang w:val="zh-CN"/>
        </w:rPr>
        <w:t>万元，</w:t>
      </w:r>
      <w:r>
        <w:rPr>
          <w:rFonts w:hint="eastAsia" w:eastAsia="方正仿宋_GBK"/>
          <w:bCs/>
          <w:color w:val="000000"/>
          <w:kern w:val="0"/>
          <w:shd w:val="clear" w:color="auto" w:fill="FFFFFF"/>
          <w:lang w:val="zh-CN"/>
        </w:rPr>
        <w:t>已</w:t>
      </w:r>
      <w:r>
        <w:rPr>
          <w:rFonts w:eastAsia="方正仿宋_GBK"/>
          <w:bCs/>
          <w:color w:val="000000"/>
          <w:kern w:val="0"/>
          <w:shd w:val="clear" w:color="auto" w:fill="FFFFFF"/>
          <w:lang w:val="zh-CN"/>
        </w:rPr>
        <w:t>完成全年工作任务</w:t>
      </w:r>
      <w:r>
        <w:rPr>
          <w:rFonts w:hint="eastAsia" w:eastAsia="方正仿宋_GBK"/>
          <w:bCs/>
          <w:color w:val="000000"/>
          <w:kern w:val="0"/>
          <w:shd w:val="clear" w:color="auto" w:fill="FFFFFF"/>
          <w:lang w:val="zh-CN"/>
        </w:rPr>
        <w:t>率达</w:t>
      </w:r>
      <w:r>
        <w:rPr>
          <w:rFonts w:eastAsia="方正仿宋_GBK"/>
          <w:bCs/>
          <w:color w:val="000000"/>
          <w:kern w:val="0"/>
          <w:shd w:val="clear" w:color="auto" w:fill="FFFFFF"/>
        </w:rPr>
        <w:t>100%。</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2.专项绩效的执行情况</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lang w:val="zh-CN"/>
        </w:rPr>
        <w:t>绩效目标项目年初有</w:t>
      </w:r>
      <w:r>
        <w:rPr>
          <w:rFonts w:eastAsia="方正仿宋_GBK"/>
          <w:bCs/>
          <w:color w:val="000000"/>
          <w:kern w:val="0"/>
          <w:shd w:val="clear" w:color="auto" w:fill="FFFFFF"/>
        </w:rPr>
        <w:t>2</w:t>
      </w:r>
      <w:r>
        <w:rPr>
          <w:rFonts w:eastAsia="方正仿宋_GBK"/>
          <w:bCs/>
          <w:color w:val="000000"/>
          <w:kern w:val="0"/>
          <w:shd w:val="clear" w:color="auto" w:fill="FFFFFF"/>
          <w:lang w:val="zh-CN"/>
        </w:rPr>
        <w:t>个，开展绩效评价项目</w:t>
      </w:r>
      <w:r>
        <w:rPr>
          <w:rFonts w:eastAsia="方正仿宋_GBK"/>
          <w:bCs/>
          <w:color w:val="000000"/>
          <w:kern w:val="0"/>
          <w:shd w:val="clear" w:color="auto" w:fill="FFFFFF"/>
        </w:rPr>
        <w:t>2</w:t>
      </w:r>
      <w:r>
        <w:rPr>
          <w:rFonts w:eastAsia="方正仿宋_GBK"/>
          <w:bCs/>
          <w:color w:val="000000"/>
          <w:kern w:val="0"/>
          <w:shd w:val="clear" w:color="auto" w:fill="FFFFFF"/>
          <w:lang w:val="zh-CN"/>
        </w:rPr>
        <w:t>个，开展自评项目数</w:t>
      </w:r>
      <w:r>
        <w:rPr>
          <w:rFonts w:eastAsia="方正仿宋_GBK"/>
          <w:bCs/>
          <w:color w:val="000000"/>
          <w:kern w:val="0"/>
          <w:shd w:val="clear" w:color="auto" w:fill="FFFFFF"/>
        </w:rPr>
        <w:t>2</w:t>
      </w:r>
      <w:r>
        <w:rPr>
          <w:rFonts w:eastAsia="方正仿宋_GBK"/>
          <w:bCs/>
          <w:color w:val="000000"/>
          <w:kern w:val="0"/>
          <w:shd w:val="clear" w:color="auto" w:fill="FFFFFF"/>
          <w:lang w:val="zh-CN"/>
        </w:rPr>
        <w:t>个，完成绩效评价数</w:t>
      </w:r>
      <w:r>
        <w:rPr>
          <w:rFonts w:eastAsia="方正仿宋_GBK"/>
          <w:bCs/>
          <w:color w:val="000000"/>
          <w:kern w:val="0"/>
          <w:shd w:val="clear" w:color="auto" w:fill="FFFFFF"/>
        </w:rPr>
        <w:t>2</w:t>
      </w:r>
      <w:r>
        <w:rPr>
          <w:rFonts w:eastAsia="方正仿宋_GBK"/>
          <w:bCs/>
          <w:color w:val="000000"/>
          <w:kern w:val="0"/>
          <w:shd w:val="clear" w:color="auto" w:fill="FFFFFF"/>
          <w:lang w:val="zh-CN"/>
        </w:rPr>
        <w:t>个；应填报绩效目标的项目数</w:t>
      </w:r>
      <w:r>
        <w:rPr>
          <w:rFonts w:eastAsia="方正仿宋_GBK"/>
          <w:bCs/>
          <w:color w:val="000000"/>
          <w:kern w:val="0"/>
          <w:shd w:val="clear" w:color="auto" w:fill="FFFFFF"/>
        </w:rPr>
        <w:t>2</w:t>
      </w:r>
      <w:r>
        <w:rPr>
          <w:rFonts w:eastAsia="方正仿宋_GBK"/>
          <w:bCs/>
          <w:color w:val="000000"/>
          <w:kern w:val="0"/>
          <w:shd w:val="clear" w:color="auto" w:fill="FFFFFF"/>
          <w:lang w:val="zh-CN"/>
        </w:rPr>
        <w:t>个应开展绩效监控的项目</w:t>
      </w:r>
      <w:r>
        <w:rPr>
          <w:rFonts w:eastAsia="方正仿宋_GBK"/>
          <w:bCs/>
          <w:color w:val="000000"/>
          <w:kern w:val="0"/>
          <w:shd w:val="clear" w:color="auto" w:fill="FFFFFF"/>
        </w:rPr>
        <w:t>2</w:t>
      </w:r>
      <w:r>
        <w:rPr>
          <w:rFonts w:eastAsia="方正仿宋_GBK"/>
          <w:bCs/>
          <w:color w:val="000000"/>
          <w:kern w:val="0"/>
          <w:shd w:val="clear" w:color="auto" w:fill="FFFFFF"/>
          <w:lang w:val="zh-CN"/>
        </w:rPr>
        <w:t>个和应开展绩效自评项目</w:t>
      </w:r>
      <w:r>
        <w:rPr>
          <w:rFonts w:eastAsia="方正仿宋_GBK"/>
          <w:bCs/>
          <w:color w:val="000000"/>
          <w:kern w:val="0"/>
          <w:shd w:val="clear" w:color="auto" w:fill="FFFFFF"/>
        </w:rPr>
        <w:t>2</w:t>
      </w:r>
      <w:r>
        <w:rPr>
          <w:rFonts w:eastAsia="方正仿宋_GBK"/>
          <w:bCs/>
          <w:color w:val="000000"/>
          <w:kern w:val="0"/>
          <w:shd w:val="clear" w:color="auto" w:fill="FFFFFF"/>
          <w:lang w:val="zh-CN"/>
        </w:rPr>
        <w:t>个，应完成绩效工作数为</w:t>
      </w:r>
      <w:r>
        <w:rPr>
          <w:rFonts w:eastAsia="方正仿宋_GBK"/>
          <w:bCs/>
          <w:color w:val="000000"/>
          <w:kern w:val="0"/>
          <w:shd w:val="clear" w:color="auto" w:fill="FFFFFF"/>
        </w:rPr>
        <w:t>2</w:t>
      </w:r>
      <w:r>
        <w:rPr>
          <w:rFonts w:eastAsia="方正仿宋_GBK"/>
          <w:bCs/>
          <w:color w:val="000000"/>
          <w:kern w:val="0"/>
          <w:shd w:val="clear" w:color="auto" w:fill="FFFFFF"/>
          <w:lang w:val="zh-CN"/>
        </w:rPr>
        <w:t>个。</w:t>
      </w:r>
      <w:r>
        <w:rPr>
          <w:rFonts w:eastAsia="方正仿宋_GBK"/>
          <w:bCs/>
          <w:color w:val="000000"/>
          <w:kern w:val="0"/>
          <w:shd w:val="clear" w:color="auto" w:fill="FFFFFF"/>
        </w:rPr>
        <w:t>项目</w:t>
      </w:r>
      <w:r>
        <w:rPr>
          <w:rFonts w:eastAsia="方正仿宋_GBK"/>
          <w:bCs/>
          <w:color w:val="000000"/>
          <w:kern w:val="0"/>
          <w:shd w:val="clear" w:color="auto" w:fill="FFFFFF"/>
          <w:lang w:val="zh-CN"/>
        </w:rPr>
        <w:t>预算执行率为</w:t>
      </w:r>
      <w:r>
        <w:rPr>
          <w:rFonts w:hint="eastAsia" w:eastAsia="方正仿宋_GBK"/>
          <w:bCs/>
          <w:color w:val="000000"/>
          <w:kern w:val="0"/>
          <w:shd w:val="clear" w:color="auto" w:fill="FFFFFF"/>
        </w:rPr>
        <w:t>100%</w:t>
      </w:r>
      <w:r>
        <w:rPr>
          <w:rFonts w:hint="eastAsia" w:eastAsia="方正仿宋_GBK"/>
          <w:bCs/>
          <w:color w:val="000000"/>
          <w:kern w:val="0"/>
          <w:shd w:val="clear" w:color="auto" w:fill="FFFFFF"/>
          <w:lang w:val="zh-CN"/>
        </w:rPr>
        <w:t>，</w:t>
      </w:r>
      <w:r>
        <w:rPr>
          <w:rFonts w:eastAsia="方正仿宋_GBK"/>
          <w:bCs/>
          <w:color w:val="000000"/>
          <w:kern w:val="0"/>
          <w:shd w:val="clear" w:color="auto" w:fill="FFFFFF"/>
          <w:lang w:val="zh-CN"/>
        </w:rPr>
        <w:t>项目综合完成率为</w:t>
      </w:r>
      <w:r>
        <w:rPr>
          <w:rFonts w:hint="eastAsia" w:eastAsia="方正仿宋_GBK"/>
          <w:bCs/>
          <w:color w:val="000000"/>
          <w:kern w:val="0"/>
          <w:shd w:val="clear" w:color="auto" w:fill="FFFFFF"/>
        </w:rPr>
        <w:t>100</w:t>
      </w:r>
      <w:r>
        <w:rPr>
          <w:rFonts w:eastAsia="方正仿宋_GBK"/>
          <w:bCs/>
          <w:color w:val="000000"/>
          <w:kern w:val="0"/>
          <w:shd w:val="clear" w:color="auto" w:fill="FFFFFF"/>
          <w:lang w:val="zh-CN"/>
        </w:rPr>
        <w:t>%。专项预算管理</w:t>
      </w:r>
      <w:r>
        <w:rPr>
          <w:rFonts w:eastAsia="方正仿宋_GBK"/>
          <w:bCs/>
          <w:color w:val="000000"/>
          <w:kern w:val="0"/>
          <w:shd w:val="clear" w:color="auto" w:fill="FFFFFF"/>
        </w:rPr>
        <w:t>分值为40分，自评得分为3</w:t>
      </w:r>
      <w:r>
        <w:rPr>
          <w:rFonts w:hint="eastAsia" w:eastAsia="方正仿宋_GBK"/>
          <w:bCs/>
          <w:color w:val="000000"/>
          <w:kern w:val="0"/>
          <w:shd w:val="clear" w:color="auto" w:fill="FFFFFF"/>
        </w:rPr>
        <w:t>4</w:t>
      </w:r>
      <w:r>
        <w:rPr>
          <w:rFonts w:eastAsia="方正仿宋_GBK"/>
          <w:bCs/>
          <w:color w:val="000000"/>
          <w:kern w:val="0"/>
          <w:shd w:val="clear" w:color="auto" w:fill="FFFFFF"/>
        </w:rPr>
        <w:t>分。</w:t>
      </w:r>
    </w:p>
    <w:p>
      <w:pPr>
        <w:spacing w:line="578" w:lineRule="exact"/>
        <w:ind w:firstLine="640" w:firstLineChars="200"/>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四</w:t>
      </w:r>
      <w:r>
        <w:rPr>
          <w:rFonts w:hint="eastAsia" w:ascii="方正楷体_GBK" w:hAnsi="方正楷体_GBK" w:eastAsia="方正楷体_GBK" w:cs="方正楷体_GBK"/>
          <w:kern w:val="0"/>
          <w:szCs w:val="32"/>
          <w:shd w:val="clear" w:color="auto" w:fill="FFFFFF"/>
          <w:lang w:val="zh-CN"/>
        </w:rPr>
        <w:t>）结果应用情况</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1.在“预算挂钩”方面，我</w:t>
      </w:r>
      <w:r>
        <w:rPr>
          <w:rFonts w:hint="eastAsia" w:eastAsia="方正仿宋_GBK"/>
          <w:bCs/>
          <w:color w:val="000000"/>
          <w:kern w:val="0"/>
          <w:shd w:val="clear" w:color="auto" w:fill="FFFFFF"/>
        </w:rPr>
        <w:t>单位</w:t>
      </w:r>
      <w:r>
        <w:rPr>
          <w:rFonts w:eastAsia="方正仿宋_GBK"/>
          <w:bCs/>
          <w:color w:val="000000"/>
          <w:kern w:val="0"/>
          <w:shd w:val="clear" w:color="auto" w:fill="FFFFFF"/>
          <w:lang w:val="zh-CN"/>
        </w:rPr>
        <w:t>已出台全面实施预算绩效管理工作方案，细化考核内容，加强各业务</w:t>
      </w:r>
      <w:r>
        <w:rPr>
          <w:rFonts w:eastAsia="方正仿宋_GBK"/>
          <w:bCs/>
          <w:color w:val="000000"/>
          <w:kern w:val="0"/>
          <w:shd w:val="clear" w:color="auto" w:fill="FFFFFF"/>
        </w:rPr>
        <w:t>股</w:t>
      </w:r>
      <w:r>
        <w:rPr>
          <w:rFonts w:eastAsia="方正仿宋_GBK"/>
          <w:bCs/>
          <w:color w:val="000000"/>
          <w:kern w:val="0"/>
          <w:shd w:val="clear" w:color="auto" w:fill="FFFFFF"/>
          <w:lang w:val="zh-CN"/>
        </w:rPr>
        <w:t>室与绩效管理工作的联系，明确考核及绩效结果与专项预算安排挂钩举措，推动绩效管理工作更好的实施。该项指标分值为4分，自评得分</w:t>
      </w:r>
      <w:r>
        <w:rPr>
          <w:rFonts w:eastAsia="方正仿宋_GBK"/>
          <w:bCs/>
          <w:color w:val="000000"/>
          <w:kern w:val="0"/>
          <w:shd w:val="clear" w:color="auto" w:fill="FFFFFF"/>
        </w:rPr>
        <w:t>3</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2.在“自评公开”方面，我</w:t>
      </w:r>
      <w:r>
        <w:rPr>
          <w:rFonts w:hint="eastAsia" w:eastAsia="方正仿宋_GBK"/>
          <w:bCs/>
          <w:color w:val="000000"/>
          <w:kern w:val="0"/>
          <w:shd w:val="clear" w:color="auto" w:fill="FFFFFF"/>
        </w:rPr>
        <w:t>单位</w:t>
      </w:r>
      <w:r>
        <w:rPr>
          <w:rFonts w:eastAsia="方正仿宋_GBK"/>
          <w:bCs/>
          <w:color w:val="000000"/>
          <w:kern w:val="0"/>
          <w:shd w:val="clear" w:color="auto" w:fill="FFFFFF"/>
          <w:lang w:val="zh-CN"/>
        </w:rPr>
        <w:t>严格按照预决算编制要求编制绩效目标，填列绩效目标完成情况，开展绩效自评工作，并按要求将相关绩效信息随部门预决算一并在厅门户网站公开。该项指标分值为2分，自评得分</w:t>
      </w:r>
      <w:r>
        <w:rPr>
          <w:rFonts w:eastAsia="方正仿宋_GBK"/>
          <w:bCs/>
          <w:color w:val="000000"/>
          <w:kern w:val="0"/>
          <w:shd w:val="clear" w:color="auto" w:fill="FFFFFF"/>
        </w:rPr>
        <w:t>2</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3.在“问题整改”方面，结合部门预算项目实际情况，绩效目标设置要素完整也基本做到细化量化;对发现执行进度偏低的项目，要求各业务</w:t>
      </w:r>
      <w:r>
        <w:rPr>
          <w:rFonts w:eastAsia="方正仿宋_GBK"/>
          <w:bCs/>
          <w:color w:val="000000"/>
          <w:kern w:val="0"/>
          <w:shd w:val="clear" w:color="auto" w:fill="FFFFFF"/>
        </w:rPr>
        <w:t>股</w:t>
      </w:r>
      <w:r>
        <w:rPr>
          <w:rFonts w:eastAsia="方正仿宋_GBK"/>
          <w:bCs/>
          <w:color w:val="000000"/>
          <w:kern w:val="0"/>
          <w:shd w:val="clear" w:color="auto" w:fill="FFFFFF"/>
          <w:lang w:val="zh-CN"/>
        </w:rPr>
        <w:t>室加快预算执行进度;针对我</w:t>
      </w:r>
      <w:r>
        <w:rPr>
          <w:rFonts w:hint="eastAsia" w:eastAsia="方正仿宋_GBK"/>
          <w:bCs/>
          <w:color w:val="000000"/>
          <w:kern w:val="0"/>
          <w:shd w:val="clear" w:color="auto" w:fill="FFFFFF"/>
        </w:rPr>
        <w:t>单位</w:t>
      </w:r>
      <w:r>
        <w:rPr>
          <w:rFonts w:eastAsia="方正仿宋_GBK"/>
          <w:bCs/>
          <w:color w:val="000000"/>
          <w:kern w:val="0"/>
          <w:shd w:val="clear" w:color="auto" w:fill="FFFFFF"/>
          <w:lang w:val="zh-CN"/>
        </w:rPr>
        <w:t>原</w:t>
      </w:r>
      <w:r>
        <w:rPr>
          <w:rFonts w:hint="eastAsia" w:eastAsia="方正仿宋_GBK"/>
          <w:bCs/>
          <w:color w:val="000000"/>
          <w:kern w:val="0"/>
          <w:shd w:val="clear" w:color="auto" w:fill="FFFFFF"/>
          <w:lang w:val="zh-CN"/>
        </w:rPr>
        <w:t>部门</w:t>
      </w:r>
      <w:r>
        <w:rPr>
          <w:rFonts w:eastAsia="方正仿宋_GBK"/>
          <w:bCs/>
          <w:color w:val="000000"/>
          <w:kern w:val="0"/>
          <w:shd w:val="clear" w:color="auto" w:fill="FFFFFF"/>
          <w:lang w:val="zh-CN"/>
        </w:rPr>
        <w:t>考核办法有关预算绩效考核的内容不够完善且难以量化考核的情况，及时完善了相关考核办法，细化考核指标。该项指标分值为2分，自评得分</w:t>
      </w:r>
      <w:r>
        <w:rPr>
          <w:rFonts w:eastAsia="方正仿宋_GBK"/>
          <w:bCs/>
          <w:color w:val="000000"/>
          <w:kern w:val="0"/>
          <w:shd w:val="clear" w:color="auto" w:fill="FFFFFF"/>
        </w:rPr>
        <w:t>2</w:t>
      </w:r>
      <w:r>
        <w:rPr>
          <w:rFonts w:eastAsia="方正仿宋_GBK"/>
          <w:bCs/>
          <w:color w:val="000000"/>
          <w:kern w:val="0"/>
          <w:shd w:val="clear" w:color="auto" w:fill="FFFFFF"/>
          <w:lang w:val="zh-CN"/>
        </w:rPr>
        <w:t>分。</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4.在应用反馈上，我</w:t>
      </w:r>
      <w:r>
        <w:rPr>
          <w:rFonts w:hint="eastAsia" w:eastAsia="方正仿宋_GBK"/>
          <w:bCs/>
          <w:color w:val="000000"/>
          <w:kern w:val="0"/>
          <w:shd w:val="clear" w:color="auto" w:fill="FFFFFF"/>
        </w:rPr>
        <w:t>单位</w:t>
      </w:r>
      <w:r>
        <w:rPr>
          <w:rFonts w:eastAsia="方正仿宋_GBK"/>
          <w:bCs/>
          <w:color w:val="000000"/>
          <w:kern w:val="0"/>
          <w:shd w:val="clear" w:color="auto" w:fill="FFFFFF"/>
          <w:lang w:val="zh-CN"/>
        </w:rPr>
        <w:t>已按要求在规定时间内将预算绩效结果应用结果向财政反馈。该项指标分值为</w:t>
      </w:r>
      <w:r>
        <w:rPr>
          <w:rFonts w:eastAsia="方正仿宋_GBK"/>
          <w:bCs/>
          <w:color w:val="000000"/>
          <w:kern w:val="0"/>
          <w:shd w:val="clear" w:color="auto" w:fill="FFFFFF"/>
        </w:rPr>
        <w:t>2</w:t>
      </w:r>
      <w:r>
        <w:rPr>
          <w:rFonts w:eastAsia="方正仿宋_GBK"/>
          <w:bCs/>
          <w:color w:val="000000"/>
          <w:kern w:val="0"/>
          <w:shd w:val="clear" w:color="auto" w:fill="FFFFFF"/>
          <w:lang w:val="zh-CN"/>
        </w:rPr>
        <w:t>分，自评得分</w:t>
      </w:r>
      <w:r>
        <w:rPr>
          <w:rFonts w:eastAsia="方正仿宋_GBK"/>
          <w:bCs/>
          <w:color w:val="000000"/>
          <w:kern w:val="0"/>
          <w:shd w:val="clear" w:color="auto" w:fill="FFFFFF"/>
        </w:rPr>
        <w:t>2</w:t>
      </w:r>
      <w:r>
        <w:rPr>
          <w:rFonts w:eastAsia="方正仿宋_GBK"/>
          <w:bCs/>
          <w:color w:val="000000"/>
          <w:kern w:val="0"/>
          <w:shd w:val="clear" w:color="auto" w:fill="FFFFFF"/>
          <w:lang w:val="zh-CN"/>
        </w:rPr>
        <w:t>分。</w:t>
      </w:r>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五</w:t>
      </w:r>
      <w:r>
        <w:rPr>
          <w:rFonts w:hint="eastAsia" w:ascii="方正楷体_GBK" w:hAnsi="方正楷体_GBK" w:eastAsia="方正楷体_GBK" w:cs="方正楷体_GBK"/>
          <w:kern w:val="0"/>
          <w:szCs w:val="32"/>
          <w:shd w:val="clear" w:color="auto" w:fill="FFFFFF"/>
          <w:lang w:val="zh-CN"/>
        </w:rPr>
        <w:t>）自评质量情况</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rPr>
        <w:t>我</w:t>
      </w:r>
      <w:r>
        <w:rPr>
          <w:rFonts w:eastAsia="方正仿宋_GBK"/>
          <w:bCs/>
          <w:color w:val="000000"/>
          <w:kern w:val="0"/>
          <w:shd w:val="clear" w:color="auto" w:fill="FFFFFF"/>
          <w:lang w:val="zh-CN"/>
        </w:rPr>
        <w:t>单位整体支出自评准确率较高，</w:t>
      </w:r>
      <w:r>
        <w:rPr>
          <w:rFonts w:eastAsia="方正仿宋_GBK"/>
          <w:bCs/>
          <w:color w:val="000000"/>
          <w:kern w:val="0"/>
          <w:shd w:val="clear" w:color="auto" w:fill="FFFFFF"/>
        </w:rPr>
        <w:t>且全面开展自评</w:t>
      </w:r>
      <w:r>
        <w:rPr>
          <w:rFonts w:eastAsia="方正仿宋_GBK"/>
          <w:bCs/>
          <w:color w:val="000000"/>
          <w:kern w:val="0"/>
          <w:shd w:val="clear" w:color="auto" w:fill="FFFFFF"/>
          <w:lang w:val="zh-CN"/>
        </w:rPr>
        <w:t>。</w:t>
      </w:r>
      <w:r>
        <w:rPr>
          <w:rFonts w:eastAsia="方正仿宋_GBK"/>
          <w:bCs/>
          <w:color w:val="000000"/>
          <w:kern w:val="0"/>
          <w:shd w:val="clear" w:color="auto" w:fill="FFFFFF"/>
        </w:rPr>
        <w:t>自评质量分值为10分，由主管部门、财政部门考评，单位自评实际总分为90分。</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lang w:val="zh-CN"/>
        </w:rPr>
        <w:t>202</w:t>
      </w:r>
      <w:r>
        <w:rPr>
          <w:rFonts w:eastAsia="方正仿宋_GBK"/>
          <w:bCs/>
          <w:color w:val="000000"/>
          <w:kern w:val="0"/>
          <w:shd w:val="clear" w:color="auto" w:fill="FFFFFF"/>
        </w:rPr>
        <w:t>2</w:t>
      </w:r>
      <w:r>
        <w:rPr>
          <w:rFonts w:eastAsia="方正仿宋_GBK"/>
          <w:bCs/>
          <w:color w:val="000000"/>
          <w:kern w:val="0"/>
          <w:shd w:val="clear" w:color="auto" w:fill="FFFFFF"/>
          <w:lang w:val="zh-CN"/>
        </w:rPr>
        <w:t>年</w:t>
      </w:r>
      <w:r>
        <w:rPr>
          <w:rFonts w:eastAsia="方正仿宋_GBK"/>
          <w:bCs/>
          <w:color w:val="000000"/>
          <w:kern w:val="0"/>
          <w:shd w:val="clear" w:color="auto" w:fill="FFFFFF"/>
        </w:rPr>
        <w:t>我</w:t>
      </w:r>
      <w:r>
        <w:rPr>
          <w:rFonts w:eastAsia="方正仿宋_GBK"/>
          <w:bCs/>
          <w:color w:val="000000"/>
          <w:kern w:val="0"/>
          <w:shd w:val="clear" w:color="auto" w:fill="FFFFFF"/>
          <w:lang w:val="zh-CN"/>
        </w:rPr>
        <w:t>单位整体支出绩效自评得分</w:t>
      </w:r>
      <w:r>
        <w:rPr>
          <w:rFonts w:eastAsia="方正仿宋_GBK"/>
          <w:bCs/>
          <w:color w:val="000000"/>
          <w:kern w:val="0"/>
          <w:shd w:val="clear" w:color="auto" w:fill="FFFFFF"/>
        </w:rPr>
        <w:t>实际为84</w:t>
      </w:r>
      <w:r>
        <w:rPr>
          <w:rFonts w:eastAsia="方正仿宋_GBK"/>
          <w:bCs/>
          <w:color w:val="000000"/>
          <w:kern w:val="0"/>
          <w:shd w:val="clear" w:color="auto" w:fill="FFFFFF"/>
          <w:lang w:val="zh-CN"/>
        </w:rPr>
        <w:t>分。（</w:t>
      </w:r>
      <w:r>
        <w:rPr>
          <w:rFonts w:eastAsia="方正仿宋_GBK"/>
          <w:bCs/>
          <w:color w:val="000000"/>
          <w:kern w:val="0"/>
          <w:shd w:val="clear" w:color="auto" w:fill="FFFFFF"/>
        </w:rPr>
        <w:t>附件：《达州市达川区万家镇黄都卫生院2023年整体支出绩效评价自评得分表》</w:t>
      </w:r>
      <w:r>
        <w:rPr>
          <w:rFonts w:eastAsia="方正仿宋_GBK"/>
          <w:bCs/>
          <w:color w:val="000000"/>
          <w:kern w:val="0"/>
          <w:shd w:val="clear" w:color="auto" w:fill="FFFFFF"/>
          <w:lang w:val="zh-CN"/>
        </w:rPr>
        <w:t>）</w:t>
      </w:r>
    </w:p>
    <w:p>
      <w:pPr>
        <w:widowControl/>
        <w:numPr>
          <w:ilvl w:val="0"/>
          <w:numId w:val="3"/>
        </w:numPr>
        <w:adjustRightInd w:val="0"/>
        <w:snapToGrid w:val="0"/>
        <w:spacing w:line="578" w:lineRule="exact"/>
        <w:ind w:firstLine="640" w:firstLineChars="200"/>
        <w:contextualSpacing/>
        <w:rPr>
          <w:rFonts w:ascii="方正黑体_GBK" w:hAnsi="方正黑体_GBK" w:eastAsia="方正黑体_GBK" w:cs="方正黑体_GBK"/>
          <w:kern w:val="0"/>
          <w:szCs w:val="32"/>
          <w:shd w:val="clear" w:color="auto" w:fill="FFFFFF"/>
          <w:lang w:val="zh-CN"/>
        </w:rPr>
      </w:pPr>
      <w:r>
        <w:rPr>
          <w:rFonts w:hint="eastAsia" w:ascii="方正黑体_GBK" w:hAnsi="方正黑体_GBK" w:eastAsia="方正黑体_GBK" w:cs="方正黑体_GBK"/>
          <w:kern w:val="0"/>
          <w:szCs w:val="32"/>
          <w:shd w:val="clear" w:color="auto" w:fill="FFFFFF"/>
          <w:lang w:val="zh-CN"/>
        </w:rPr>
        <w:t>评价结论及建议</w:t>
      </w:r>
    </w:p>
    <w:p>
      <w:pPr>
        <w:widowControl/>
        <w:adjustRightInd w:val="0"/>
        <w:snapToGrid w:val="0"/>
        <w:spacing w:line="578" w:lineRule="exact"/>
        <w:ind w:left="640" w:left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一</w:t>
      </w:r>
      <w:r>
        <w:rPr>
          <w:rFonts w:hint="eastAsia" w:ascii="方正楷体_GBK" w:hAnsi="方正楷体_GBK" w:eastAsia="方正楷体_GBK" w:cs="方正楷体_GBK"/>
          <w:kern w:val="0"/>
          <w:szCs w:val="32"/>
          <w:shd w:val="clear" w:color="auto" w:fill="FFFFFF"/>
          <w:lang w:val="zh-CN"/>
        </w:rPr>
        <w:t>）评价结论</w:t>
      </w:r>
    </w:p>
    <w:p>
      <w:pPr>
        <w:pStyle w:val="10"/>
        <w:spacing w:line="578" w:lineRule="exact"/>
        <w:ind w:firstLine="640"/>
        <w:rPr>
          <w:rFonts w:eastAsia="方正仿宋_GBK"/>
          <w:bCs/>
          <w:color w:val="000000"/>
          <w:kern w:val="0"/>
          <w:shd w:val="clear" w:color="auto" w:fill="FFFFFF"/>
          <w:lang w:val="zh-CN"/>
        </w:rPr>
      </w:pPr>
      <w:r>
        <w:rPr>
          <w:rFonts w:eastAsia="方正仿宋_GBK"/>
          <w:bCs/>
          <w:color w:val="000000"/>
          <w:kern w:val="0"/>
          <w:shd w:val="clear" w:color="auto" w:fill="FFFFFF"/>
          <w:lang w:val="zh-CN"/>
        </w:rPr>
        <w:t>按照202</w:t>
      </w:r>
      <w:r>
        <w:rPr>
          <w:rFonts w:eastAsia="方正仿宋_GBK"/>
          <w:bCs/>
          <w:color w:val="000000"/>
          <w:kern w:val="0"/>
          <w:shd w:val="clear" w:color="auto" w:fill="FFFFFF"/>
        </w:rPr>
        <w:t>2</w:t>
      </w:r>
      <w:r>
        <w:rPr>
          <w:rFonts w:eastAsia="方正仿宋_GBK"/>
          <w:bCs/>
          <w:color w:val="000000"/>
          <w:kern w:val="0"/>
          <w:shd w:val="clear" w:color="auto" w:fill="FFFFFF"/>
          <w:lang w:val="zh-CN"/>
        </w:rPr>
        <w:t>年度</w:t>
      </w:r>
      <w:r>
        <w:rPr>
          <w:rFonts w:eastAsia="方正仿宋_GBK"/>
          <w:bCs/>
          <w:color w:val="000000"/>
          <w:kern w:val="0"/>
          <w:shd w:val="clear" w:color="auto" w:fill="FFFFFF"/>
        </w:rPr>
        <w:t>区</w:t>
      </w:r>
      <w:r>
        <w:rPr>
          <w:rFonts w:eastAsia="方正仿宋_GBK"/>
          <w:bCs/>
          <w:color w:val="000000"/>
          <w:kern w:val="0"/>
          <w:shd w:val="clear" w:color="auto" w:fill="FFFFFF"/>
          <w:lang w:val="zh-CN"/>
        </w:rPr>
        <w:t>级部门整体支出绩效评价指标体系，绩效评价总分</w:t>
      </w:r>
      <w:r>
        <w:rPr>
          <w:rFonts w:eastAsia="方正仿宋_GBK"/>
          <w:bCs/>
          <w:color w:val="000000"/>
          <w:kern w:val="0"/>
          <w:shd w:val="clear" w:color="auto" w:fill="FFFFFF"/>
        </w:rPr>
        <w:t>90</w:t>
      </w:r>
      <w:r>
        <w:rPr>
          <w:rFonts w:eastAsia="方正仿宋_GBK"/>
          <w:bCs/>
          <w:color w:val="000000"/>
          <w:kern w:val="0"/>
          <w:shd w:val="clear" w:color="auto" w:fill="FFFFFF"/>
          <w:lang w:val="zh-CN"/>
        </w:rPr>
        <w:t>分，我</w:t>
      </w:r>
      <w:r>
        <w:rPr>
          <w:rFonts w:eastAsia="方正仿宋_GBK"/>
          <w:bCs/>
          <w:color w:val="000000"/>
          <w:kern w:val="0"/>
          <w:shd w:val="clear" w:color="auto" w:fill="FFFFFF"/>
        </w:rPr>
        <w:t>单位</w:t>
      </w:r>
      <w:r>
        <w:rPr>
          <w:rFonts w:eastAsia="方正仿宋_GBK"/>
          <w:bCs/>
          <w:color w:val="000000"/>
          <w:kern w:val="0"/>
          <w:shd w:val="clear" w:color="auto" w:fill="FFFFFF"/>
          <w:lang w:val="zh-CN"/>
        </w:rPr>
        <w:t>得分</w:t>
      </w:r>
      <w:r>
        <w:rPr>
          <w:rFonts w:eastAsia="方正仿宋_GBK"/>
          <w:bCs/>
          <w:color w:val="000000"/>
          <w:kern w:val="0"/>
          <w:shd w:val="clear" w:color="auto" w:fill="FFFFFF"/>
        </w:rPr>
        <w:t>80</w:t>
      </w:r>
      <w:r>
        <w:rPr>
          <w:rFonts w:eastAsia="方正仿宋_GBK"/>
          <w:bCs/>
          <w:color w:val="000000"/>
          <w:kern w:val="0"/>
          <w:shd w:val="clear" w:color="auto" w:fill="FFFFFF"/>
          <w:lang w:val="zh-CN"/>
        </w:rPr>
        <w:t>分（</w:t>
      </w:r>
      <w:r>
        <w:rPr>
          <w:rFonts w:eastAsia="方正仿宋_GBK"/>
          <w:bCs/>
          <w:color w:val="000000"/>
          <w:kern w:val="0"/>
          <w:shd w:val="clear" w:color="auto" w:fill="FFFFFF"/>
        </w:rPr>
        <w:t>详见《达州市达川区万家镇黄都卫生院2023年整体支出绩效评价指标体系表》），</w:t>
      </w:r>
      <w:r>
        <w:rPr>
          <w:rFonts w:eastAsia="方正仿宋_GBK"/>
          <w:bCs/>
          <w:color w:val="000000"/>
          <w:kern w:val="0"/>
          <w:shd w:val="clear" w:color="auto" w:fill="FFFFFF"/>
          <w:lang w:val="zh-CN"/>
        </w:rPr>
        <w:t>基本完成了年度预算绩效管理目标。</w:t>
      </w:r>
    </w:p>
    <w:p>
      <w:pPr>
        <w:widowControl/>
        <w:adjustRightInd w:val="0"/>
        <w:snapToGrid w:val="0"/>
        <w:spacing w:line="578" w:lineRule="exact"/>
        <w:ind w:firstLine="640" w:firstLineChars="200"/>
        <w:contextualSpacing/>
        <w:rPr>
          <w:rFonts w:ascii="方正楷体_GBK" w:hAnsi="方正楷体_GBK" w:eastAsia="方正楷体_GBK" w:cs="方正楷体_GBK"/>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二</w:t>
      </w:r>
      <w:r>
        <w:rPr>
          <w:rFonts w:hint="eastAsia" w:ascii="方正楷体_GBK" w:hAnsi="方正楷体_GBK" w:eastAsia="方正楷体_GBK" w:cs="方正楷体_GBK"/>
          <w:kern w:val="0"/>
          <w:szCs w:val="32"/>
          <w:shd w:val="clear" w:color="auto" w:fill="FFFFFF"/>
          <w:lang w:val="zh-CN"/>
        </w:rPr>
        <w:t>）存在问题</w:t>
      </w:r>
    </w:p>
    <w:p>
      <w:pPr>
        <w:pStyle w:val="10"/>
        <w:spacing w:line="578" w:lineRule="exact"/>
        <w:ind w:firstLine="640"/>
        <w:rPr>
          <w:rFonts w:eastAsia="方正仿宋_GBK"/>
          <w:bCs/>
          <w:color w:val="000000"/>
          <w:kern w:val="0"/>
          <w:shd w:val="clear" w:color="auto" w:fill="FFFFFF"/>
        </w:rPr>
      </w:pPr>
      <w:r>
        <w:rPr>
          <w:rFonts w:eastAsia="方正仿宋_GBK"/>
          <w:bCs/>
          <w:color w:val="000000"/>
          <w:kern w:val="0"/>
          <w:shd w:val="clear" w:color="auto" w:fill="FFFFFF"/>
        </w:rPr>
        <w:t>一是预算执行进度仍需提高。在 2022年采取了一系列加快预算执行进度的措施，预算执行情况有所改善，但由于疫情影响设备采购和政府采购程序较繁杂等原因，预算实际执行进度距预算执行目标进度的要求还是有一定距离，预算执行还需要提高。二是部分预算项目绩效目标 编制不完善。在编制绩效目标时，未根据自身项目情况考虑周到，造成该项目绩效目标完成存在一定困难。三是个别项目未及时纳入绩效运行监控。由于与财政部门衔接不到位不紧密，预算绩效管理机制还不够健全，导致部分年中追加项目未及时纳入预算绩效运行监控。</w:t>
      </w:r>
    </w:p>
    <w:p>
      <w:pPr>
        <w:widowControl/>
        <w:adjustRightInd w:val="0"/>
        <w:snapToGrid w:val="0"/>
        <w:spacing w:line="578" w:lineRule="exact"/>
        <w:ind w:firstLine="640" w:firstLineChars="200"/>
        <w:contextualSpacing/>
        <w:rPr>
          <w:rFonts w:ascii="方正楷体_GBK" w:hAnsi="方正楷体_GBK" w:eastAsia="方正楷体_GBK" w:cs="方正楷体_GBK"/>
          <w:kern w:val="0"/>
          <w:szCs w:val="32"/>
          <w:shd w:val="clear" w:color="auto" w:fill="FFFFFF"/>
          <w:lang w:val="zh-CN"/>
        </w:rPr>
      </w:pPr>
      <w:r>
        <w:rPr>
          <w:rFonts w:hint="eastAsia" w:ascii="方正楷体_GBK" w:hAnsi="方正楷体_GBK" w:eastAsia="方正楷体_GBK" w:cs="方正楷体_GBK"/>
          <w:kern w:val="0"/>
          <w:szCs w:val="32"/>
          <w:shd w:val="clear" w:color="auto" w:fill="FFFFFF"/>
          <w:lang w:val="zh-CN"/>
        </w:rPr>
        <w:t>（</w:t>
      </w:r>
      <w:r>
        <w:rPr>
          <w:rFonts w:hint="eastAsia" w:ascii="方正楷体_GBK" w:hAnsi="方正楷体_GBK" w:eastAsia="方正楷体_GBK" w:cs="方正楷体_GBK"/>
          <w:kern w:val="0"/>
          <w:szCs w:val="32"/>
          <w:shd w:val="clear" w:color="auto" w:fill="FFFFFF"/>
        </w:rPr>
        <w:t>三</w:t>
      </w:r>
      <w:r>
        <w:rPr>
          <w:rFonts w:hint="eastAsia" w:ascii="方正楷体_GBK" w:hAnsi="方正楷体_GBK" w:eastAsia="方正楷体_GBK" w:cs="方正楷体_GBK"/>
          <w:kern w:val="0"/>
          <w:szCs w:val="32"/>
          <w:shd w:val="clear" w:color="auto" w:fill="FFFFFF"/>
          <w:lang w:val="zh-CN"/>
        </w:rPr>
        <w:t>）改进措施</w:t>
      </w:r>
    </w:p>
    <w:p>
      <w:pPr>
        <w:widowControl/>
        <w:spacing w:line="578" w:lineRule="exact"/>
        <w:ind w:firstLine="640" w:firstLineChars="200"/>
        <w:jc w:val="left"/>
        <w:rPr>
          <w:rFonts w:eastAsia="方正仿宋_GBK"/>
          <w:szCs w:val="32"/>
        </w:rPr>
      </w:pPr>
      <w:r>
        <w:rPr>
          <w:rFonts w:eastAsia="方正仿宋_GBK"/>
          <w:kern w:val="0"/>
          <w:szCs w:val="32"/>
        </w:rPr>
        <w:t xml:space="preserve">1．进一步提高预算执行能力 </w:t>
      </w:r>
    </w:p>
    <w:p>
      <w:pPr>
        <w:pStyle w:val="10"/>
        <w:spacing w:line="578" w:lineRule="exact"/>
        <w:ind w:firstLine="640"/>
        <w:rPr>
          <w:rFonts w:eastAsia="方正仿宋_GBK"/>
          <w:kern w:val="0"/>
          <w:szCs w:val="32"/>
          <w:shd w:val="clear" w:color="auto" w:fill="FFFFFF"/>
        </w:rPr>
      </w:pPr>
      <w:r>
        <w:rPr>
          <w:rFonts w:eastAsia="方正仿宋_GBK"/>
          <w:kern w:val="0"/>
          <w:szCs w:val="32"/>
          <w:shd w:val="clear" w:color="auto" w:fill="FFFFFF"/>
        </w:rPr>
        <w:t xml:space="preserve">一是杜绝“重预算轻执行”的想法，抓紧前期项目准备工作、优化项目组织实施、加快项目验收。加强各单位预算执行管理监督考核，对资金使用和项目实施情况等进行监督管理，进一步提高预算执行力。二是及时对存量资金进行调整，盘活存量资金。及时实施特定目标类项目和政府采购项目，做好部门预算执行与日常业务工作的深度融合，加快推进运转类和特定目标类项目支出。三是涉及政府采购的，把握时间节点，提前做好采购意向公开和采购前期准备，尽快实施。 </w:t>
      </w:r>
    </w:p>
    <w:p>
      <w:pPr>
        <w:widowControl/>
        <w:spacing w:line="578" w:lineRule="exact"/>
        <w:ind w:firstLine="640" w:firstLineChars="200"/>
        <w:jc w:val="left"/>
        <w:rPr>
          <w:rFonts w:eastAsia="方正仿宋_GBK"/>
          <w:szCs w:val="32"/>
        </w:rPr>
      </w:pPr>
      <w:r>
        <w:rPr>
          <w:rFonts w:eastAsia="方正仿宋_GBK"/>
          <w:kern w:val="0"/>
          <w:szCs w:val="32"/>
        </w:rPr>
        <w:t xml:space="preserve">2．进一步强化单位预算绩效管理能力 </w:t>
      </w:r>
    </w:p>
    <w:p>
      <w:pPr>
        <w:widowControl/>
        <w:spacing w:line="578" w:lineRule="exact"/>
        <w:ind w:firstLine="640" w:firstLineChars="200"/>
        <w:rPr>
          <w:rFonts w:eastAsia="方正仿宋_GBK"/>
          <w:szCs w:val="32"/>
        </w:rPr>
      </w:pPr>
      <w:r>
        <w:rPr>
          <w:rFonts w:eastAsia="方正仿宋_GBK"/>
          <w:kern w:val="0"/>
          <w:szCs w:val="32"/>
        </w:rPr>
        <w:t>一是加大力度做好预算编制基础工作，通过科学化、标准化、精细化编制预算，从源头上增强预算执行的刚性和效果。二是加强部门预算编制与执行的有机结合，切实提高预算</w:t>
      </w:r>
      <w:r>
        <w:rPr>
          <w:rFonts w:eastAsia="方正仿宋_GBK"/>
          <w:color w:val="000000"/>
          <w:kern w:val="0"/>
          <w:szCs w:val="32"/>
        </w:rPr>
        <w:t xml:space="preserve">的年初到位率，规范预算追加。三是强化资金拨付、管理和使用，严格按预算批复项目使用资金，严格实行预算调整报批，维护预算的严肃性，强化预算的约束力，确保预算执行效果。 </w:t>
      </w:r>
    </w:p>
    <w:p>
      <w:pPr>
        <w:widowControl/>
        <w:spacing w:line="578" w:lineRule="exact"/>
        <w:ind w:firstLine="640" w:firstLineChars="200"/>
        <w:jc w:val="left"/>
        <w:rPr>
          <w:rFonts w:eastAsia="方正仿宋_GBK"/>
          <w:szCs w:val="32"/>
        </w:rPr>
      </w:pPr>
      <w:r>
        <w:rPr>
          <w:rFonts w:eastAsia="方正仿宋_GBK"/>
          <w:color w:val="000000"/>
          <w:kern w:val="0"/>
          <w:szCs w:val="32"/>
        </w:rPr>
        <w:t xml:space="preserve">3．进一步加强队伍能力建设 </w:t>
      </w:r>
    </w:p>
    <w:p>
      <w:pPr>
        <w:widowControl/>
        <w:spacing w:line="578" w:lineRule="exact"/>
        <w:ind w:firstLine="640" w:firstLineChars="200"/>
        <w:rPr>
          <w:rFonts w:eastAsia="方正仿宋_GBK"/>
          <w:kern w:val="0"/>
          <w:szCs w:val="32"/>
          <w:shd w:val="clear" w:color="auto" w:fill="FFFFFF"/>
        </w:rPr>
      </w:pPr>
      <w:r>
        <w:rPr>
          <w:rFonts w:eastAsia="方正仿宋_GBK"/>
          <w:color w:val="000000"/>
          <w:kern w:val="0"/>
          <w:szCs w:val="32"/>
        </w:rPr>
        <w:t>强化业务培训，提高预算编制的科学化和精细化程度。在财政部门的指导下，定期组织开展预算编制培训工作，增强财务人员预算精细化管理的意识，提高预算精细化管理的能力。</w:t>
      </w:r>
    </w:p>
    <w:p>
      <w:pPr>
        <w:spacing w:line="578" w:lineRule="exact"/>
        <w:rPr>
          <w:bCs/>
          <w:szCs w:val="32"/>
        </w:rPr>
      </w:pPr>
    </w:p>
    <w:p>
      <w:pPr>
        <w:spacing w:line="578" w:lineRule="exact"/>
        <w:ind w:left="1600" w:leftChars="200" w:hanging="960" w:hangingChars="300"/>
        <w:rPr>
          <w:rFonts w:eastAsia="方正仿宋_GBK"/>
          <w:bCs/>
          <w:szCs w:val="32"/>
        </w:rPr>
      </w:pPr>
      <w:r>
        <w:rPr>
          <w:rFonts w:eastAsia="方正仿宋_GBK"/>
          <w:bCs/>
          <w:szCs w:val="32"/>
        </w:rPr>
        <w:t>附件：1.达州市达川区万家镇黄都卫生院2022年特定目标类部门预算项目绩效目标自评（项目名称：基本公共卫生服务项目）</w:t>
      </w:r>
    </w:p>
    <w:p>
      <w:pPr>
        <w:spacing w:line="578" w:lineRule="exact"/>
        <w:ind w:left="1600" w:leftChars="500"/>
        <w:rPr>
          <w:rFonts w:eastAsia="方正仿宋_GBK"/>
          <w:bCs/>
          <w:szCs w:val="32"/>
        </w:rPr>
      </w:pPr>
      <w:r>
        <w:rPr>
          <w:rFonts w:eastAsia="方正仿宋_GBK"/>
          <w:bCs/>
          <w:szCs w:val="32"/>
        </w:rPr>
        <w:t>2.达州市达川区万家镇黄都卫生院2022年特定目标类部门预算项目绩效目标自评（项目名称：国家基本药物制度项目）</w:t>
      </w:r>
    </w:p>
    <w:p>
      <w:pPr>
        <w:spacing w:line="578" w:lineRule="exact"/>
        <w:ind w:left="1600" w:leftChars="500"/>
        <w:rPr>
          <w:rFonts w:eastAsia="方正仿宋_GBK"/>
          <w:bCs/>
          <w:szCs w:val="32"/>
        </w:rPr>
      </w:pPr>
      <w:r>
        <w:rPr>
          <w:rFonts w:eastAsia="方正仿宋_GBK"/>
          <w:bCs/>
          <w:szCs w:val="32"/>
        </w:rPr>
        <w:t>3.达州市达川区万家镇黄都卫生院2023年整体支出绩效评价指标体系表</w:t>
      </w:r>
    </w:p>
    <w:p>
      <w:pPr>
        <w:pStyle w:val="2"/>
        <w:spacing w:line="578" w:lineRule="exact"/>
        <w:rPr>
          <w:rFonts w:eastAsia="仿宋_GB2312"/>
          <w:bCs/>
          <w:sz w:val="32"/>
          <w:szCs w:val="32"/>
        </w:rPr>
      </w:pPr>
    </w:p>
    <w:p>
      <w:pPr>
        <w:spacing w:line="578" w:lineRule="exact"/>
      </w:pPr>
    </w:p>
    <w:p>
      <w:pPr>
        <w:widowControl/>
        <w:wordWrap w:val="0"/>
        <w:adjustRightInd w:val="0"/>
        <w:snapToGrid w:val="0"/>
        <w:spacing w:line="578" w:lineRule="exact"/>
        <w:ind w:firstLine="640" w:firstLineChars="200"/>
        <w:contextualSpacing/>
        <w:jc w:val="right"/>
        <w:rPr>
          <w:rFonts w:eastAsia="方正仿宋_GBK"/>
          <w:kern w:val="0"/>
          <w:szCs w:val="32"/>
          <w:shd w:val="clear" w:color="auto" w:fill="FFFFFF"/>
        </w:rPr>
      </w:pPr>
      <w:r>
        <w:rPr>
          <w:rFonts w:eastAsia="方正仿宋_GBK"/>
          <w:kern w:val="0"/>
          <w:szCs w:val="32"/>
          <w:shd w:val="clear" w:color="auto" w:fill="FFFFFF"/>
        </w:rPr>
        <w:t xml:space="preserve">达州市达川区万家镇黄都卫生院    </w:t>
      </w:r>
    </w:p>
    <w:p>
      <w:pPr>
        <w:widowControl/>
        <w:wordWrap w:val="0"/>
        <w:adjustRightInd w:val="0"/>
        <w:snapToGrid w:val="0"/>
        <w:spacing w:line="578" w:lineRule="exact"/>
        <w:ind w:firstLine="640" w:firstLineChars="200"/>
        <w:contextualSpacing/>
        <w:jc w:val="right"/>
        <w:rPr>
          <w:rFonts w:eastAsia="方正仿宋_GBK"/>
          <w:color w:val="000000"/>
          <w:kern w:val="0"/>
          <w:szCs w:val="32"/>
          <w:shd w:val="clear" w:color="auto" w:fill="FFFFFF"/>
        </w:rPr>
      </w:pPr>
      <w:r>
        <w:rPr>
          <w:rFonts w:eastAsia="方正仿宋_GBK"/>
          <w:kern w:val="0"/>
          <w:szCs w:val="32"/>
          <w:shd w:val="clear" w:color="auto" w:fill="FFFFFF"/>
        </w:rPr>
        <w:t xml:space="preserve">      2023年4月10日         </w:t>
      </w:r>
    </w:p>
    <w:p>
      <w:pPr>
        <w:widowControl/>
        <w:adjustRightInd w:val="0"/>
        <w:snapToGrid w:val="0"/>
        <w:spacing w:line="578" w:lineRule="exact"/>
        <w:ind w:firstLine="640" w:firstLineChars="200"/>
        <w:contextualSpacing/>
        <w:jc w:val="left"/>
        <w:rPr>
          <w:rFonts w:eastAsia="方正仿宋_GBK"/>
          <w:color w:val="000000"/>
          <w:kern w:val="0"/>
          <w:szCs w:val="32"/>
          <w:shd w:val="clear" w:color="auto" w:fill="FFFFFF"/>
          <w:lang w:val="zh-CN"/>
        </w:rPr>
      </w:pPr>
    </w:p>
    <w:p>
      <w:pPr>
        <w:widowControl/>
        <w:adjustRightInd w:val="0"/>
        <w:snapToGrid w:val="0"/>
        <w:spacing w:line="578" w:lineRule="exact"/>
        <w:ind w:firstLine="640" w:firstLineChars="200"/>
        <w:contextualSpacing/>
        <w:jc w:val="left"/>
        <w:rPr>
          <w:color w:val="000000"/>
          <w:kern w:val="0"/>
          <w:szCs w:val="32"/>
          <w:shd w:val="clear" w:color="auto" w:fill="FFFFFF"/>
          <w:lang w:val="zh-CN"/>
        </w:rPr>
      </w:pPr>
    </w:p>
    <w:p>
      <w:pPr>
        <w:widowControl/>
        <w:adjustRightInd w:val="0"/>
        <w:snapToGrid w:val="0"/>
        <w:spacing w:line="578" w:lineRule="exact"/>
        <w:contextualSpacing/>
        <w:jc w:val="left"/>
        <w:rPr>
          <w:rFonts w:asciiTheme="minorEastAsia" w:hAnsiTheme="minorEastAsia" w:eastAsiaTheme="minorEastAsia" w:cstheme="minorEastAsia"/>
          <w:color w:val="000000"/>
          <w:kern w:val="0"/>
          <w:sz w:val="24"/>
          <w:shd w:val="clear" w:color="auto" w:fill="FFFFFF"/>
          <w:lang w:val="zh-CN"/>
        </w:rPr>
      </w:pPr>
    </w:p>
    <w:p>
      <w:pPr>
        <w:widowControl/>
        <w:adjustRightInd w:val="0"/>
        <w:snapToGrid w:val="0"/>
        <w:spacing w:line="578" w:lineRule="exact"/>
        <w:contextualSpacing/>
        <w:jc w:val="left"/>
        <w:rPr>
          <w:rFonts w:eastAsia="黑体"/>
          <w:color w:val="000000"/>
          <w:kern w:val="0"/>
          <w:szCs w:val="32"/>
          <w:shd w:val="clear" w:color="auto" w:fill="FFFFFF"/>
          <w:lang w:val="zh-CN"/>
        </w:rPr>
      </w:pPr>
    </w:p>
    <w:p>
      <w:pPr>
        <w:widowControl/>
        <w:adjustRightInd w:val="0"/>
        <w:snapToGrid w:val="0"/>
        <w:spacing w:line="578" w:lineRule="exact"/>
        <w:contextualSpacing/>
        <w:jc w:val="left"/>
        <w:rPr>
          <w:rFonts w:eastAsia="黑体"/>
          <w:color w:val="000000"/>
          <w:kern w:val="0"/>
          <w:szCs w:val="32"/>
          <w:shd w:val="clear" w:color="auto" w:fill="FFFFFF"/>
          <w:lang w:val="zh-CN"/>
        </w:rPr>
      </w:pPr>
    </w:p>
    <w:p>
      <w:pPr>
        <w:widowControl/>
        <w:adjustRightInd w:val="0"/>
        <w:snapToGrid w:val="0"/>
        <w:spacing w:line="578" w:lineRule="exact"/>
        <w:contextualSpacing/>
        <w:jc w:val="left"/>
        <w:rPr>
          <w:rFonts w:eastAsia="黑体"/>
          <w:color w:val="000000"/>
          <w:kern w:val="0"/>
          <w:szCs w:val="32"/>
          <w:shd w:val="clear" w:color="auto" w:fill="FFFFFF"/>
          <w:lang w:val="zh-CN"/>
        </w:rPr>
      </w:pPr>
    </w:p>
    <w:p>
      <w:pPr>
        <w:widowControl/>
        <w:adjustRightInd w:val="0"/>
        <w:snapToGrid w:val="0"/>
        <w:spacing w:line="578" w:lineRule="exact"/>
        <w:contextualSpacing/>
        <w:jc w:val="left"/>
        <w:rPr>
          <w:rFonts w:eastAsia="方正黑体_GBK"/>
          <w:color w:val="000000"/>
          <w:kern w:val="0"/>
          <w:szCs w:val="32"/>
          <w:shd w:val="clear" w:color="auto" w:fill="FFFFFF"/>
          <w:lang w:val="zh-CN"/>
        </w:rPr>
      </w:pPr>
      <w:r>
        <w:rPr>
          <w:rFonts w:eastAsia="方正黑体_GBK"/>
          <w:color w:val="000000"/>
          <w:kern w:val="0"/>
          <w:szCs w:val="32"/>
          <w:shd w:val="clear" w:color="auto" w:fill="FFFFFF"/>
          <w:lang w:val="zh-CN"/>
        </w:rPr>
        <w:t>附</w:t>
      </w:r>
      <w:r>
        <w:rPr>
          <w:rFonts w:eastAsia="方正黑体_GBK"/>
          <w:color w:val="000000"/>
          <w:kern w:val="0"/>
          <w:szCs w:val="32"/>
          <w:shd w:val="clear" w:color="auto" w:fill="FFFFFF"/>
        </w:rPr>
        <w:t>件1</w:t>
      </w:r>
    </w:p>
    <w:p>
      <w:pPr>
        <w:pStyle w:val="2"/>
        <w:spacing w:line="578" w:lineRule="exact"/>
        <w:rPr>
          <w:lang w:val="zh-CN"/>
        </w:rPr>
      </w:pPr>
    </w:p>
    <w:tbl>
      <w:tblPr>
        <w:tblStyle w:val="5"/>
        <w:tblW w:w="10224" w:type="dxa"/>
        <w:jc w:val="center"/>
        <w:tblLayout w:type="fixed"/>
        <w:tblCellMar>
          <w:top w:w="0" w:type="dxa"/>
          <w:left w:w="108" w:type="dxa"/>
          <w:bottom w:w="0" w:type="dxa"/>
          <w:right w:w="108" w:type="dxa"/>
        </w:tblCellMar>
      </w:tblPr>
      <w:tblGrid>
        <w:gridCol w:w="854"/>
        <w:gridCol w:w="804"/>
        <w:gridCol w:w="803"/>
        <w:gridCol w:w="45"/>
        <w:gridCol w:w="1982"/>
        <w:gridCol w:w="2213"/>
        <w:gridCol w:w="309"/>
        <w:gridCol w:w="3214"/>
      </w:tblGrid>
      <w:tr>
        <w:tblPrEx>
          <w:tblCellMar>
            <w:top w:w="0" w:type="dxa"/>
            <w:left w:w="108" w:type="dxa"/>
            <w:bottom w:w="0" w:type="dxa"/>
            <w:right w:w="108" w:type="dxa"/>
          </w:tblCellMar>
        </w:tblPrEx>
        <w:trPr>
          <w:trHeight w:val="570" w:hRule="atLeast"/>
          <w:jc w:val="center"/>
        </w:trPr>
        <w:tc>
          <w:tcPr>
            <w:tcW w:w="10224" w:type="dxa"/>
            <w:gridSpan w:val="8"/>
            <w:tcBorders>
              <w:top w:val="nil"/>
              <w:left w:val="nil"/>
              <w:bottom w:val="nil"/>
              <w:right w:val="nil"/>
            </w:tcBorders>
            <w:shd w:val="clear" w:color="auto" w:fill="auto"/>
            <w:vAlign w:val="center"/>
          </w:tcPr>
          <w:p>
            <w:pPr>
              <w:widowControl/>
              <w:spacing w:line="578" w:lineRule="exact"/>
              <w:jc w:val="center"/>
              <w:textAlignment w:val="center"/>
              <w:rPr>
                <w:rFonts w:eastAsiaTheme="majorEastAsia"/>
                <w:b/>
                <w:bCs/>
                <w:color w:val="000000"/>
                <w:szCs w:val="32"/>
              </w:rPr>
            </w:pPr>
            <w:r>
              <w:rPr>
                <w:rFonts w:eastAsiaTheme="majorEastAsia"/>
                <w:b/>
                <w:bCs/>
                <w:color w:val="000000"/>
                <w:kern w:val="0"/>
                <w:szCs w:val="32"/>
              </w:rPr>
              <w:t>2022年特定目标类部门预算项目绩效目标自评</w:t>
            </w:r>
          </w:p>
        </w:tc>
      </w:tr>
      <w:tr>
        <w:tblPrEx>
          <w:tblCellMar>
            <w:top w:w="0" w:type="dxa"/>
            <w:left w:w="108" w:type="dxa"/>
            <w:bottom w:w="0" w:type="dxa"/>
            <w:right w:w="108" w:type="dxa"/>
          </w:tblCellMar>
        </w:tblPrEx>
        <w:trPr>
          <w:trHeight w:val="570" w:hRule="atLeast"/>
          <w:jc w:val="center"/>
        </w:trPr>
        <w:tc>
          <w:tcPr>
            <w:tcW w:w="10224" w:type="dxa"/>
            <w:gridSpan w:val="8"/>
            <w:tcBorders>
              <w:top w:val="nil"/>
              <w:left w:val="nil"/>
              <w:bottom w:val="single" w:color="000000" w:sz="4" w:space="0"/>
              <w:right w:val="nil"/>
            </w:tcBorders>
            <w:shd w:val="clear" w:color="auto" w:fill="auto"/>
            <w:vAlign w:val="center"/>
          </w:tcPr>
          <w:p>
            <w:pPr>
              <w:widowControl/>
              <w:spacing w:line="578" w:lineRule="exact"/>
              <w:jc w:val="center"/>
              <w:textAlignment w:val="center"/>
              <w:rPr>
                <w:rFonts w:eastAsiaTheme="majorEastAsia"/>
                <w:b/>
                <w:bCs/>
                <w:color w:val="000000"/>
                <w:szCs w:val="32"/>
              </w:rPr>
            </w:pPr>
            <w:r>
              <w:rPr>
                <w:rFonts w:eastAsiaTheme="majorEastAsia"/>
                <w:b/>
                <w:bCs/>
                <w:color w:val="000000"/>
                <w:kern w:val="0"/>
                <w:szCs w:val="32"/>
              </w:rPr>
              <w:t>（项目名称：基本公共卫生服务</w:t>
            </w:r>
            <w:r>
              <w:rPr>
                <w:rFonts w:hint="eastAsia" w:eastAsiaTheme="majorEastAsia"/>
                <w:b/>
                <w:bCs/>
                <w:color w:val="000000"/>
                <w:kern w:val="0"/>
                <w:szCs w:val="32"/>
              </w:rPr>
              <w:t>项目</w:t>
            </w:r>
            <w:r>
              <w:rPr>
                <w:rFonts w:eastAsiaTheme="majorEastAsia"/>
                <w:b/>
                <w:bCs/>
                <w:color w:val="000000"/>
                <w:kern w:val="0"/>
                <w:szCs w:val="32"/>
              </w:rPr>
              <w:t>）</w:t>
            </w:r>
          </w:p>
        </w:tc>
      </w:tr>
      <w:tr>
        <w:tblPrEx>
          <w:tblCellMar>
            <w:top w:w="0" w:type="dxa"/>
            <w:left w:w="108" w:type="dxa"/>
            <w:bottom w:w="0" w:type="dxa"/>
            <w:right w:w="108" w:type="dxa"/>
          </w:tblCellMar>
        </w:tblPrEx>
        <w:trPr>
          <w:trHeight w:val="450" w:hRule="atLeast"/>
          <w:jc w:val="center"/>
        </w:trPr>
        <w:tc>
          <w:tcPr>
            <w:tcW w:w="854" w:type="dxa"/>
            <w:tcBorders>
              <w:top w:val="nil"/>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实施单位</w:t>
            </w:r>
          </w:p>
        </w:tc>
        <w:tc>
          <w:tcPr>
            <w:tcW w:w="3634" w:type="dxa"/>
            <w:gridSpan w:val="4"/>
            <w:tcBorders>
              <w:top w:val="nil"/>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达州市达川区</w:t>
            </w:r>
            <w:r>
              <w:rPr>
                <w:rFonts w:hint="eastAsia" w:eastAsiaTheme="minorEastAsia"/>
                <w:color w:val="000000"/>
                <w:kern w:val="0"/>
                <w:sz w:val="24"/>
              </w:rPr>
              <w:t>万家镇黄都卫生院</w:t>
            </w:r>
          </w:p>
        </w:tc>
        <w:tc>
          <w:tcPr>
            <w:tcW w:w="2213" w:type="dxa"/>
            <w:tcBorders>
              <w:top w:val="nil"/>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主管部门及代码</w:t>
            </w:r>
          </w:p>
        </w:tc>
        <w:tc>
          <w:tcPr>
            <w:tcW w:w="3523"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达州市达川区卫生健康局11511421MB1506441H</w:t>
            </w: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项目预算</w:t>
            </w:r>
          </w:p>
        </w:tc>
        <w:tc>
          <w:tcPr>
            <w:tcW w:w="1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kern w:val="0"/>
                <w:sz w:val="24"/>
              </w:rPr>
              <w:t>预算数：</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8.94</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执行数：</w:t>
            </w:r>
          </w:p>
        </w:tc>
        <w:tc>
          <w:tcPr>
            <w:tcW w:w="3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8.94</w:t>
            </w:r>
          </w:p>
        </w:tc>
      </w:tr>
      <w:tr>
        <w:tblPrEx>
          <w:tblCellMar>
            <w:top w:w="0" w:type="dxa"/>
            <w:left w:w="108" w:type="dxa"/>
            <w:bottom w:w="0" w:type="dxa"/>
            <w:right w:w="108" w:type="dxa"/>
          </w:tblCellMar>
        </w:tblPrEx>
        <w:trPr>
          <w:trHeight w:val="78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执行情况（万元）</w:t>
            </w:r>
          </w:p>
        </w:tc>
        <w:tc>
          <w:tcPr>
            <w:tcW w:w="16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kern w:val="0"/>
                <w:sz w:val="24"/>
              </w:rPr>
            </w:pPr>
            <w:r>
              <w:rPr>
                <w:rFonts w:eastAsiaTheme="minorEastAsia"/>
                <w:kern w:val="0"/>
                <w:sz w:val="24"/>
              </w:rPr>
              <w:t>其中：</w:t>
            </w:r>
          </w:p>
          <w:p>
            <w:pPr>
              <w:widowControl/>
              <w:spacing w:line="578" w:lineRule="exact"/>
              <w:jc w:val="left"/>
              <w:textAlignment w:val="center"/>
              <w:rPr>
                <w:rFonts w:eastAsiaTheme="minorEastAsia"/>
                <w:sz w:val="24"/>
              </w:rPr>
            </w:pPr>
            <w:r>
              <w:rPr>
                <w:rFonts w:eastAsiaTheme="minorEastAsia"/>
                <w:kern w:val="0"/>
                <w:sz w:val="24"/>
              </w:rPr>
              <w:t>财政拨款</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8.94</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kern w:val="0"/>
                <w:sz w:val="24"/>
              </w:rPr>
            </w:pPr>
            <w:r>
              <w:rPr>
                <w:rFonts w:eastAsiaTheme="minorEastAsia"/>
                <w:color w:val="000000"/>
                <w:kern w:val="0"/>
                <w:sz w:val="24"/>
              </w:rPr>
              <w:t>其中：</w:t>
            </w:r>
          </w:p>
          <w:p>
            <w:pPr>
              <w:widowControl/>
              <w:spacing w:line="578" w:lineRule="exact"/>
              <w:jc w:val="left"/>
              <w:textAlignment w:val="center"/>
              <w:rPr>
                <w:rFonts w:eastAsiaTheme="minorEastAsia"/>
                <w:color w:val="000000"/>
                <w:sz w:val="24"/>
              </w:rPr>
            </w:pPr>
            <w:r>
              <w:rPr>
                <w:rFonts w:eastAsiaTheme="minorEastAsia"/>
                <w:color w:val="000000"/>
                <w:kern w:val="0"/>
                <w:sz w:val="24"/>
              </w:rPr>
              <w:t>财政拨款</w:t>
            </w:r>
          </w:p>
        </w:tc>
        <w:tc>
          <w:tcPr>
            <w:tcW w:w="3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textAlignment w:val="center"/>
              <w:rPr>
                <w:rFonts w:eastAsiaTheme="minorEastAsia"/>
                <w:color w:val="000000"/>
                <w:sz w:val="24"/>
              </w:rPr>
            </w:pPr>
            <w:r>
              <w:rPr>
                <w:rFonts w:hint="eastAsia" w:eastAsiaTheme="minorEastAsia"/>
                <w:color w:val="000000"/>
                <w:kern w:val="0"/>
                <w:sz w:val="24"/>
              </w:rPr>
              <w:t>8.94</w:t>
            </w:r>
          </w:p>
        </w:tc>
      </w:tr>
      <w:tr>
        <w:tblPrEx>
          <w:tblCellMar>
            <w:top w:w="0" w:type="dxa"/>
            <w:left w:w="108" w:type="dxa"/>
            <w:bottom w:w="0" w:type="dxa"/>
            <w:right w:w="108" w:type="dxa"/>
          </w:tblCellMar>
        </w:tblPrEx>
        <w:trPr>
          <w:trHeight w:val="578"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3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rPr>
                <w:rFonts w:eastAsiaTheme="minorEastAsia"/>
                <w:color w:val="000000"/>
                <w:sz w:val="24"/>
              </w:rPr>
            </w:pP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其他资金</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其他资金</w:t>
            </w:r>
          </w:p>
        </w:tc>
        <w:tc>
          <w:tcPr>
            <w:tcW w:w="3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r>
      <w:tr>
        <w:tblPrEx>
          <w:tblCellMar>
            <w:top w:w="0" w:type="dxa"/>
            <w:left w:w="108" w:type="dxa"/>
            <w:bottom w:w="0" w:type="dxa"/>
            <w:right w:w="108" w:type="dxa"/>
          </w:tblCellMar>
        </w:tblPrEx>
        <w:trPr>
          <w:trHeight w:val="45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年度总体目标</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预期目标</w:t>
            </w:r>
          </w:p>
        </w:tc>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目标实际完成情况</w:t>
            </w:r>
          </w:p>
        </w:tc>
      </w:tr>
      <w:tr>
        <w:tblPrEx>
          <w:tblCellMar>
            <w:top w:w="0" w:type="dxa"/>
            <w:left w:w="108" w:type="dxa"/>
            <w:bottom w:w="0" w:type="dxa"/>
            <w:right w:w="108" w:type="dxa"/>
          </w:tblCellMar>
        </w:tblPrEx>
        <w:trPr>
          <w:trHeight w:val="166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完成情况</w:t>
            </w:r>
          </w:p>
        </w:tc>
        <w:tc>
          <w:tcPr>
            <w:tcW w:w="3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2022年内计划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各项服务工作预计共使用资金</w:t>
            </w:r>
            <w:r>
              <w:rPr>
                <w:rFonts w:hint="eastAsia" w:eastAsiaTheme="minorEastAsia"/>
                <w:color w:val="000000"/>
                <w:kern w:val="0"/>
                <w:sz w:val="24"/>
              </w:rPr>
              <w:t>8.94</w:t>
            </w:r>
            <w:r>
              <w:rPr>
                <w:rFonts w:eastAsiaTheme="minorEastAsia"/>
                <w:color w:val="000000"/>
                <w:kern w:val="0"/>
                <w:sz w:val="24"/>
              </w:rPr>
              <w:t>万元，以确保基本公共卫生服务工作顺利有序开展。</w:t>
            </w:r>
          </w:p>
        </w:tc>
        <w:tc>
          <w:tcPr>
            <w:tcW w:w="5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FF0000"/>
                <w:sz w:val="24"/>
              </w:rPr>
            </w:pPr>
            <w:r>
              <w:rPr>
                <w:rFonts w:eastAsiaTheme="minorEastAsia"/>
                <w:color w:val="000000"/>
                <w:kern w:val="0"/>
                <w:sz w:val="24"/>
              </w:rPr>
              <w:t>2022年内计划为辖区内常住居民提供居民健康档案管理、健康教育、预防接种（0-6岁儿童和其他重点人群）、儿童健康管理、孕产妇健康管理、老年人健康管理（辖区内65岁及以上常住居民）、慢性病健康管理（辖区内35岁及以上常住居民中原发性高血压患者和2型糖尿病等慢性病患者）、严重精神障碍患者（常住居民中诊断明确的严重精神障碍患者）、肺结核患者、中医药健康管理（65岁以上常住居民和0-36个月常住儿童)、传染病及突发公共卫生事件报告和处理、卫生计生监督协管、免费提供避孕药具、健康素养促进服务，各项服务工作预计共使用资金</w:t>
            </w:r>
            <w:r>
              <w:rPr>
                <w:rFonts w:hint="eastAsia" w:eastAsiaTheme="minorEastAsia"/>
                <w:color w:val="000000"/>
                <w:kern w:val="0"/>
                <w:sz w:val="24"/>
              </w:rPr>
              <w:t>8.94</w:t>
            </w:r>
            <w:r>
              <w:rPr>
                <w:rFonts w:eastAsiaTheme="minorEastAsia"/>
                <w:color w:val="000000"/>
                <w:kern w:val="0"/>
                <w:sz w:val="24"/>
              </w:rPr>
              <w:t>万元，以确保基本公共卫生服务工作顺利有序开展。</w:t>
            </w:r>
          </w:p>
        </w:tc>
      </w:tr>
      <w:tr>
        <w:tblPrEx>
          <w:tblCellMar>
            <w:top w:w="0" w:type="dxa"/>
            <w:left w:w="108" w:type="dxa"/>
            <w:bottom w:w="0" w:type="dxa"/>
            <w:right w:w="108" w:type="dxa"/>
          </w:tblCellMar>
        </w:tblPrEx>
        <w:trPr>
          <w:trHeight w:val="450"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b/>
                <w:bCs/>
                <w:color w:val="000000"/>
                <w:sz w:val="24"/>
              </w:rPr>
            </w:pPr>
            <w:r>
              <w:rPr>
                <w:rFonts w:eastAsiaTheme="minorEastAsia"/>
                <w:color w:val="000000"/>
                <w:kern w:val="0"/>
                <w:sz w:val="24"/>
              </w:rPr>
              <w:t>年度绩效指标完成情况</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一级指标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二级指标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三级指标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预期指标值</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实际完成指标值</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完成指标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数量指标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健康档案建档率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91</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91</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早孕建册率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产后访视率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健康知识讲座参与人数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480</w:t>
            </w:r>
            <w:r>
              <w:rPr>
                <w:rFonts w:eastAsiaTheme="minorEastAsia"/>
                <w:color w:val="000000"/>
                <w:kern w:val="0"/>
                <w:sz w:val="24"/>
              </w:rPr>
              <w:t>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480</w:t>
            </w:r>
            <w:r>
              <w:rPr>
                <w:rFonts w:eastAsiaTheme="minorEastAsia"/>
                <w:color w:val="000000"/>
                <w:kern w:val="0"/>
                <w:sz w:val="24"/>
              </w:rPr>
              <w:t>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eastAsia="zh-CN"/>
              </w:rPr>
              <w:t>精神</w:t>
            </w:r>
            <w:r>
              <w:rPr>
                <w:rFonts w:eastAsiaTheme="minorEastAsia"/>
                <w:color w:val="000000"/>
                <w:kern w:val="0"/>
                <w:sz w:val="24"/>
              </w:rPr>
              <w:t>障碍患者规范管理率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免费避孕药具提供数量</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18000</w:t>
            </w:r>
            <w:r>
              <w:rPr>
                <w:rFonts w:eastAsiaTheme="minorEastAsia"/>
                <w:color w:val="000000"/>
                <w:kern w:val="0"/>
                <w:sz w:val="24"/>
              </w:rPr>
              <w:t>套</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18000</w:t>
            </w:r>
            <w:r>
              <w:rPr>
                <w:rFonts w:eastAsiaTheme="minorEastAsia"/>
                <w:color w:val="000000"/>
                <w:kern w:val="0"/>
                <w:sz w:val="24"/>
              </w:rPr>
              <w:t>套</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突发公共卫生事件相关信息报告率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发放健康教育印刷资料的数量</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color w:val="000000"/>
                <w:kern w:val="0"/>
                <w:sz w:val="24"/>
              </w:rPr>
              <w:t>≥</w:t>
            </w:r>
            <w:r>
              <w:rPr>
                <w:rFonts w:hint="eastAsia" w:eastAsiaTheme="minorEastAsia"/>
                <w:kern w:val="0"/>
                <w:sz w:val="24"/>
              </w:rPr>
              <w:t>1500册</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1500册</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高血压患者管理人数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630</w:t>
            </w:r>
            <w:r>
              <w:rPr>
                <w:rFonts w:eastAsiaTheme="minorEastAsia"/>
                <w:color w:val="000000"/>
                <w:kern w:val="0"/>
                <w:sz w:val="24"/>
              </w:rPr>
              <w:t>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630</w:t>
            </w:r>
            <w:r>
              <w:rPr>
                <w:rFonts w:eastAsiaTheme="minorEastAsia"/>
                <w:color w:val="000000"/>
                <w:kern w:val="0"/>
                <w:sz w:val="24"/>
              </w:rPr>
              <w:t>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健康科普开展次数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播放健康教育音像资料的种类</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≥12种</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12种</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健康知识讲座举办场次</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≥12场次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12场次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2型糖尿病患者管理人数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210</w:t>
            </w:r>
            <w:r>
              <w:rPr>
                <w:rFonts w:eastAsiaTheme="minorEastAsia"/>
                <w:color w:val="000000"/>
                <w:kern w:val="0"/>
                <w:sz w:val="24"/>
              </w:rPr>
              <w:t>人</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210</w:t>
            </w:r>
            <w:r>
              <w:rPr>
                <w:rFonts w:eastAsiaTheme="minorEastAsia"/>
                <w:color w:val="000000"/>
                <w:kern w:val="0"/>
                <w:sz w:val="24"/>
              </w:rPr>
              <w:t>人</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设置健康教育宣传栏的个数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2</w:t>
            </w:r>
            <w:r>
              <w:rPr>
                <w:rFonts w:eastAsiaTheme="minorEastAsia"/>
                <w:color w:val="000000"/>
                <w:kern w:val="0"/>
                <w:sz w:val="24"/>
              </w:rPr>
              <w:t>个</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2</w:t>
            </w:r>
            <w:r>
              <w:rPr>
                <w:rFonts w:eastAsiaTheme="minorEastAsia"/>
                <w:color w:val="000000"/>
                <w:kern w:val="0"/>
                <w:sz w:val="24"/>
              </w:rPr>
              <w:t>个</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健康教育宣传栏每2个月更换次数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播放健康教育音像资料的次数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20</w:t>
            </w:r>
            <w:r>
              <w:rPr>
                <w:rFonts w:eastAsiaTheme="minorEastAsia"/>
                <w:color w:val="000000"/>
                <w:kern w:val="0"/>
                <w:sz w:val="24"/>
              </w:rPr>
              <w:t>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20</w:t>
            </w:r>
            <w:r>
              <w:rPr>
                <w:rFonts w:eastAsiaTheme="minorEastAsia"/>
                <w:color w:val="000000"/>
                <w:kern w:val="0"/>
                <w:sz w:val="24"/>
              </w:rPr>
              <w:t>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新生儿访视率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适龄儿童国家免疫规划疫苗接种率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公众健康教育活动举办次数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卫生计生监督协管信息报告率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传染病疫情报告率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儿童健康管理率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≥85%</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85%</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年度辖区内建立预防接种证率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公众健康咨询活动开展次数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9次</w:t>
            </w:r>
          </w:p>
        </w:tc>
      </w:tr>
      <w:tr>
        <w:tblPrEx>
          <w:tblCellMar>
            <w:top w:w="0" w:type="dxa"/>
            <w:left w:w="108" w:type="dxa"/>
            <w:bottom w:w="0" w:type="dxa"/>
            <w:right w:w="108" w:type="dxa"/>
          </w:tblCellMar>
        </w:tblPrEx>
        <w:trPr>
          <w:trHeight w:val="12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免费为孕产妇规范提供1次孕早期健康检查、1次产后访视和健康指导等服务孕产妇系统管理率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协助开展的饮用水卫生安全巡查次数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0</w:t>
            </w:r>
            <w:r>
              <w:rPr>
                <w:rFonts w:eastAsiaTheme="minorEastAsia"/>
                <w:color w:val="000000"/>
                <w:kern w:val="0"/>
                <w:sz w:val="24"/>
              </w:rPr>
              <w:t>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0</w:t>
            </w:r>
            <w:r>
              <w:rPr>
                <w:rFonts w:eastAsiaTheme="minorEastAsia"/>
                <w:color w:val="000000"/>
                <w:kern w:val="0"/>
                <w:sz w:val="24"/>
              </w:rPr>
              <w:t>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老年人健康管理率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65</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5</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协助开展的学校卫生安全巡查次数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5</w:t>
            </w:r>
            <w:r>
              <w:rPr>
                <w:rFonts w:eastAsiaTheme="minorEastAsia"/>
                <w:color w:val="000000"/>
                <w:kern w:val="0"/>
                <w:sz w:val="24"/>
              </w:rPr>
              <w:t>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5</w:t>
            </w:r>
            <w:r>
              <w:rPr>
                <w:rFonts w:eastAsiaTheme="minorEastAsia"/>
                <w:color w:val="000000"/>
                <w:kern w:val="0"/>
                <w:sz w:val="24"/>
              </w:rPr>
              <w:t>次</w:t>
            </w:r>
          </w:p>
        </w:tc>
      </w:tr>
      <w:tr>
        <w:tblPrEx>
          <w:tblCellMar>
            <w:top w:w="0" w:type="dxa"/>
            <w:left w:w="108" w:type="dxa"/>
            <w:bottom w:w="0" w:type="dxa"/>
            <w:right w:w="108" w:type="dxa"/>
          </w:tblCellMar>
        </w:tblPrEx>
        <w:trPr>
          <w:trHeight w:val="7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协助开展的非法行医和非法采供血巡查次数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0</w:t>
            </w:r>
            <w:r>
              <w:rPr>
                <w:rFonts w:eastAsiaTheme="minorEastAsia"/>
                <w:color w:val="000000"/>
                <w:kern w:val="0"/>
                <w:sz w:val="24"/>
              </w:rPr>
              <w:t>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0</w:t>
            </w:r>
            <w:r>
              <w:rPr>
                <w:rFonts w:eastAsiaTheme="minorEastAsia"/>
                <w:color w:val="000000"/>
                <w:kern w:val="0"/>
                <w:sz w:val="24"/>
              </w:rPr>
              <w:t>次</w:t>
            </w:r>
          </w:p>
        </w:tc>
      </w:tr>
      <w:tr>
        <w:tblPrEx>
          <w:tblCellMar>
            <w:top w:w="0" w:type="dxa"/>
            <w:left w:w="108" w:type="dxa"/>
            <w:bottom w:w="0" w:type="dxa"/>
            <w:right w:w="108" w:type="dxa"/>
          </w:tblCellMar>
        </w:tblPrEx>
        <w:trPr>
          <w:trHeight w:val="6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计划生育实地协查次数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≥0次</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0次</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肺结核患者规则服药率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老年人中医药健康管理率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70</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70</w:t>
            </w:r>
            <w:r>
              <w:rPr>
                <w:rFonts w:eastAsiaTheme="minorEastAsia"/>
                <w:color w:val="000000"/>
                <w:kern w:val="0"/>
                <w:sz w:val="24"/>
              </w:rPr>
              <w:t>%</w:t>
            </w:r>
          </w:p>
        </w:tc>
      </w:tr>
      <w:tr>
        <w:tblPrEx>
          <w:tblCellMar>
            <w:top w:w="0" w:type="dxa"/>
            <w:left w:w="108" w:type="dxa"/>
            <w:bottom w:w="0" w:type="dxa"/>
            <w:right w:w="108" w:type="dxa"/>
          </w:tblCellMar>
        </w:tblPrEx>
        <w:trPr>
          <w:trHeight w:val="76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0-36个月儿童中医药健康管理服务率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80</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80</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电子健康档案建档率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65</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65</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发放健康教育印刷资料的种类</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≥14种</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14种</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质量指标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高血压患者规范管理率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2</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2</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健康教育印刷资料质量合格率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城乡居民健康档案规范化电子建档率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≥70%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健康教育音像资料内容符合率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公众健康教育活动参与率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58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2型糖尿病患者规范管理率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2</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2</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健康档案使用率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健康教育宣传栏主题符合率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肺结核患者健康管理规范性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老年人中医药健康管理规范性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管理人群血糖控制率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5</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5</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严重精神障碍患者管理规范性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0-36个月儿童中医药健康管理规范性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城乡居民具备健康素养的人数比重</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74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传染病和突发公共卫生事件处理到位率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老年人中医药健康管理记录表完整率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70</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70</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在册患者管理率和精神分裂症治疗率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≥96%</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96%</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免费避孕药具发放准确率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健康知识讲座内容符合率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健康知识讲座参与率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60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卫生计生监督协管信息报告准确性（真实性)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免费避孕药具质量合格率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65岁及以上居民中医体质辨识管理率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68</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68</w:t>
            </w:r>
            <w:r>
              <w:rPr>
                <w:rFonts w:eastAsiaTheme="minorEastAsia"/>
                <w:color w:val="000000"/>
                <w:kern w:val="0"/>
                <w:sz w:val="24"/>
              </w:rPr>
              <w:t>%</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管理人群血压控制率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≥6</w:t>
            </w:r>
            <w:r>
              <w:rPr>
                <w:rFonts w:hint="eastAsia" w:eastAsiaTheme="minorEastAsia"/>
                <w:color w:val="000000"/>
                <w:kern w:val="0"/>
                <w:sz w:val="24"/>
              </w:rPr>
              <w:t>5</w:t>
            </w:r>
            <w:r>
              <w:rPr>
                <w:rFonts w:eastAsiaTheme="minorEastAsia"/>
                <w:color w:val="000000"/>
                <w:kern w:val="0"/>
                <w:sz w:val="24"/>
              </w:rPr>
              <w:t>%</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65</w:t>
            </w:r>
            <w:r>
              <w:rPr>
                <w:rFonts w:eastAsiaTheme="minorEastAsia"/>
                <w:color w:val="000000"/>
                <w:kern w:val="0"/>
                <w:sz w:val="24"/>
              </w:rPr>
              <w:t>%</w:t>
            </w:r>
          </w:p>
        </w:tc>
      </w:tr>
      <w:tr>
        <w:tblPrEx>
          <w:tblCellMar>
            <w:top w:w="0" w:type="dxa"/>
            <w:left w:w="108" w:type="dxa"/>
            <w:bottom w:w="0" w:type="dxa"/>
            <w:right w:w="108" w:type="dxa"/>
          </w:tblCellMar>
        </w:tblPrEx>
        <w:trPr>
          <w:trHeight w:val="52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时效指标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传染病疫情报告及时率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儿童健康管理及时率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年度辖区内建立预防接种证及时率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年度辖区内某种疫苗接种及时率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适龄疫苗接种及时率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健康科普开展及时性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高血压患者管理及时率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eastAsia="zh-CN"/>
              </w:rPr>
              <w:t>精神</w:t>
            </w:r>
            <w:r>
              <w:rPr>
                <w:rFonts w:eastAsiaTheme="minorEastAsia"/>
                <w:color w:val="000000"/>
                <w:kern w:val="0"/>
                <w:sz w:val="24"/>
              </w:rPr>
              <w:t>障碍患者规范管理及时率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早孕建册及时率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新生儿访视及时率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健康教育印刷资料发放及时率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老年人中医药健康管理及时率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健康教育音像资料播放及时率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免费避孕药具发放及时性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卫生监管协管及时率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健康教育宣传栏内容更新及时率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肺结核患者规则服药及时率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2型糖尿病患者规范管理及时率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儿童中医药健康指导及时率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健康档案建立及时率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传染病及突发公共时间处理及时率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健康知识讲座开展及时率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成本指标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基本公共卫生服务项目成本控制数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w:t>
            </w:r>
            <w:r>
              <w:rPr>
                <w:rFonts w:hint="eastAsia" w:eastAsiaTheme="minorEastAsia"/>
                <w:color w:val="000000"/>
                <w:kern w:val="0"/>
                <w:sz w:val="24"/>
              </w:rPr>
              <w:t>8.5</w:t>
            </w:r>
            <w:r>
              <w:rPr>
                <w:rFonts w:eastAsiaTheme="minorEastAsia"/>
                <w:color w:val="000000"/>
                <w:kern w:val="0"/>
                <w:sz w:val="24"/>
              </w:rPr>
              <w:t>万元</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8.5</w:t>
            </w:r>
            <w:r>
              <w:rPr>
                <w:rFonts w:eastAsiaTheme="minorEastAsia"/>
                <w:color w:val="000000"/>
                <w:kern w:val="0"/>
                <w:sz w:val="24"/>
              </w:rPr>
              <w:t>万元</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社会效益指标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公众对健康的关注度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相关健康知识公众知晓率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疾病预防免疫能力</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基本公共卫生服务政策社会知晓率</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≥70%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70%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有效应对传染病及突发公共卫生事件</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b/>
                <w:bCs/>
                <w:color w:val="000000"/>
                <w:sz w:val="24"/>
              </w:rPr>
            </w:pPr>
            <w:r>
              <w:rPr>
                <w:rFonts w:eastAsiaTheme="minorEastAsia"/>
                <w:color w:val="000000"/>
                <w:kern w:val="0"/>
                <w:sz w:val="24"/>
              </w:rPr>
              <w:t>服务对象满意度指标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辖区内孕产妇满意度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辖区内儿童家长满意度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辖区内老年人满意度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肺结核患者患者及家属满意度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严重</w:t>
            </w:r>
            <w:r>
              <w:rPr>
                <w:rFonts w:hint="eastAsia" w:eastAsiaTheme="minorEastAsia"/>
                <w:color w:val="000000"/>
                <w:kern w:val="0"/>
                <w:sz w:val="24"/>
                <w:lang w:eastAsia="zh-CN"/>
              </w:rPr>
              <w:t>精神</w:t>
            </w:r>
            <w:r>
              <w:rPr>
                <w:rFonts w:eastAsiaTheme="minorEastAsia"/>
                <w:color w:val="000000"/>
                <w:kern w:val="0"/>
                <w:sz w:val="24"/>
              </w:rPr>
              <w:t>障碍患者家属满意度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辖区内常住居民满意度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辖区内慢性病患者及家属满意度</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80%</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b/>
                <w:bCs/>
                <w:color w:val="000000"/>
                <w:sz w:val="24"/>
              </w:rPr>
            </w:pPr>
            <w:r>
              <w:rPr>
                <w:rFonts w:eastAsiaTheme="minorEastAsia"/>
                <w:color w:val="000000"/>
                <w:kern w:val="0"/>
                <w:sz w:val="24"/>
              </w:rPr>
              <w:t>可持续影响指标</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公共卫生服务水平</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r>
      <w:tr>
        <w:tblPrEx>
          <w:tblCellMar>
            <w:top w:w="0" w:type="dxa"/>
            <w:left w:w="108" w:type="dxa"/>
            <w:bottom w:w="0" w:type="dxa"/>
            <w:right w:w="108" w:type="dxa"/>
          </w:tblCellMar>
        </w:tblPrEx>
        <w:trPr>
          <w:trHeight w:val="450"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基本公共卫生服务规范制度健全性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sz w:val="24"/>
              </w:rPr>
              <w:t>高</w:t>
            </w: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bl>
    <w:p>
      <w:pPr>
        <w:widowControl/>
        <w:adjustRightInd w:val="0"/>
        <w:snapToGrid w:val="0"/>
        <w:spacing w:line="578" w:lineRule="exact"/>
        <w:ind w:firstLine="640" w:firstLineChars="200"/>
        <w:contextualSpacing/>
        <w:jc w:val="left"/>
        <w:rPr>
          <w:color w:val="000000"/>
          <w:kern w:val="0"/>
          <w:szCs w:val="32"/>
          <w:shd w:val="clear" w:color="auto" w:fill="FFFFFF"/>
        </w:rPr>
      </w:pPr>
    </w:p>
    <w:p>
      <w:pPr>
        <w:widowControl/>
        <w:adjustRightInd w:val="0"/>
        <w:snapToGrid w:val="0"/>
        <w:spacing w:line="578" w:lineRule="exact"/>
        <w:ind w:firstLine="640" w:firstLineChars="200"/>
        <w:contextualSpacing/>
        <w:jc w:val="left"/>
        <w:rPr>
          <w:color w:val="000000"/>
          <w:kern w:val="0"/>
          <w:szCs w:val="32"/>
          <w:shd w:val="clear" w:color="auto" w:fill="FFFFFF"/>
        </w:rPr>
      </w:pPr>
    </w:p>
    <w:p>
      <w:pPr>
        <w:widowControl/>
        <w:adjustRightInd w:val="0"/>
        <w:snapToGrid w:val="0"/>
        <w:spacing w:line="578" w:lineRule="exact"/>
        <w:ind w:firstLine="640" w:firstLineChars="200"/>
        <w:contextualSpacing/>
        <w:jc w:val="left"/>
        <w:rPr>
          <w:color w:val="000000"/>
          <w:kern w:val="0"/>
          <w:szCs w:val="32"/>
          <w:shd w:val="clear" w:color="auto" w:fill="FFFFFF"/>
        </w:rPr>
      </w:pPr>
    </w:p>
    <w:p>
      <w:pPr>
        <w:widowControl/>
        <w:adjustRightInd w:val="0"/>
        <w:snapToGrid w:val="0"/>
        <w:spacing w:line="578" w:lineRule="exact"/>
        <w:ind w:firstLine="640" w:firstLineChars="200"/>
        <w:contextualSpacing/>
        <w:jc w:val="left"/>
        <w:rPr>
          <w:color w:val="000000"/>
          <w:kern w:val="0"/>
          <w:szCs w:val="32"/>
          <w:shd w:val="clear" w:color="auto" w:fill="FFFFFF"/>
        </w:rPr>
      </w:pPr>
    </w:p>
    <w:p>
      <w:pPr>
        <w:widowControl/>
        <w:adjustRightInd w:val="0"/>
        <w:snapToGrid w:val="0"/>
        <w:spacing w:line="578" w:lineRule="exact"/>
        <w:ind w:firstLine="640" w:firstLineChars="200"/>
        <w:contextualSpacing/>
        <w:jc w:val="left"/>
        <w:rPr>
          <w:color w:val="000000"/>
          <w:kern w:val="0"/>
          <w:szCs w:val="32"/>
          <w:shd w:val="clear" w:color="auto" w:fill="FFFFFF"/>
        </w:rPr>
      </w:pPr>
    </w:p>
    <w:p>
      <w:pPr>
        <w:widowControl/>
        <w:adjustRightInd w:val="0"/>
        <w:snapToGrid w:val="0"/>
        <w:spacing w:line="578" w:lineRule="exact"/>
        <w:ind w:firstLine="640" w:firstLineChars="200"/>
        <w:contextualSpacing/>
        <w:jc w:val="left"/>
        <w:rPr>
          <w:color w:val="000000"/>
          <w:kern w:val="0"/>
          <w:szCs w:val="32"/>
          <w:shd w:val="clear" w:color="auto" w:fill="FFFFFF"/>
        </w:rPr>
      </w:pPr>
    </w:p>
    <w:p>
      <w:pPr>
        <w:pStyle w:val="2"/>
        <w:spacing w:line="578" w:lineRule="exact"/>
        <w:rPr>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p>
    <w:p>
      <w:pPr>
        <w:widowControl/>
        <w:adjustRightInd w:val="0"/>
        <w:snapToGrid w:val="0"/>
        <w:spacing w:line="578" w:lineRule="exact"/>
        <w:contextualSpacing/>
        <w:jc w:val="left"/>
        <w:rPr>
          <w:rFonts w:eastAsia="方正黑体_GBK"/>
          <w:color w:val="000000"/>
          <w:kern w:val="0"/>
          <w:szCs w:val="32"/>
          <w:shd w:val="clear" w:color="auto" w:fill="FFFFFF"/>
        </w:rPr>
      </w:pPr>
      <w:r>
        <w:rPr>
          <w:rFonts w:eastAsia="方正黑体_GBK"/>
          <w:color w:val="000000"/>
          <w:kern w:val="0"/>
          <w:szCs w:val="32"/>
          <w:shd w:val="clear" w:color="auto" w:fill="FFFFFF"/>
        </w:rPr>
        <w:t>附件2</w:t>
      </w:r>
    </w:p>
    <w:p>
      <w:pPr>
        <w:pStyle w:val="2"/>
        <w:spacing w:line="578" w:lineRule="exact"/>
      </w:pPr>
    </w:p>
    <w:tbl>
      <w:tblPr>
        <w:tblStyle w:val="5"/>
        <w:tblW w:w="9554" w:type="dxa"/>
        <w:jc w:val="center"/>
        <w:tblLayout w:type="fixed"/>
        <w:tblCellMar>
          <w:top w:w="0" w:type="dxa"/>
          <w:left w:w="108" w:type="dxa"/>
          <w:bottom w:w="0" w:type="dxa"/>
          <w:right w:w="108" w:type="dxa"/>
        </w:tblCellMar>
      </w:tblPr>
      <w:tblGrid>
        <w:gridCol w:w="703"/>
        <w:gridCol w:w="1198"/>
        <w:gridCol w:w="1684"/>
        <w:gridCol w:w="1875"/>
        <w:gridCol w:w="2187"/>
        <w:gridCol w:w="1907"/>
      </w:tblGrid>
      <w:tr>
        <w:tblPrEx>
          <w:tblCellMar>
            <w:top w:w="0" w:type="dxa"/>
            <w:left w:w="108" w:type="dxa"/>
            <w:bottom w:w="0" w:type="dxa"/>
            <w:right w:w="108" w:type="dxa"/>
          </w:tblCellMar>
        </w:tblPrEx>
        <w:trPr>
          <w:trHeight w:val="450" w:hRule="atLeast"/>
          <w:jc w:val="center"/>
        </w:trPr>
        <w:tc>
          <w:tcPr>
            <w:tcW w:w="9554" w:type="dxa"/>
            <w:gridSpan w:val="6"/>
            <w:tcBorders>
              <w:top w:val="nil"/>
              <w:left w:val="nil"/>
              <w:bottom w:val="nil"/>
              <w:right w:val="nil"/>
            </w:tcBorders>
            <w:shd w:val="clear" w:color="auto" w:fill="auto"/>
            <w:vAlign w:val="center"/>
          </w:tcPr>
          <w:p>
            <w:pPr>
              <w:widowControl/>
              <w:spacing w:line="578" w:lineRule="exact"/>
              <w:jc w:val="center"/>
              <w:textAlignment w:val="center"/>
              <w:rPr>
                <w:rFonts w:eastAsiaTheme="majorEastAsia"/>
                <w:b/>
                <w:bCs/>
                <w:color w:val="000000"/>
                <w:szCs w:val="32"/>
              </w:rPr>
            </w:pPr>
            <w:r>
              <w:rPr>
                <w:rFonts w:eastAsiaTheme="majorEastAsia"/>
                <w:b/>
                <w:bCs/>
                <w:color w:val="000000"/>
                <w:kern w:val="0"/>
                <w:szCs w:val="32"/>
              </w:rPr>
              <w:t>2022年特定目标类部门预算项目绩效目标自评</w:t>
            </w:r>
          </w:p>
        </w:tc>
      </w:tr>
      <w:tr>
        <w:tblPrEx>
          <w:tblCellMar>
            <w:top w:w="0" w:type="dxa"/>
            <w:left w:w="108" w:type="dxa"/>
            <w:bottom w:w="0" w:type="dxa"/>
            <w:right w:w="108" w:type="dxa"/>
          </w:tblCellMar>
        </w:tblPrEx>
        <w:trPr>
          <w:trHeight w:val="90" w:hRule="atLeast"/>
          <w:jc w:val="center"/>
        </w:trPr>
        <w:tc>
          <w:tcPr>
            <w:tcW w:w="9554" w:type="dxa"/>
            <w:gridSpan w:val="6"/>
            <w:tcBorders>
              <w:top w:val="nil"/>
              <w:left w:val="nil"/>
              <w:bottom w:val="single" w:color="000000" w:sz="4" w:space="0"/>
              <w:right w:val="nil"/>
            </w:tcBorders>
            <w:shd w:val="clear" w:color="auto" w:fill="auto"/>
            <w:vAlign w:val="center"/>
          </w:tcPr>
          <w:p>
            <w:pPr>
              <w:widowControl/>
              <w:spacing w:line="578" w:lineRule="exact"/>
              <w:jc w:val="center"/>
              <w:textAlignment w:val="center"/>
              <w:rPr>
                <w:rFonts w:eastAsiaTheme="majorEastAsia"/>
                <w:b/>
                <w:bCs/>
                <w:color w:val="000000"/>
                <w:szCs w:val="32"/>
              </w:rPr>
            </w:pPr>
            <w:r>
              <w:rPr>
                <w:rFonts w:eastAsiaTheme="majorEastAsia"/>
                <w:b/>
                <w:bCs/>
                <w:color w:val="000000"/>
                <w:kern w:val="0"/>
                <w:szCs w:val="32"/>
              </w:rPr>
              <w:t>（项目名称：国家基本药物制度</w:t>
            </w:r>
            <w:r>
              <w:rPr>
                <w:rFonts w:hint="eastAsia" w:eastAsiaTheme="majorEastAsia"/>
                <w:b/>
                <w:bCs/>
                <w:color w:val="000000"/>
                <w:kern w:val="0"/>
                <w:szCs w:val="32"/>
              </w:rPr>
              <w:t>项目</w:t>
            </w:r>
            <w:r>
              <w:rPr>
                <w:rFonts w:eastAsiaTheme="majorEastAsia"/>
                <w:b/>
                <w:bCs/>
                <w:color w:val="000000"/>
                <w:kern w:val="0"/>
                <w:szCs w:val="32"/>
              </w:rPr>
              <w:t>）</w:t>
            </w:r>
          </w:p>
        </w:tc>
      </w:tr>
      <w:tr>
        <w:tblPrEx>
          <w:tblCellMar>
            <w:top w:w="0" w:type="dxa"/>
            <w:left w:w="108" w:type="dxa"/>
            <w:bottom w:w="0" w:type="dxa"/>
            <w:right w:w="108" w:type="dxa"/>
          </w:tblCellMar>
        </w:tblPrEx>
        <w:trPr>
          <w:trHeight w:val="33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实施单位</w:t>
            </w:r>
          </w:p>
        </w:tc>
        <w:tc>
          <w:tcPr>
            <w:tcW w:w="3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达州市达川区</w:t>
            </w:r>
            <w:r>
              <w:rPr>
                <w:rFonts w:hint="eastAsia" w:eastAsiaTheme="minorEastAsia"/>
                <w:color w:val="000000"/>
                <w:kern w:val="0"/>
                <w:sz w:val="24"/>
              </w:rPr>
              <w:t>万家镇黄都卫生院</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主管部门及代码</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达州市达川区卫生健康局11511421MB1506441H</w:t>
            </w:r>
          </w:p>
        </w:tc>
      </w:tr>
      <w:tr>
        <w:tblPrEx>
          <w:tblCellMar>
            <w:top w:w="0" w:type="dxa"/>
            <w:left w:w="108" w:type="dxa"/>
            <w:bottom w:w="0" w:type="dxa"/>
            <w:right w:w="108" w:type="dxa"/>
          </w:tblCellMar>
        </w:tblPrEx>
        <w:trPr>
          <w:trHeight w:val="33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项目预算</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预算数：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4.12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执行数：</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kern w:val="0"/>
                <w:sz w:val="24"/>
              </w:rPr>
              <w:t>4.12</w:t>
            </w:r>
          </w:p>
        </w:tc>
      </w:tr>
      <w:tr>
        <w:tblPrEx>
          <w:tblCellMar>
            <w:top w:w="0" w:type="dxa"/>
            <w:left w:w="108" w:type="dxa"/>
            <w:bottom w:w="0" w:type="dxa"/>
            <w:right w:w="108" w:type="dxa"/>
          </w:tblCellMar>
        </w:tblPrEx>
        <w:trPr>
          <w:trHeight w:val="578" w:hRule="atLeast"/>
          <w:jc w:val="center"/>
        </w:trPr>
        <w:tc>
          <w:tcPr>
            <w:tcW w:w="1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执行情况（万元）</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kern w:val="0"/>
                <w:sz w:val="24"/>
              </w:rPr>
            </w:pPr>
            <w:r>
              <w:rPr>
                <w:rFonts w:eastAsiaTheme="minorEastAsia"/>
                <w:color w:val="000000"/>
                <w:kern w:val="0"/>
                <w:sz w:val="24"/>
              </w:rPr>
              <w:t>其中：</w:t>
            </w:r>
          </w:p>
          <w:p>
            <w:pPr>
              <w:widowControl/>
              <w:spacing w:line="578" w:lineRule="exact"/>
              <w:jc w:val="left"/>
              <w:textAlignment w:val="center"/>
              <w:rPr>
                <w:rFonts w:eastAsiaTheme="minorEastAsia"/>
                <w:color w:val="000000"/>
                <w:sz w:val="24"/>
              </w:rPr>
            </w:pPr>
            <w:r>
              <w:rPr>
                <w:rFonts w:eastAsiaTheme="minorEastAsia"/>
                <w:color w:val="000000"/>
                <w:kern w:val="0"/>
                <w:sz w:val="24"/>
              </w:rPr>
              <w:t>财政拨款</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4.12</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kern w:val="0"/>
                <w:sz w:val="24"/>
              </w:rPr>
            </w:pPr>
            <w:r>
              <w:rPr>
                <w:rFonts w:eastAsiaTheme="minorEastAsia"/>
                <w:color w:val="000000"/>
                <w:kern w:val="0"/>
                <w:sz w:val="24"/>
              </w:rPr>
              <w:t>其中：</w:t>
            </w:r>
          </w:p>
          <w:p>
            <w:pPr>
              <w:widowControl/>
              <w:spacing w:line="578" w:lineRule="exact"/>
              <w:jc w:val="left"/>
              <w:textAlignment w:val="center"/>
              <w:rPr>
                <w:rFonts w:eastAsiaTheme="minorEastAsia"/>
                <w:color w:val="000000"/>
                <w:sz w:val="24"/>
              </w:rPr>
            </w:pPr>
            <w:r>
              <w:rPr>
                <w:rFonts w:eastAsiaTheme="minorEastAsia"/>
                <w:color w:val="000000"/>
                <w:kern w:val="0"/>
                <w:sz w:val="24"/>
              </w:rPr>
              <w:t>财政拨款</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textAlignment w:val="center"/>
              <w:rPr>
                <w:rFonts w:eastAsiaTheme="minorEastAsia"/>
                <w:color w:val="000000"/>
                <w:sz w:val="24"/>
              </w:rPr>
            </w:pPr>
            <w:r>
              <w:rPr>
                <w:rFonts w:hint="eastAsia" w:eastAsiaTheme="minorEastAsia"/>
                <w:color w:val="000000"/>
                <w:kern w:val="0"/>
                <w:sz w:val="24"/>
              </w:rPr>
              <w:t>4.12</w:t>
            </w:r>
          </w:p>
        </w:tc>
      </w:tr>
      <w:tr>
        <w:tblPrEx>
          <w:tblCellMar>
            <w:top w:w="0" w:type="dxa"/>
            <w:left w:w="108" w:type="dxa"/>
            <w:bottom w:w="0" w:type="dxa"/>
            <w:right w:w="108" w:type="dxa"/>
          </w:tblCellMar>
        </w:tblPrEx>
        <w:trPr>
          <w:trHeight w:val="578" w:hRule="atLeast"/>
          <w:jc w:val="center"/>
        </w:trPr>
        <w:tc>
          <w:tcPr>
            <w:tcW w:w="1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left"/>
              <w:rPr>
                <w:rFonts w:eastAsiaTheme="minorEastAsia"/>
                <w:color w:val="000000"/>
                <w:sz w:val="24"/>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rPr>
                <w:rFonts w:eastAsiaTheme="minorEastAsia"/>
                <w:color w:val="000000"/>
                <w:sz w:val="24"/>
              </w:rPr>
            </w:pPr>
          </w:p>
        </w:tc>
      </w:tr>
      <w:tr>
        <w:tblPrEx>
          <w:tblCellMar>
            <w:top w:w="0" w:type="dxa"/>
            <w:left w:w="108" w:type="dxa"/>
            <w:bottom w:w="0" w:type="dxa"/>
            <w:right w:w="108" w:type="dxa"/>
          </w:tblCellMar>
        </w:tblPrEx>
        <w:trPr>
          <w:trHeight w:val="290" w:hRule="atLeast"/>
          <w:jc w:val="center"/>
        </w:trPr>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其他资金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r>
      <w:tr>
        <w:tblPrEx>
          <w:tblCellMar>
            <w:top w:w="0" w:type="dxa"/>
            <w:left w:w="108" w:type="dxa"/>
            <w:bottom w:w="0" w:type="dxa"/>
            <w:right w:w="108" w:type="dxa"/>
          </w:tblCellMar>
        </w:tblPrEx>
        <w:trPr>
          <w:trHeight w:val="38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年度总体目标</w:t>
            </w:r>
          </w:p>
        </w:tc>
        <w:tc>
          <w:tcPr>
            <w:tcW w:w="4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预期目标</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目标实际完成情况</w:t>
            </w:r>
          </w:p>
        </w:tc>
      </w:tr>
      <w:tr>
        <w:tblPrEx>
          <w:tblCellMar>
            <w:top w:w="0" w:type="dxa"/>
            <w:left w:w="108" w:type="dxa"/>
            <w:bottom w:w="0" w:type="dxa"/>
            <w:right w:w="108" w:type="dxa"/>
          </w:tblCellMar>
        </w:tblPrEx>
        <w:trPr>
          <w:trHeight w:val="11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完成情况</w:t>
            </w:r>
          </w:p>
        </w:tc>
        <w:tc>
          <w:tcPr>
            <w:tcW w:w="4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kern w:val="0"/>
                <w:sz w:val="24"/>
              </w:rPr>
              <w:t>2022年内计划为辖区内常住人口</w:t>
            </w:r>
            <w:r>
              <w:rPr>
                <w:rFonts w:hint="eastAsia" w:eastAsiaTheme="minorEastAsia"/>
                <w:kern w:val="0"/>
                <w:sz w:val="24"/>
              </w:rPr>
              <w:t>10352</w:t>
            </w:r>
            <w:r>
              <w:rPr>
                <w:rFonts w:eastAsiaTheme="minorEastAsia"/>
                <w:kern w:val="0"/>
                <w:sz w:val="24"/>
              </w:rPr>
              <w:t>人提供基本药物补助，预计使用资金</w:t>
            </w:r>
            <w:r>
              <w:rPr>
                <w:rFonts w:hint="eastAsia" w:eastAsiaTheme="minorEastAsia"/>
                <w:kern w:val="0"/>
                <w:sz w:val="24"/>
              </w:rPr>
              <w:t>4.12</w:t>
            </w:r>
            <w:r>
              <w:rPr>
                <w:rFonts w:eastAsiaTheme="minorEastAsia"/>
                <w:kern w:val="0"/>
                <w:sz w:val="24"/>
              </w:rPr>
              <w:t>万元，目的是为保障人民群众基本用药，提高基本医疗卫生服务及人民群众健康水平。</w:t>
            </w:r>
          </w:p>
        </w:tc>
        <w:tc>
          <w:tcPr>
            <w:tcW w:w="4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kern w:val="0"/>
                <w:sz w:val="24"/>
              </w:rPr>
              <w:t>全面完成2022年基本公共卫生服务既定目标。</w:t>
            </w:r>
          </w:p>
        </w:tc>
      </w:tr>
      <w:tr>
        <w:tblPrEx>
          <w:tblCellMar>
            <w:top w:w="0" w:type="dxa"/>
            <w:left w:w="108" w:type="dxa"/>
            <w:bottom w:w="0" w:type="dxa"/>
            <w:right w:w="108" w:type="dxa"/>
          </w:tblCellMar>
        </w:tblPrEx>
        <w:trPr>
          <w:trHeight w:val="55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kern w:val="0"/>
                <w:sz w:val="24"/>
              </w:rPr>
            </w:pPr>
          </w:p>
          <w:p>
            <w:pPr>
              <w:widowControl/>
              <w:spacing w:line="578" w:lineRule="exact"/>
              <w:jc w:val="center"/>
              <w:textAlignment w:val="center"/>
              <w:rPr>
                <w:rFonts w:eastAsiaTheme="minorEastAsia"/>
                <w:color w:val="000000"/>
                <w:kern w:val="0"/>
                <w:sz w:val="24"/>
              </w:rPr>
            </w:pPr>
          </w:p>
          <w:p>
            <w:pPr>
              <w:widowControl/>
              <w:spacing w:line="578" w:lineRule="exact"/>
              <w:jc w:val="center"/>
              <w:textAlignment w:val="center"/>
              <w:rPr>
                <w:rFonts w:eastAsiaTheme="minorEastAsia"/>
                <w:b/>
                <w:bCs/>
                <w:color w:val="000000"/>
                <w:sz w:val="24"/>
              </w:rPr>
            </w:pPr>
            <w:r>
              <w:rPr>
                <w:rFonts w:eastAsiaTheme="minorEastAsia"/>
                <w:color w:val="000000"/>
                <w:kern w:val="0"/>
                <w:sz w:val="24"/>
              </w:rPr>
              <w:t>年度绩效指标完成情况</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一级指标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二级指标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textAlignment w:val="center"/>
              <w:rPr>
                <w:rFonts w:eastAsiaTheme="minorEastAsia"/>
                <w:color w:val="000000"/>
                <w:sz w:val="24"/>
              </w:rPr>
            </w:pPr>
            <w:r>
              <w:rPr>
                <w:rFonts w:eastAsiaTheme="minorEastAsia"/>
                <w:color w:val="000000"/>
                <w:kern w:val="0"/>
                <w:sz w:val="24"/>
              </w:rPr>
              <w:t>三级指标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预期指标值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实际完成指标值</w:t>
            </w:r>
          </w:p>
        </w:tc>
      </w:tr>
      <w:tr>
        <w:tblPrEx>
          <w:tblCellMar>
            <w:top w:w="0" w:type="dxa"/>
            <w:left w:w="108" w:type="dxa"/>
            <w:bottom w:w="0" w:type="dxa"/>
            <w:right w:w="108" w:type="dxa"/>
          </w:tblCellMar>
        </w:tblPrEx>
        <w:trPr>
          <w:trHeight w:val="576"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完成指标</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基本药物补助人数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10352</w:t>
            </w:r>
            <w:r>
              <w:rPr>
                <w:rFonts w:eastAsiaTheme="minorEastAsia"/>
                <w:kern w:val="0"/>
                <w:sz w:val="24"/>
              </w:rPr>
              <w:t>人</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hint="eastAsia" w:eastAsiaTheme="minorEastAsia"/>
                <w:kern w:val="0"/>
                <w:sz w:val="24"/>
              </w:rPr>
              <w:t>10352</w:t>
            </w:r>
            <w:r>
              <w:rPr>
                <w:rFonts w:eastAsiaTheme="minorEastAsia"/>
                <w:kern w:val="0"/>
                <w:sz w:val="24"/>
              </w:rPr>
              <w:t>人</w:t>
            </w:r>
          </w:p>
        </w:tc>
      </w:tr>
      <w:tr>
        <w:tblPrEx>
          <w:tblCellMar>
            <w:top w:w="0" w:type="dxa"/>
            <w:left w:w="108" w:type="dxa"/>
            <w:bottom w:w="0" w:type="dxa"/>
            <w:right w:w="108" w:type="dxa"/>
          </w:tblCellMar>
        </w:tblPrEx>
        <w:trPr>
          <w:trHeight w:val="120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基本药物补助人员资格准确率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补助资金发放及时性</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成本指标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hint="eastAsia" w:eastAsiaTheme="minorEastAsia"/>
                <w:color w:val="000000"/>
                <w:sz w:val="24"/>
              </w:rPr>
              <w:t>基本药物补助成本控制数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kern w:val="0"/>
                <w:sz w:val="24"/>
              </w:rPr>
              <w:t>＝3元/人年</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sz w:val="24"/>
              </w:rPr>
            </w:pPr>
            <w:r>
              <w:rPr>
                <w:rFonts w:eastAsiaTheme="minorEastAsia"/>
                <w:kern w:val="0"/>
                <w:sz w:val="24"/>
              </w:rPr>
              <w:t>3元/人年</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社会效益指标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基本药物补助应补尽补率</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100%</w:t>
            </w:r>
          </w:p>
        </w:tc>
      </w:tr>
      <w:tr>
        <w:tblPrEx>
          <w:tblCellMar>
            <w:top w:w="0" w:type="dxa"/>
            <w:left w:w="108" w:type="dxa"/>
            <w:bottom w:w="0" w:type="dxa"/>
            <w:right w:w="108" w:type="dxa"/>
          </w:tblCellMar>
        </w:tblPrEx>
        <w:trPr>
          <w:trHeight w:val="66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群众满意度</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≥95%</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95%</w:t>
            </w:r>
          </w:p>
        </w:tc>
      </w:tr>
      <w:tr>
        <w:tblPrEx>
          <w:tblCellMar>
            <w:top w:w="0" w:type="dxa"/>
            <w:left w:w="108" w:type="dxa"/>
            <w:bottom w:w="0" w:type="dxa"/>
            <w:right w:w="108" w:type="dxa"/>
          </w:tblCellMar>
        </w:tblPrEx>
        <w:trPr>
          <w:trHeight w:val="33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b/>
                <w:bCs/>
                <w:color w:val="000000"/>
                <w:sz w:val="24"/>
              </w:rPr>
            </w:pPr>
          </w:p>
        </w:tc>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8" w:lineRule="exact"/>
              <w:jc w:val="center"/>
              <w:rPr>
                <w:rFonts w:eastAsiaTheme="minorEastAsia"/>
                <w:color w:val="000000"/>
                <w:sz w:val="24"/>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center"/>
              <w:textAlignment w:val="center"/>
              <w:rPr>
                <w:rFonts w:eastAsiaTheme="minorEastAsia"/>
                <w:color w:val="000000"/>
                <w:sz w:val="24"/>
              </w:rPr>
            </w:pPr>
            <w:r>
              <w:rPr>
                <w:rFonts w:eastAsiaTheme="minorEastAsia"/>
                <w:color w:val="000000"/>
                <w:kern w:val="0"/>
                <w:sz w:val="24"/>
              </w:rPr>
              <w:t>可持续影响指标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基本药物补助制度健全性</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78" w:lineRule="exact"/>
              <w:jc w:val="left"/>
              <w:textAlignment w:val="center"/>
              <w:rPr>
                <w:rFonts w:eastAsiaTheme="minorEastAsia"/>
                <w:color w:val="000000"/>
                <w:sz w:val="24"/>
              </w:rPr>
            </w:pPr>
            <w:r>
              <w:rPr>
                <w:rFonts w:eastAsiaTheme="minorEastAsia"/>
                <w:color w:val="000000"/>
                <w:kern w:val="0"/>
                <w:sz w:val="24"/>
              </w:rPr>
              <w:t>高</w:t>
            </w:r>
          </w:p>
        </w:tc>
      </w:tr>
    </w:tbl>
    <w:p>
      <w:pPr>
        <w:pStyle w:val="2"/>
        <w:spacing w:line="578" w:lineRule="exact"/>
        <w:rPr>
          <w:color w:val="000000"/>
          <w:kern w:val="0"/>
          <w:szCs w:val="32"/>
          <w:shd w:val="clear" w:color="auto" w:fill="FFFFFF"/>
          <w:lang w:val="zh-CN"/>
        </w:rPr>
      </w:pPr>
    </w:p>
    <w:p>
      <w:pPr>
        <w:widowControl/>
        <w:adjustRightInd w:val="0"/>
        <w:snapToGrid w:val="0"/>
        <w:spacing w:line="578" w:lineRule="exact"/>
        <w:contextualSpacing/>
        <w:jc w:val="left"/>
        <w:rPr>
          <w:rFonts w:eastAsia="宋体"/>
          <w:sz w:val="24"/>
        </w:rPr>
        <w:sectPr>
          <w:headerReference r:id="rId3" w:type="default"/>
          <w:footerReference r:id="rId4" w:type="default"/>
          <w:pgSz w:w="11906" w:h="16838"/>
          <w:pgMar w:top="907" w:right="1361" w:bottom="851" w:left="1361" w:header="851" w:footer="992" w:gutter="0"/>
          <w:pgNumType w:fmt="numberInDash" w:start="1"/>
          <w:cols w:space="0" w:num="1"/>
          <w:docGrid w:type="lines" w:linePitch="437" w:charSpace="0"/>
        </w:sectPr>
      </w:pPr>
    </w:p>
    <w:p>
      <w:pPr>
        <w:widowControl/>
        <w:adjustRightInd w:val="0"/>
        <w:snapToGrid w:val="0"/>
        <w:spacing w:line="578" w:lineRule="exact"/>
        <w:ind w:firstLine="640" w:firstLineChars="200"/>
        <w:contextualSpacing/>
        <w:jc w:val="left"/>
        <w:rPr>
          <w:rFonts w:ascii="黑体" w:hAnsi="黑体" w:eastAsia="黑体" w:cs="黑体"/>
          <w:sz w:val="24"/>
        </w:rPr>
      </w:pPr>
      <w:r>
        <w:rPr>
          <w:rFonts w:hint="eastAsia" w:ascii="黑体" w:hAnsi="黑体" w:eastAsia="黑体" w:cs="黑体"/>
          <w:color w:val="000000"/>
          <w:kern w:val="0"/>
          <w:szCs w:val="32"/>
          <w:shd w:val="clear" w:color="auto" w:fill="FFFFFF"/>
        </w:rPr>
        <w:t>附件3</w:t>
      </w:r>
    </w:p>
    <w:p>
      <w:pPr>
        <w:pStyle w:val="2"/>
        <w:spacing w:line="578" w:lineRule="exact"/>
        <w:rPr>
          <w:lang w:val="zh-CN"/>
        </w:rPr>
      </w:pPr>
    </w:p>
    <w:tbl>
      <w:tblPr>
        <w:tblStyle w:val="5"/>
        <w:tblW w:w="14276" w:type="dxa"/>
        <w:tblInd w:w="93" w:type="dxa"/>
        <w:tblLayout w:type="fixed"/>
        <w:tblCellMar>
          <w:top w:w="0" w:type="dxa"/>
          <w:left w:w="108" w:type="dxa"/>
          <w:bottom w:w="0" w:type="dxa"/>
          <w:right w:w="108" w:type="dxa"/>
        </w:tblCellMar>
      </w:tblPr>
      <w:tblGrid>
        <w:gridCol w:w="942"/>
        <w:gridCol w:w="781"/>
        <w:gridCol w:w="660"/>
        <w:gridCol w:w="579"/>
        <w:gridCol w:w="554"/>
        <w:gridCol w:w="2087"/>
        <w:gridCol w:w="5265"/>
        <w:gridCol w:w="699"/>
        <w:gridCol w:w="672"/>
        <w:gridCol w:w="672"/>
        <w:gridCol w:w="672"/>
        <w:gridCol w:w="693"/>
      </w:tblGrid>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vAlign w:val="center"/>
          </w:tcPr>
          <w:p>
            <w:pPr>
              <w:widowControl/>
              <w:spacing w:line="578" w:lineRule="exact"/>
              <w:jc w:val="center"/>
              <w:textAlignment w:val="center"/>
              <w:rPr>
                <w:rFonts w:eastAsia="宋体"/>
                <w:b/>
                <w:bCs/>
                <w:color w:val="000000"/>
                <w:szCs w:val="32"/>
              </w:rPr>
            </w:pPr>
            <w:r>
              <w:rPr>
                <w:rFonts w:eastAsia="宋体"/>
                <w:b/>
                <w:bCs/>
                <w:color w:val="000000"/>
                <w:kern w:val="0"/>
                <w:szCs w:val="32"/>
              </w:rPr>
              <w:t>达州市达川区</w:t>
            </w:r>
            <w:r>
              <w:rPr>
                <w:rFonts w:hint="eastAsia" w:eastAsia="宋体"/>
                <w:b/>
                <w:bCs/>
                <w:color w:val="000000"/>
                <w:kern w:val="0"/>
                <w:szCs w:val="32"/>
              </w:rPr>
              <w:t>万家镇黄都卫生院</w:t>
            </w:r>
            <w:r>
              <w:rPr>
                <w:rFonts w:eastAsia="宋体"/>
                <w:b/>
                <w:bCs/>
                <w:color w:val="000000"/>
                <w:kern w:val="0"/>
                <w:szCs w:val="32"/>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评价得分</w:t>
            </w:r>
          </w:p>
        </w:tc>
        <w:tc>
          <w:tcPr>
            <w:tcW w:w="20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指标解释</w:t>
            </w:r>
          </w:p>
        </w:tc>
        <w:tc>
          <w:tcPr>
            <w:tcW w:w="52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计分标准</w:t>
            </w:r>
          </w:p>
        </w:tc>
        <w:tc>
          <w:tcPr>
            <w:tcW w:w="13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评价方式</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一级指标</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二级指标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c>
          <w:tcPr>
            <w:tcW w:w="20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c>
          <w:tcPr>
            <w:tcW w:w="526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整体评价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样本评价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定性评价</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textAlignment w:val="center"/>
              <w:rPr>
                <w:rFonts w:eastAsia="宋体"/>
                <w:b/>
                <w:bCs/>
                <w:color w:val="000000"/>
                <w:sz w:val="18"/>
                <w:szCs w:val="18"/>
              </w:rPr>
            </w:pPr>
            <w:r>
              <w:rPr>
                <w:rFonts w:eastAsia="宋体"/>
                <w:b/>
                <w:bCs/>
                <w:color w:val="000000"/>
                <w:kern w:val="0"/>
                <w:sz w:val="18"/>
                <w:szCs w:val="18"/>
              </w:rPr>
              <w:t>得分合计</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jc w:val="center"/>
              <w:rPr>
                <w:rFonts w:eastAsia="宋体"/>
                <w:b/>
                <w:bCs/>
                <w:color w:val="000000"/>
                <w:sz w:val="18"/>
                <w:szCs w:val="18"/>
              </w:rPr>
            </w:pPr>
          </w:p>
        </w:tc>
        <w:tc>
          <w:tcPr>
            <w:tcW w:w="7906" w:type="dxa"/>
            <w:gridSpan w:val="3"/>
            <w:tcBorders>
              <w:top w:val="single" w:color="000000" w:sz="4" w:space="0"/>
              <w:left w:val="single" w:color="000000" w:sz="4" w:space="0"/>
              <w:bottom w:val="single" w:color="000000" w:sz="4" w:space="0"/>
              <w:right w:val="nil"/>
            </w:tcBorders>
            <w:vAlign w:val="center"/>
          </w:tcPr>
          <w:p>
            <w:pPr>
              <w:widowControl/>
              <w:spacing w:line="578" w:lineRule="exact"/>
              <w:jc w:val="center"/>
              <w:textAlignment w:val="center"/>
              <w:rPr>
                <w:rFonts w:eastAsia="宋体"/>
                <w:b/>
                <w:bCs/>
                <w:color w:val="000000"/>
                <w:sz w:val="18"/>
                <w:szCs w:val="18"/>
              </w:rPr>
            </w:pPr>
            <w:r>
              <w:rPr>
                <w:rFonts w:hint="eastAsia" w:eastAsia="宋体"/>
                <w:b/>
                <w:bCs/>
                <w:sz w:val="18"/>
                <w:szCs w:val="18"/>
              </w:rPr>
              <w:t>80</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rPr>
                <w:rFonts w:eastAsia="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578" w:lineRule="exact"/>
              <w:rPr>
                <w:rFonts w:eastAsia="宋体"/>
                <w:b/>
                <w:bCs/>
                <w:color w:val="000000"/>
                <w:sz w:val="18"/>
                <w:szCs w:val="18"/>
              </w:rPr>
            </w:pPr>
          </w:p>
        </w:tc>
      </w:tr>
      <w:tr>
        <w:tblPrEx>
          <w:tblCellMar>
            <w:top w:w="0" w:type="dxa"/>
            <w:left w:w="108" w:type="dxa"/>
            <w:bottom w:w="0" w:type="dxa"/>
            <w:right w:w="108" w:type="dxa"/>
          </w:tblCellMar>
        </w:tblPrEx>
        <w:trPr>
          <w:trHeight w:val="90"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目标管理（15分）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目标制定</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评价部门绩效目标是否要素完整、细化量化并集体决策。</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1.绩效目标编制要素完整的，得2分，否则酌情扣分。2.绩效指标细化量化的，得2分，否则酌情扣分。 3.评价部门绩效目标纳入部门党组（委）会（办公会）集体决策范围的得1分，否则不得分。  4. 有项目绩效目标的</w:t>
            </w:r>
            <w:r>
              <w:rPr>
                <w:rFonts w:hint="eastAsia" w:eastAsia="宋体"/>
                <w:color w:val="000000"/>
                <w:kern w:val="0"/>
                <w:sz w:val="18"/>
                <w:szCs w:val="18"/>
              </w:rPr>
              <w:t>单位</w:t>
            </w:r>
            <w:r>
              <w:rPr>
                <w:rFonts w:eastAsia="宋体"/>
                <w:color w:val="000000"/>
                <w:kern w:val="0"/>
                <w:sz w:val="18"/>
                <w:szCs w:val="18"/>
              </w:rPr>
              <w:t xml:space="preserve">，根据项目绩效目标编制质量打分，无项目绩效目标的部门，根据部门整体支出绩效目标打分。                                                                    </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3422"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目标实现</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hint="eastAsia" w:eastAsia="宋体"/>
                <w:color w:val="000000"/>
                <w:kern w:val="0"/>
                <w:sz w:val="18"/>
                <w:szCs w:val="18"/>
              </w:rPr>
              <w:t>9</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评价部门绩效目标实际实现程度与预期目标的偏离度。</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以项目完成数量为</w:t>
            </w:r>
            <w:r>
              <w:rPr>
                <w:rFonts w:hint="eastAsia" w:eastAsia="宋体"/>
                <w:color w:val="000000"/>
                <w:kern w:val="0"/>
                <w:sz w:val="18"/>
                <w:szCs w:val="18"/>
              </w:rPr>
              <w:t>中心</w:t>
            </w:r>
            <w:r>
              <w:rPr>
                <w:rFonts w:eastAsia="宋体"/>
                <w:color w:val="000000"/>
                <w:kern w:val="0"/>
                <w:sz w:val="18"/>
                <w:szCs w:val="18"/>
              </w:rPr>
              <w:t>，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支出控制</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部门公用经费及非定额公用支出控制情况。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及时处置</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评价部门开展绩效运行监控后，将绩效监控结果应用到预算调整的情况。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执行进度</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hint="eastAsia" w:eastAsia="宋体"/>
                <w:color w:val="000000"/>
                <w:kern w:val="0"/>
                <w:sz w:val="18"/>
                <w:szCs w:val="18"/>
              </w:rPr>
              <w:t>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评价部门在6、9、11月的预算执行情况。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完成效率（15分）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预算完成</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5</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评价部门预算项目年终预算执行情况。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部门预算项目12月预算执行进度达到100%的，得5分，未达100%的，按照实际进度量化计算得分。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602"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资金结余率</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8</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评价部门预算项目年终资金结余情况。                 </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部门预算项目资金结余率小于0.1的项目数/部门预算项目总数*8。</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（低效无效率）</w:t>
            </w:r>
          </w:p>
        </w:tc>
      </w:tr>
      <w:tr>
        <w:tblPrEx>
          <w:tblCellMar>
            <w:top w:w="0" w:type="dxa"/>
            <w:left w:w="108" w:type="dxa"/>
            <w:bottom w:w="0" w:type="dxa"/>
            <w:right w:w="108" w:type="dxa"/>
          </w:tblCellMar>
        </w:tblPrEx>
        <w:trPr>
          <w:trHeight w:val="2152"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违规记录</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根据审计监督、财政检查等结果反映部门上一年度部门预算管理是否合规。</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依据评价年度审计监督、财政检查结果，出现部门预算管理方面违纪违规问题的，每个问题扣0.2分，直至扣完。</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专项预算项目绩效管理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项目个数（*个)</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3</w:t>
            </w:r>
            <w:r>
              <w:rPr>
                <w:rFonts w:hint="eastAsia" w:eastAsia="宋体"/>
                <w:color w:val="000000"/>
                <w:kern w:val="0"/>
                <w:sz w:val="18"/>
                <w:szCs w:val="18"/>
              </w:rPr>
              <w:t>4</w:t>
            </w:r>
          </w:p>
        </w:tc>
        <w:tc>
          <w:tcPr>
            <w:tcW w:w="1076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454"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绩效结果应用（10分）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hint="eastAsia" w:eastAsia="宋体"/>
                <w:color w:val="000000"/>
                <w:kern w:val="0"/>
                <w:sz w:val="18"/>
                <w:szCs w:val="18"/>
              </w:rPr>
              <w:t>部门</w:t>
            </w:r>
            <w:r>
              <w:rPr>
                <w:rFonts w:eastAsia="宋体"/>
                <w:color w:val="000000"/>
                <w:kern w:val="0"/>
                <w:sz w:val="18"/>
                <w:szCs w:val="18"/>
              </w:rPr>
              <w:t>应用（4分）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预算挂钩</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3</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部门绩效结果与预算挂钩情况。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 xml:space="preserve">将内设机构和下属单位绩效自评纳入考核体系，建立对内设机构和下属单位预算与绩效挂钩机制的，得4分，否则酌情扣分。    </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626"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信息公开（2分）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自评公开</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评价部门是否按要求将部门整体绩效自评情况和自行组织的评价情况向社会公开。</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按要求将相关绩效信息随同决算公开的，得2分，否则不得分。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整改反馈（4分）</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问题整改</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评价部门根据绩效管理结果整改问题、完善政策、改进管理的情况。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针对绩效管理过程中（包括绩效目标核查、绩效监控核查和重点绩效评价）提出的问题进行整改，得2分，否则酌情扣分。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应用反馈</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评价部门按要求及时向财政部门反馈结果应用情况。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部门在规定时间内向财政部门反馈应用绩效结果报告的，得2分，否则不得分。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2212"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自评质量（10分）</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自评质量</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自评质量</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评价部门整体支出自评准确率。</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r>
        <w:tblPrEx>
          <w:tblCellMar>
            <w:top w:w="0" w:type="dxa"/>
            <w:left w:w="108" w:type="dxa"/>
            <w:bottom w:w="0" w:type="dxa"/>
            <w:right w:w="108" w:type="dxa"/>
          </w:tblCellMar>
        </w:tblPrEx>
        <w:trPr>
          <w:trHeight w:val="999" w:hRule="atLeast"/>
        </w:trPr>
        <w:tc>
          <w:tcPr>
            <w:tcW w:w="238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扣分项（10分）</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10</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2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被评价单位配合评价工作情况。</w:t>
            </w:r>
          </w:p>
        </w:tc>
        <w:tc>
          <w:tcPr>
            <w:tcW w:w="52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r>
              <w:rPr>
                <w:rFonts w:eastAsia="宋体"/>
                <w:color w:val="000000"/>
                <w:kern w:val="0"/>
                <w:sz w:val="18"/>
                <w:szCs w:val="18"/>
              </w:rPr>
              <w:t>√</w:t>
            </w: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宋体"/>
                <w:color w:val="000000"/>
                <w:kern w:val="0"/>
                <w:sz w:val="18"/>
                <w:szCs w:val="18"/>
              </w:rPr>
            </w:pPr>
          </w:p>
        </w:tc>
      </w:tr>
    </w:tbl>
    <w:p>
      <w:pPr>
        <w:widowControl/>
        <w:spacing w:line="240" w:lineRule="exact"/>
        <w:jc w:val="center"/>
        <w:textAlignment w:val="center"/>
        <w:rPr>
          <w:rFonts w:eastAsia="宋体"/>
          <w:color w:val="000000"/>
          <w:kern w:val="0"/>
          <w:sz w:val="18"/>
          <w:szCs w:val="18"/>
        </w:rPr>
      </w:pPr>
    </w:p>
    <w:sectPr>
      <w:footerReference r:id="rId5" w:type="default"/>
      <w:pgSz w:w="16838" w:h="11906" w:orient="landscape"/>
      <w:pgMar w:top="1361" w:right="907" w:bottom="1361" w:left="851" w:header="851" w:footer="992" w:gutter="0"/>
      <w:pgNumType w:fmt="numberInDash" w:start="21"/>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- 5 -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- 24 -</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09CC7128"/>
    <w:multiLevelType w:val="singleLevel"/>
    <w:tmpl w:val="09CC7128"/>
    <w:lvl w:ilvl="0" w:tentative="0">
      <w:start w:val="3"/>
      <w:numFmt w:val="chineseCounting"/>
      <w:suff w:val="nothing"/>
      <w:lvlText w:val="%1、"/>
      <w:lvlJc w:val="left"/>
      <w:rPr>
        <w:rFonts w:hint="eastAsia"/>
      </w:rPr>
    </w:lvl>
  </w:abstractNum>
  <w:abstractNum w:abstractNumId="2">
    <w:nsid w:val="31CA45B9"/>
    <w:multiLevelType w:val="singleLevel"/>
    <w:tmpl w:val="31CA45B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21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ZjBiNDE1NzY2MzgzMDA1ODU2NDI3MzAzOTcyMWQifQ=="/>
  </w:docVars>
  <w:rsids>
    <w:rsidRoot w:val="002B7079"/>
    <w:rsid w:val="002B7079"/>
    <w:rsid w:val="00686E4E"/>
    <w:rsid w:val="00F56D75"/>
    <w:rsid w:val="0346267A"/>
    <w:rsid w:val="04D66993"/>
    <w:rsid w:val="04F77736"/>
    <w:rsid w:val="06817D80"/>
    <w:rsid w:val="0ADA3376"/>
    <w:rsid w:val="0CA96D48"/>
    <w:rsid w:val="0DA75D50"/>
    <w:rsid w:val="159C4CDB"/>
    <w:rsid w:val="1706121E"/>
    <w:rsid w:val="18086388"/>
    <w:rsid w:val="1CC51A16"/>
    <w:rsid w:val="20801E70"/>
    <w:rsid w:val="221B00AD"/>
    <w:rsid w:val="22842080"/>
    <w:rsid w:val="239B1C2C"/>
    <w:rsid w:val="25160CA4"/>
    <w:rsid w:val="27750B28"/>
    <w:rsid w:val="285E03E3"/>
    <w:rsid w:val="2A9C3C03"/>
    <w:rsid w:val="2BF65788"/>
    <w:rsid w:val="2CCD1C44"/>
    <w:rsid w:val="2CF22C39"/>
    <w:rsid w:val="324F2999"/>
    <w:rsid w:val="32AD6E5C"/>
    <w:rsid w:val="348227BB"/>
    <w:rsid w:val="35841767"/>
    <w:rsid w:val="35A22D08"/>
    <w:rsid w:val="35D85BD5"/>
    <w:rsid w:val="38361665"/>
    <w:rsid w:val="38F55EAD"/>
    <w:rsid w:val="3C9F4A63"/>
    <w:rsid w:val="3F766D38"/>
    <w:rsid w:val="40C17A0E"/>
    <w:rsid w:val="42326C51"/>
    <w:rsid w:val="44AB43C9"/>
    <w:rsid w:val="4757685F"/>
    <w:rsid w:val="48311661"/>
    <w:rsid w:val="4A756814"/>
    <w:rsid w:val="4D8A5D47"/>
    <w:rsid w:val="4D996CBC"/>
    <w:rsid w:val="53A00ACF"/>
    <w:rsid w:val="5C362293"/>
    <w:rsid w:val="5D8939A4"/>
    <w:rsid w:val="5DD90C7B"/>
    <w:rsid w:val="66D65574"/>
    <w:rsid w:val="6BC938C3"/>
    <w:rsid w:val="7BD77277"/>
    <w:rsid w:val="7D272166"/>
    <w:rsid w:val="7E9C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31"/>
    <w:basedOn w:val="7"/>
    <w:qFormat/>
    <w:uiPriority w:val="0"/>
    <w:rPr>
      <w:rFonts w:hint="eastAsia" w:ascii="宋体" w:hAnsi="宋体" w:eastAsia="宋体" w:cs="宋体"/>
      <w:color w:val="000000"/>
      <w:sz w:val="24"/>
      <w:szCs w:val="24"/>
      <w:u w:val="none"/>
    </w:rPr>
  </w:style>
  <w:style w:type="character" w:customStyle="1" w:styleId="9">
    <w:name w:val="font01"/>
    <w:basedOn w:val="7"/>
    <w:qFormat/>
    <w:uiPriority w:val="0"/>
    <w:rPr>
      <w:rFonts w:hint="eastAsia" w:ascii="宋体" w:hAnsi="宋体" w:eastAsia="宋体" w:cs="宋体"/>
      <w:color w:val="FF0000"/>
      <w:sz w:val="24"/>
      <w:szCs w:val="24"/>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8139</Words>
  <Characters>9009</Characters>
  <Lines>21</Lines>
  <Paragraphs>21</Paragraphs>
  <TotalTime>11</TotalTime>
  <ScaleCrop>false</ScaleCrop>
  <LinksUpToDate>false</LinksUpToDate>
  <CharactersWithSpaces>9613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2023-03-17T15:44:00Z</dcterms:created>
  <dc:creator>WPS_1676363659</dc:creator>
  <cp:lastModifiedBy>清幽</cp:lastModifiedBy>
  <cp:lastPrinted>2023-04-11T21:32:00Z</cp:lastPrinted>
  <dcterms:modified xsi:type="dcterms:W3CDTF">2023-04-20T02:43:40Z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29E55B6E2938434B86D4A49CB5A58FAB_13</vt:lpwstr>
  </property>
</Properties>
</file>