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contextualSpacing/>
        <w:jc w:val="center"/>
        <w:rPr>
          <w:rFonts w:hint="eastAsia" w:eastAsia="方正小标宋简体"/>
          <w:sz w:val="44"/>
          <w:szCs w:val="44"/>
          <w:shd w:val="clear" w:color="auto" w:fill="FFFFFF"/>
          <w:lang w:eastAsia="zh-CN"/>
        </w:rPr>
      </w:pPr>
      <w:r>
        <w:rPr>
          <w:rFonts w:eastAsia="方正小标宋简体"/>
          <w:sz w:val="44"/>
          <w:szCs w:val="44"/>
          <w:shd w:val="clear" w:color="auto" w:fill="FFFFFF"/>
        </w:rPr>
        <w:t>达川区</w:t>
      </w:r>
      <w:r>
        <w:rPr>
          <w:rFonts w:hint="eastAsia" w:eastAsia="方正小标宋简体"/>
          <w:sz w:val="44"/>
          <w:szCs w:val="44"/>
          <w:shd w:val="clear" w:color="auto" w:fill="FFFFFF"/>
          <w:lang w:eastAsia="zh-CN"/>
        </w:rPr>
        <w:t>双庙镇中心小学</w:t>
      </w:r>
    </w:p>
    <w:p>
      <w:pPr>
        <w:widowControl/>
        <w:spacing w:line="640" w:lineRule="exact"/>
        <w:contextualSpacing/>
        <w:jc w:val="center"/>
        <w:rPr>
          <w:rFonts w:eastAsia="方正小标宋简体"/>
          <w:sz w:val="44"/>
          <w:szCs w:val="44"/>
          <w:shd w:val="clear" w:color="auto" w:fill="FFFFFF"/>
        </w:rPr>
      </w:pPr>
      <w:r>
        <w:rPr>
          <w:rFonts w:eastAsia="方正小标宋简体"/>
          <w:sz w:val="44"/>
          <w:szCs w:val="44"/>
          <w:shd w:val="clear" w:color="auto" w:fill="FFFFFF"/>
        </w:rPr>
        <w:t>2023年单位整体支出绩效评价报告</w:t>
      </w:r>
    </w:p>
    <w:p>
      <w:pPr>
        <w:tabs>
          <w:tab w:val="left" w:pos="3885"/>
        </w:tabs>
        <w:snapToGrid w:val="0"/>
        <w:spacing w:line="578" w:lineRule="exact"/>
        <w:ind w:firstLine="640" w:firstLineChars="200"/>
        <w:rPr>
          <w:rFonts w:eastAsia="仿宋"/>
          <w:kern w:val="0"/>
          <w:szCs w:val="32"/>
        </w:rPr>
      </w:pP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根据达州市达川区财政局《关于开展2023年部门（单位）、政策和项目支出绩效评价工作的通知》（达川财绩效〔2023〕9号）文件要求，现将本单位2023年开展单位整体支出绩效评价情况报告如下：</w:t>
      </w:r>
    </w:p>
    <w:p>
      <w:pPr>
        <w:widowControl/>
        <w:adjustRightInd w:val="0"/>
        <w:snapToGrid w:val="0"/>
        <w:spacing w:line="578" w:lineRule="exact"/>
        <w:ind w:firstLine="640" w:firstLineChars="200"/>
        <w:contextualSpacing/>
        <w:jc w:val="left"/>
        <w:rPr>
          <w:rFonts w:eastAsia="黑体"/>
          <w:kern w:val="0"/>
          <w:szCs w:val="32"/>
          <w:shd w:val="clear" w:color="auto" w:fill="FFFFFF"/>
          <w:lang w:val="zh-CN"/>
        </w:rPr>
      </w:pPr>
      <w:r>
        <w:rPr>
          <w:rFonts w:eastAsia="黑体"/>
          <w:kern w:val="0"/>
          <w:szCs w:val="32"/>
          <w:shd w:val="clear" w:color="auto" w:fill="FFFFFF"/>
        </w:rPr>
        <w:t>一、</w:t>
      </w:r>
      <w:r>
        <w:rPr>
          <w:rFonts w:eastAsia="黑体"/>
          <w:kern w:val="0"/>
          <w:szCs w:val="32"/>
          <w:shd w:val="clear" w:color="auto" w:fill="FFFFFF"/>
          <w:lang w:val="zh-CN"/>
        </w:rPr>
        <w:t>单位概况</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（一）机构组成。</w:t>
      </w:r>
    </w:p>
    <w:p>
      <w:pPr>
        <w:tabs>
          <w:tab w:val="left" w:pos="3885"/>
        </w:tabs>
        <w:snapToGrid w:val="0"/>
        <w:spacing w:line="578" w:lineRule="exact"/>
        <w:ind w:firstLine="640" w:firstLineChars="200"/>
        <w:rPr>
          <w:rFonts w:eastAsia="方正仿宋_GBK"/>
          <w:kern w:val="0"/>
          <w:szCs w:val="32"/>
        </w:rPr>
      </w:pPr>
      <w:bookmarkStart w:id="0" w:name="_Hlk109805662"/>
      <w:r>
        <w:rPr>
          <w:rFonts w:eastAsia="方正仿宋_GBK"/>
          <w:kern w:val="0"/>
          <w:szCs w:val="32"/>
        </w:rPr>
        <w:t>达川区</w:t>
      </w:r>
      <w:r>
        <w:rPr>
          <w:rFonts w:hint="eastAsia" w:eastAsia="方正仿宋_GBK"/>
          <w:kern w:val="0"/>
          <w:szCs w:val="32"/>
          <w:lang w:eastAsia="zh-CN"/>
        </w:rPr>
        <w:t>双庙镇中心小学</w:t>
      </w:r>
      <w:r>
        <w:rPr>
          <w:rFonts w:eastAsia="方正仿宋_GBK"/>
          <w:kern w:val="0"/>
          <w:szCs w:val="32"/>
        </w:rPr>
        <w:t>是达川区二级预算单位，隶属于达州市达川区教育局主管，属公益一类事业单位，经费来源为财政补助拨款。内设机构</w:t>
      </w:r>
      <w:r>
        <w:rPr>
          <w:rFonts w:hint="eastAsia" w:eastAsia="方正仿宋_GBK"/>
          <w:kern w:val="0"/>
          <w:szCs w:val="32"/>
          <w:lang w:val="en-US" w:eastAsia="zh-CN"/>
        </w:rPr>
        <w:t>5</w:t>
      </w:r>
      <w:r>
        <w:rPr>
          <w:rFonts w:eastAsia="方正仿宋_GBK"/>
          <w:kern w:val="0"/>
          <w:szCs w:val="32"/>
        </w:rPr>
        <w:t>个，分别是</w:t>
      </w:r>
      <w:r>
        <w:rPr>
          <w:rFonts w:hint="eastAsia" w:eastAsia="方正仿宋_GBK"/>
          <w:kern w:val="0"/>
          <w:szCs w:val="32"/>
          <w:lang w:eastAsia="zh-CN"/>
        </w:rPr>
        <w:t>政教处、党建办</w:t>
      </w:r>
      <w:r>
        <w:rPr>
          <w:rFonts w:eastAsia="方正仿宋_GBK"/>
          <w:kern w:val="0"/>
          <w:szCs w:val="32"/>
        </w:rPr>
        <w:t>、教务处、安全办公室、后勤处。</w:t>
      </w:r>
    </w:p>
    <w:bookmarkEnd w:id="0"/>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（二）机构职能。</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根据达州市达川区教育局三定方案，我单位的主要职能职责为：开展</w:t>
      </w:r>
      <w:r>
        <w:rPr>
          <w:rFonts w:hint="eastAsia" w:eastAsia="方正仿宋_GBK"/>
          <w:kern w:val="0"/>
          <w:szCs w:val="32"/>
          <w:lang w:eastAsia="zh-CN"/>
        </w:rPr>
        <w:t>小学</w:t>
      </w:r>
      <w:r>
        <w:rPr>
          <w:rFonts w:eastAsia="方正仿宋_GBK"/>
          <w:kern w:val="0"/>
          <w:szCs w:val="32"/>
        </w:rPr>
        <w:t>义务教育。</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（三）人员概况。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根据人社局相关编制批复文件，核定我单位事业编制</w:t>
      </w:r>
      <w:r>
        <w:rPr>
          <w:rFonts w:hint="eastAsia" w:eastAsia="方正仿宋_GBK"/>
          <w:kern w:val="0"/>
          <w:szCs w:val="32"/>
          <w:lang w:val="en-US" w:eastAsia="zh-CN"/>
        </w:rPr>
        <w:t>44</w:t>
      </w:r>
      <w:r>
        <w:rPr>
          <w:rFonts w:eastAsia="方正仿宋_GBK"/>
          <w:kern w:val="0"/>
          <w:szCs w:val="32"/>
        </w:rPr>
        <w:t>名；</w:t>
      </w:r>
      <w:bookmarkStart w:id="1" w:name="_Hlk109807352"/>
      <w:r>
        <w:rPr>
          <w:rFonts w:eastAsia="方正仿宋_GBK"/>
          <w:kern w:val="0"/>
          <w:szCs w:val="32"/>
        </w:rPr>
        <w:t>截至2022年年末实有在职人员</w:t>
      </w:r>
      <w:r>
        <w:rPr>
          <w:rFonts w:hint="eastAsia" w:eastAsia="方正仿宋_GBK"/>
          <w:kern w:val="0"/>
          <w:szCs w:val="32"/>
          <w:lang w:val="en-US" w:eastAsia="zh-CN"/>
        </w:rPr>
        <w:t>39</w:t>
      </w:r>
      <w:r>
        <w:rPr>
          <w:rFonts w:eastAsia="方正仿宋_GBK"/>
          <w:kern w:val="0"/>
          <w:szCs w:val="32"/>
        </w:rPr>
        <w:t>人，均属事业编制。</w:t>
      </w:r>
      <w:bookmarkEnd w:id="1"/>
      <w:r>
        <w:rPr>
          <w:rFonts w:eastAsia="方正仿宋_GBK"/>
          <w:kern w:val="0"/>
          <w:szCs w:val="32"/>
        </w:rPr>
        <w:t>退休人员</w:t>
      </w:r>
      <w:r>
        <w:rPr>
          <w:rFonts w:hint="eastAsia" w:eastAsia="方正仿宋_GBK"/>
          <w:kern w:val="0"/>
          <w:szCs w:val="32"/>
          <w:lang w:val="en-US" w:eastAsia="zh-CN"/>
        </w:rPr>
        <w:t>41</w:t>
      </w:r>
      <w:r>
        <w:rPr>
          <w:rFonts w:eastAsia="方正仿宋_GBK"/>
          <w:kern w:val="0"/>
          <w:szCs w:val="32"/>
        </w:rPr>
        <w:t>人，学生总人数为</w:t>
      </w:r>
      <w:r>
        <w:rPr>
          <w:rFonts w:hint="eastAsia" w:eastAsia="方正仿宋_GBK"/>
          <w:kern w:val="0"/>
          <w:szCs w:val="32"/>
          <w:lang w:val="en-US" w:eastAsia="zh-CN"/>
        </w:rPr>
        <w:t>227</w:t>
      </w:r>
      <w:r>
        <w:rPr>
          <w:rFonts w:eastAsia="方正仿宋_GBK"/>
          <w:kern w:val="0"/>
          <w:szCs w:val="32"/>
        </w:rPr>
        <w:t>人。</w:t>
      </w:r>
    </w:p>
    <w:p>
      <w:pPr>
        <w:widowControl/>
        <w:adjustRightInd w:val="0"/>
        <w:snapToGrid w:val="0"/>
        <w:spacing w:line="578" w:lineRule="exact"/>
        <w:ind w:firstLine="640" w:firstLineChars="200"/>
        <w:contextualSpacing/>
        <w:jc w:val="left"/>
        <w:rPr>
          <w:rFonts w:eastAsia="黑体"/>
          <w:kern w:val="0"/>
          <w:szCs w:val="32"/>
          <w:shd w:val="clear" w:color="auto" w:fill="FFFFFF"/>
        </w:rPr>
      </w:pPr>
      <w:r>
        <w:rPr>
          <w:rFonts w:eastAsia="黑体"/>
          <w:kern w:val="0"/>
          <w:szCs w:val="32"/>
          <w:shd w:val="clear" w:color="auto" w:fill="FFFFFF"/>
        </w:rPr>
        <w:t>二、部门财政资金收支情况</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（一）部门财政资金收入情况。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2022年本单位财政资金收入为</w:t>
      </w:r>
      <w:r>
        <w:rPr>
          <w:rFonts w:hint="eastAsia" w:eastAsia="方正仿宋_GBK"/>
          <w:kern w:val="0"/>
          <w:szCs w:val="32"/>
          <w:lang w:val="en-US" w:eastAsia="zh-CN"/>
        </w:rPr>
        <w:t>552.57</w:t>
      </w:r>
      <w:r>
        <w:rPr>
          <w:rFonts w:eastAsia="方正仿宋_GBK"/>
          <w:kern w:val="0"/>
          <w:szCs w:val="32"/>
        </w:rPr>
        <w:t>万元。</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（二）部门财政资金支出情况。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2022年本单位财政资金支出</w:t>
      </w:r>
      <w:r>
        <w:rPr>
          <w:rFonts w:hint="eastAsia" w:ascii="仿宋_GB2312" w:hAnsi="宋体" w:eastAsia="仿宋_GB2312" w:cs="黑体"/>
          <w:kern w:val="0"/>
          <w:sz w:val="32"/>
          <w:szCs w:val="32"/>
          <w:u w:val="none"/>
          <w:lang w:bidi="ar"/>
        </w:rPr>
        <w:t>552.57</w:t>
      </w:r>
      <w:r>
        <w:rPr>
          <w:rFonts w:eastAsia="方正仿宋_GBK"/>
          <w:kern w:val="0"/>
          <w:szCs w:val="32"/>
        </w:rPr>
        <w:t>万元，其中：基本支出</w:t>
      </w:r>
      <w:r>
        <w:rPr>
          <w:rFonts w:hint="eastAsia" w:eastAsia="方正仿宋_GBK"/>
          <w:kern w:val="0"/>
          <w:szCs w:val="32"/>
          <w:lang w:val="en-US" w:eastAsia="zh-CN"/>
        </w:rPr>
        <w:t>552.57</w:t>
      </w:r>
      <w:r>
        <w:rPr>
          <w:rFonts w:eastAsia="方正仿宋_GBK"/>
          <w:kern w:val="0"/>
          <w:szCs w:val="32"/>
        </w:rPr>
        <w:t>万元（人员经费</w:t>
      </w:r>
      <w:r>
        <w:rPr>
          <w:rFonts w:hint="eastAsia" w:eastAsia="方正仿宋_GBK"/>
          <w:kern w:val="0"/>
          <w:szCs w:val="32"/>
          <w:lang w:val="en-US" w:eastAsia="zh-CN"/>
        </w:rPr>
        <w:t>519.87</w:t>
      </w:r>
      <w:r>
        <w:rPr>
          <w:rFonts w:eastAsia="方正仿宋_GBK"/>
          <w:kern w:val="0"/>
          <w:szCs w:val="32"/>
        </w:rPr>
        <w:t>万元、日常公用经费</w:t>
      </w:r>
      <w:r>
        <w:rPr>
          <w:rFonts w:hint="eastAsia" w:eastAsia="方正仿宋_GBK"/>
          <w:kern w:val="0"/>
          <w:szCs w:val="32"/>
          <w:lang w:val="en-US" w:eastAsia="zh-CN"/>
        </w:rPr>
        <w:t>32.69</w:t>
      </w:r>
      <w:r>
        <w:rPr>
          <w:rFonts w:eastAsia="方正仿宋_GBK"/>
          <w:kern w:val="0"/>
          <w:szCs w:val="32"/>
        </w:rPr>
        <w:t>万元）。</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达川区</w:t>
      </w:r>
      <w:r>
        <w:rPr>
          <w:rFonts w:hint="eastAsia" w:eastAsia="方正仿宋_GBK"/>
          <w:kern w:val="0"/>
          <w:szCs w:val="32"/>
          <w:lang w:eastAsia="zh-CN"/>
        </w:rPr>
        <w:t>双庙镇中心小学</w:t>
      </w:r>
      <w:r>
        <w:rPr>
          <w:rFonts w:eastAsia="方正仿宋_GBK"/>
          <w:kern w:val="0"/>
          <w:szCs w:val="32"/>
        </w:rPr>
        <w:t>无下属单位，2022年无下属单位支出。</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（三）部门财政收入结转结余情况。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2021年本单位结转下年资金</w:t>
      </w:r>
      <w:r>
        <w:rPr>
          <w:rFonts w:hint="eastAsia" w:eastAsia="方正仿宋_GBK"/>
          <w:kern w:val="0"/>
          <w:szCs w:val="32"/>
          <w:lang w:val="en-US" w:eastAsia="zh-CN"/>
        </w:rPr>
        <w:t>137.26</w:t>
      </w:r>
      <w:r>
        <w:rPr>
          <w:rFonts w:eastAsia="方正仿宋_GBK"/>
          <w:kern w:val="0"/>
          <w:szCs w:val="32"/>
        </w:rPr>
        <w:t>万元。结转资金未进行结余分配，全部结转下年</w:t>
      </w:r>
      <w:r>
        <w:rPr>
          <w:rFonts w:hint="eastAsia" w:eastAsia="方正仿宋_GBK"/>
          <w:kern w:val="0"/>
          <w:szCs w:val="32"/>
          <w:lang w:val="en-US" w:eastAsia="zh-CN"/>
        </w:rPr>
        <w:t>137.26</w:t>
      </w:r>
      <w:r>
        <w:rPr>
          <w:rFonts w:eastAsia="方正仿宋_GBK"/>
          <w:kern w:val="0"/>
          <w:szCs w:val="32"/>
        </w:rPr>
        <w:t>万元。</w:t>
      </w:r>
    </w:p>
    <w:p>
      <w:pPr>
        <w:widowControl/>
        <w:adjustRightInd w:val="0"/>
        <w:snapToGrid w:val="0"/>
        <w:spacing w:line="578" w:lineRule="exact"/>
        <w:ind w:firstLine="640" w:firstLineChars="200"/>
        <w:contextualSpacing/>
        <w:jc w:val="left"/>
        <w:rPr>
          <w:rFonts w:eastAsia="黑体"/>
          <w:kern w:val="0"/>
          <w:szCs w:val="32"/>
          <w:shd w:val="clear" w:color="auto" w:fill="FFFFFF"/>
        </w:rPr>
      </w:pPr>
      <w:r>
        <w:rPr>
          <w:rFonts w:eastAsia="黑体"/>
          <w:kern w:val="0"/>
          <w:szCs w:val="32"/>
          <w:shd w:val="clear" w:color="auto" w:fill="FFFFFF"/>
        </w:rPr>
        <w:t>三、部门整体预算绩效管理情况</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(一)总体工作情况。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2022年年终各项工作任务均全面完成，完成质量较高。</w:t>
      </w:r>
    </w:p>
    <w:p>
      <w:pPr>
        <w:widowControl/>
        <w:adjustRightInd w:val="0"/>
        <w:snapToGrid w:val="0"/>
        <w:spacing w:line="578" w:lineRule="exact"/>
        <w:ind w:firstLine="643" w:firstLineChars="200"/>
        <w:contextualSpacing/>
        <w:jc w:val="left"/>
        <w:rPr>
          <w:b/>
          <w:kern w:val="0"/>
          <w:szCs w:val="32"/>
          <w:shd w:val="clear" w:color="auto" w:fill="FFFFFF"/>
          <w:lang w:val="zh-CN"/>
        </w:rPr>
      </w:pPr>
      <w:r>
        <w:rPr>
          <w:rFonts w:eastAsia="方正楷体_GBK"/>
          <w:b/>
          <w:kern w:val="0"/>
          <w:szCs w:val="32"/>
          <w:shd w:val="clear" w:color="auto" w:fill="FFFFFF"/>
          <w:lang w:val="zh-CN"/>
        </w:rPr>
        <w:t>(二)部门预算管理情况。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2022年，我单位的部门预算管理工作有序开展，现结合整体支出绩效评价指标体系，将主要情况总结如下:</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5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2.在“目标实现”方面，我单位2022年共</w:t>
      </w:r>
      <w:r>
        <w:rPr>
          <w:rFonts w:hint="eastAsia" w:eastAsia="方正仿宋_GBK"/>
          <w:kern w:val="0"/>
          <w:szCs w:val="32"/>
          <w:lang w:val="en-US" w:eastAsia="zh-CN"/>
        </w:rPr>
        <w:t>3</w:t>
      </w:r>
      <w:r>
        <w:rPr>
          <w:rFonts w:eastAsia="方正仿宋_GBK"/>
          <w:kern w:val="0"/>
          <w:szCs w:val="32"/>
        </w:rPr>
        <w:t>个部门预算项目，均属于特定目标类项目。部门所有纳入绩效目标管理的部门预算项目中涉及数量指标共计</w:t>
      </w:r>
      <w:r>
        <w:rPr>
          <w:rFonts w:hint="eastAsia" w:eastAsia="方正仿宋_GBK"/>
          <w:kern w:val="0"/>
          <w:szCs w:val="32"/>
          <w:lang w:val="en-US" w:eastAsia="zh-CN"/>
        </w:rPr>
        <w:t>3</w:t>
      </w:r>
      <w:r>
        <w:rPr>
          <w:rFonts w:eastAsia="方正仿宋_GBK"/>
          <w:kern w:val="0"/>
          <w:szCs w:val="32"/>
        </w:rPr>
        <w:t>个，已完成数量为</w:t>
      </w:r>
      <w:r>
        <w:rPr>
          <w:rFonts w:hint="eastAsia" w:eastAsia="方正仿宋_GBK"/>
          <w:kern w:val="0"/>
          <w:szCs w:val="32"/>
          <w:lang w:val="en-US" w:eastAsia="zh-CN"/>
        </w:rPr>
        <w:t>3</w:t>
      </w:r>
      <w:r>
        <w:rPr>
          <w:rFonts w:eastAsia="方正仿宋_GBK"/>
          <w:kern w:val="0"/>
          <w:szCs w:val="32"/>
        </w:rPr>
        <w:t>个。该项指标分值为10分，自评得分10分。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在“支出控制”方面，我单位2022年日常公用经费、项目支出中“办公费、印刷费、水费、电费、物业管理费”等科目年初预算额万元，年末决算数万元，偏差度2.25%。该项指标分值为2分，年初预算数与决算数偏差程度在10%以内的，自评得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4.在“及时处置”方面，我单位部门绩效监控调整取消额0万元</w:t>
      </w:r>
      <w:r>
        <w:rPr>
          <w:rFonts w:hint="eastAsia" w:eastAsia="方正仿宋_GBK"/>
          <w:kern w:val="0"/>
          <w:szCs w:val="32"/>
        </w:rPr>
        <w:t>、</w:t>
      </w:r>
      <w:r>
        <w:rPr>
          <w:rFonts w:eastAsia="方正仿宋_GBK"/>
          <w:kern w:val="0"/>
          <w:szCs w:val="32"/>
        </w:rPr>
        <w:t>结余注销额0万元，该项指标分值为4分，指标自评得分4分。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5.在“执行进度”方面，根据系统提取数据显示，我单位2022年6月、9月、11月执行进度分别为10%、40%、90%。该项指标分值为4分，按其实际进度占目标进度的比重计算得分2分。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6.在“预算完成”方面，部门预算项目年末预算执行进度100%。该项指标分值为5分，按照实际进度量化计算得分</w:t>
      </w:r>
      <w:r>
        <w:rPr>
          <w:rFonts w:hint="eastAsia" w:eastAsia="方正仿宋_GBK"/>
          <w:kern w:val="0"/>
          <w:szCs w:val="32"/>
        </w:rPr>
        <w:t>4</w:t>
      </w:r>
      <w:r>
        <w:rPr>
          <w:rFonts w:eastAsia="方正仿宋_GBK"/>
          <w:kern w:val="0"/>
          <w:szCs w:val="32"/>
        </w:rPr>
        <w:t>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7.在“资金结余率”方面，我单位部门预算项目共</w:t>
      </w:r>
      <w:r>
        <w:rPr>
          <w:rFonts w:hint="eastAsia" w:eastAsia="方正仿宋_GBK"/>
          <w:kern w:val="0"/>
          <w:szCs w:val="32"/>
          <w:lang w:val="en-US" w:eastAsia="zh-CN"/>
        </w:rPr>
        <w:t>3</w:t>
      </w:r>
      <w:r>
        <w:rPr>
          <w:rFonts w:eastAsia="方正仿宋_GBK"/>
          <w:kern w:val="0"/>
          <w:szCs w:val="32"/>
        </w:rPr>
        <w:t>项，资金余率小于0.1的项目数</w:t>
      </w:r>
      <w:r>
        <w:rPr>
          <w:rFonts w:hint="eastAsia" w:eastAsia="方正仿宋_GBK"/>
          <w:kern w:val="0"/>
          <w:szCs w:val="32"/>
          <w:lang w:val="en-US" w:eastAsia="zh-CN"/>
        </w:rPr>
        <w:t>3</w:t>
      </w:r>
      <w:r>
        <w:rPr>
          <w:rFonts w:eastAsia="方正仿宋_GBK"/>
          <w:kern w:val="0"/>
          <w:szCs w:val="32"/>
        </w:rPr>
        <w:t>项。该项指标分值为8分，按照相应量化计算得分8分。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8.在违规记录上，我单位2022年没有出现部门预算管理方面违纪违规问题。该项指标分值为2分，自评得分2分。</w:t>
      </w:r>
      <w:bookmarkStart w:id="2" w:name="_Toc110955069"/>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（三）专项预算管理</w:t>
      </w:r>
      <w:bookmarkEnd w:id="2"/>
      <w:r>
        <w:rPr>
          <w:rFonts w:eastAsia="方正楷体_GBK"/>
          <w:b/>
          <w:kern w:val="0"/>
          <w:szCs w:val="32"/>
          <w:shd w:val="clear" w:color="auto" w:fill="FFFFFF"/>
          <w:lang w:val="zh-CN"/>
        </w:rPr>
        <w:t>。</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1.专项绩效的预算情况。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2022年度共有</w:t>
      </w:r>
      <w:r>
        <w:rPr>
          <w:rFonts w:hint="eastAsia" w:eastAsia="方正仿宋_GBK"/>
          <w:kern w:val="0"/>
          <w:szCs w:val="32"/>
          <w:lang w:val="en-US" w:eastAsia="zh-CN"/>
        </w:rPr>
        <w:t>3</w:t>
      </w:r>
      <w:r>
        <w:rPr>
          <w:rFonts w:eastAsia="方正仿宋_GBK"/>
          <w:kern w:val="0"/>
          <w:szCs w:val="32"/>
        </w:rPr>
        <w:t>个项目，无追加项目，主要专项绩效预算情况为：</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（1）营养餐专项项目</w:t>
      </w:r>
      <w:r>
        <w:rPr>
          <w:rFonts w:hint="eastAsia" w:eastAsia="方正仿宋_GBK"/>
          <w:kern w:val="0"/>
          <w:szCs w:val="32"/>
          <w:lang w:val="en-US" w:eastAsia="zh-CN"/>
        </w:rPr>
        <w:t>27.27</w:t>
      </w:r>
      <w:r>
        <w:rPr>
          <w:rFonts w:eastAsia="方正仿宋_GBK"/>
          <w:kern w:val="0"/>
          <w:szCs w:val="32"/>
        </w:rPr>
        <w:t>万元，全年目标为2022年内计划发放营养餐改善计划补助资金</w:t>
      </w:r>
      <w:r>
        <w:rPr>
          <w:rFonts w:hint="eastAsia" w:eastAsia="方正仿宋_GBK"/>
          <w:kern w:val="0"/>
          <w:szCs w:val="32"/>
          <w:lang w:val="en-US" w:eastAsia="zh-CN"/>
        </w:rPr>
        <w:t>27.27</w:t>
      </w:r>
      <w:r>
        <w:rPr>
          <w:rFonts w:eastAsia="方正仿宋_GBK"/>
          <w:kern w:val="0"/>
          <w:szCs w:val="32"/>
        </w:rPr>
        <w:t>万元，涉及补助学生人数81名，目的是改善农村义务教育学生的营养状况，提高农村义务教育学生的健康水平，促进城乡义务教育健康持续发展。2022年实际完成</w:t>
      </w:r>
      <w:r>
        <w:rPr>
          <w:rFonts w:hint="eastAsia" w:eastAsia="方正仿宋_GBK"/>
          <w:kern w:val="0"/>
          <w:szCs w:val="32"/>
          <w:lang w:val="en-US" w:eastAsia="zh-CN"/>
        </w:rPr>
        <w:t>21</w:t>
      </w:r>
      <w:r>
        <w:rPr>
          <w:rFonts w:eastAsia="方正仿宋_GBK"/>
          <w:kern w:val="0"/>
          <w:szCs w:val="32"/>
        </w:rPr>
        <w:t>.</w:t>
      </w:r>
      <w:r>
        <w:rPr>
          <w:rFonts w:hint="eastAsia" w:eastAsia="方正仿宋_GBK"/>
          <w:kern w:val="0"/>
          <w:szCs w:val="32"/>
          <w:lang w:val="en-US" w:eastAsia="zh-CN"/>
        </w:rPr>
        <w:t>4</w:t>
      </w:r>
      <w:r>
        <w:rPr>
          <w:rFonts w:eastAsia="方正仿宋_GBK"/>
          <w:kern w:val="0"/>
          <w:szCs w:val="32"/>
        </w:rPr>
        <w:t>7万元工作任务，已完成100%；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购买安保服务专项项目3.00万元，全年目标为2022年内计划发放学校物业管理服务费3.00万元，涉及补贴对象数量2人，目的是维护学校正常教育教学秩序，保障学校及师生的人身、财产安全。2022年实际完成3.00万元工作任务，已完成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（3）食堂购买服务专项项目</w:t>
      </w:r>
      <w:r>
        <w:rPr>
          <w:rFonts w:hint="eastAsia" w:eastAsia="方正仿宋_GBK"/>
          <w:kern w:val="0"/>
          <w:szCs w:val="32"/>
          <w:lang w:eastAsia="zh-CN"/>
        </w:rPr>
        <w:t>3.3</w:t>
      </w:r>
      <w:r>
        <w:rPr>
          <w:rFonts w:eastAsia="方正仿宋_GBK"/>
          <w:kern w:val="0"/>
          <w:szCs w:val="32"/>
        </w:rPr>
        <w:t>万元，全年目标为2022年内计划发放食堂从业人员劳务服务报酬补贴</w:t>
      </w:r>
      <w:r>
        <w:rPr>
          <w:rFonts w:hint="eastAsia" w:eastAsia="方正仿宋_GBK"/>
          <w:kern w:val="0"/>
          <w:szCs w:val="32"/>
          <w:lang w:eastAsia="zh-CN"/>
        </w:rPr>
        <w:t>3.3</w:t>
      </w:r>
      <w:r>
        <w:rPr>
          <w:rFonts w:eastAsia="方正仿宋_GBK"/>
          <w:kern w:val="0"/>
          <w:szCs w:val="32"/>
        </w:rPr>
        <w:t>万元，涉及食堂从业人员</w:t>
      </w:r>
      <w:r>
        <w:rPr>
          <w:rFonts w:hint="eastAsia" w:eastAsia="方正仿宋_GBK"/>
          <w:kern w:val="0"/>
          <w:szCs w:val="32"/>
          <w:lang w:val="en-US" w:eastAsia="zh-CN"/>
        </w:rPr>
        <w:t>2</w:t>
      </w:r>
      <w:r>
        <w:rPr>
          <w:rFonts w:eastAsia="方正仿宋_GBK"/>
          <w:kern w:val="0"/>
          <w:szCs w:val="32"/>
        </w:rPr>
        <w:t>名，目的是建立健全农村义务教育学生营养改善计划长效保障机制和保障学校食堂从业人员相关权益。2022年实际完成</w:t>
      </w:r>
      <w:r>
        <w:rPr>
          <w:rFonts w:hint="eastAsia" w:eastAsia="方正仿宋_GBK"/>
          <w:kern w:val="0"/>
          <w:szCs w:val="32"/>
          <w:lang w:eastAsia="zh-CN"/>
        </w:rPr>
        <w:t>3.3</w:t>
      </w:r>
      <w:r>
        <w:rPr>
          <w:rFonts w:eastAsia="方正仿宋_GBK"/>
          <w:kern w:val="0"/>
          <w:szCs w:val="32"/>
        </w:rPr>
        <w:t>万元工作任务，已完成100%；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2.专项绩效的执行情况。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绩效目标项目年初有</w:t>
      </w:r>
      <w:r>
        <w:rPr>
          <w:rFonts w:hint="eastAsia" w:eastAsia="方正仿宋_GBK"/>
          <w:kern w:val="0"/>
          <w:szCs w:val="32"/>
          <w:lang w:val="en-US" w:eastAsia="zh-CN"/>
        </w:rPr>
        <w:t>3</w:t>
      </w:r>
      <w:r>
        <w:rPr>
          <w:rFonts w:eastAsia="方正仿宋_GBK"/>
          <w:kern w:val="0"/>
          <w:szCs w:val="32"/>
        </w:rPr>
        <w:t>个，开展绩效评价项目</w:t>
      </w:r>
      <w:r>
        <w:rPr>
          <w:rFonts w:hint="eastAsia" w:eastAsia="方正仿宋_GBK"/>
          <w:kern w:val="0"/>
          <w:szCs w:val="32"/>
          <w:lang w:val="en-US" w:eastAsia="zh-CN"/>
        </w:rPr>
        <w:t>3</w:t>
      </w:r>
      <w:r>
        <w:rPr>
          <w:rFonts w:eastAsia="方正仿宋_GBK"/>
          <w:kern w:val="0"/>
          <w:szCs w:val="32"/>
        </w:rPr>
        <w:t>个，开展自评项目数</w:t>
      </w:r>
      <w:r>
        <w:rPr>
          <w:rFonts w:hint="eastAsia" w:eastAsia="方正仿宋_GBK"/>
          <w:kern w:val="0"/>
          <w:szCs w:val="32"/>
          <w:lang w:val="en-US" w:eastAsia="zh-CN"/>
        </w:rPr>
        <w:t>3</w:t>
      </w:r>
      <w:r>
        <w:rPr>
          <w:rFonts w:eastAsia="方正仿宋_GBK"/>
          <w:kern w:val="0"/>
          <w:szCs w:val="32"/>
        </w:rPr>
        <w:t>个，完成绩效评价数</w:t>
      </w:r>
      <w:r>
        <w:rPr>
          <w:rFonts w:hint="eastAsia" w:eastAsia="方正仿宋_GBK"/>
          <w:kern w:val="0"/>
          <w:szCs w:val="32"/>
          <w:lang w:val="en-US" w:eastAsia="zh-CN"/>
        </w:rPr>
        <w:t>3</w:t>
      </w:r>
      <w:r>
        <w:rPr>
          <w:rFonts w:eastAsia="方正仿宋_GBK"/>
          <w:kern w:val="0"/>
          <w:szCs w:val="32"/>
        </w:rPr>
        <w:t>个；应填报绩效目标的项目数</w:t>
      </w:r>
      <w:r>
        <w:rPr>
          <w:rFonts w:hint="eastAsia" w:eastAsia="方正仿宋_GBK"/>
          <w:kern w:val="0"/>
          <w:szCs w:val="32"/>
          <w:lang w:val="en-US" w:eastAsia="zh-CN"/>
        </w:rPr>
        <w:t>3</w:t>
      </w:r>
      <w:r>
        <w:rPr>
          <w:rFonts w:eastAsia="方正仿宋_GBK"/>
          <w:kern w:val="0"/>
          <w:szCs w:val="32"/>
        </w:rPr>
        <w:t>个（年中追加0个）、应开展绩效监控的项目0个和应开展绩效自评项目</w:t>
      </w:r>
      <w:r>
        <w:rPr>
          <w:rFonts w:hint="eastAsia" w:eastAsia="方正仿宋_GBK"/>
          <w:kern w:val="0"/>
          <w:szCs w:val="32"/>
          <w:lang w:val="en-US" w:eastAsia="zh-CN"/>
        </w:rPr>
        <w:t>3</w:t>
      </w:r>
      <w:r>
        <w:rPr>
          <w:rFonts w:eastAsia="方正仿宋_GBK"/>
          <w:kern w:val="0"/>
          <w:szCs w:val="32"/>
        </w:rPr>
        <w:t>个，应完成绩效工作数为</w:t>
      </w:r>
      <w:r>
        <w:rPr>
          <w:rFonts w:hint="eastAsia" w:eastAsia="方正仿宋_GBK"/>
          <w:kern w:val="0"/>
          <w:szCs w:val="32"/>
          <w:lang w:val="en-US" w:eastAsia="zh-CN"/>
        </w:rPr>
        <w:t>3</w:t>
      </w:r>
      <w:r>
        <w:rPr>
          <w:rFonts w:eastAsia="方正仿宋_GBK"/>
          <w:kern w:val="0"/>
          <w:szCs w:val="32"/>
        </w:rPr>
        <w:t>个。项目执行达100%以上的项目</w:t>
      </w:r>
      <w:r>
        <w:rPr>
          <w:rFonts w:hint="eastAsia" w:eastAsia="方正仿宋_GBK"/>
          <w:kern w:val="0"/>
          <w:szCs w:val="32"/>
          <w:lang w:val="en-US" w:eastAsia="zh-CN"/>
        </w:rPr>
        <w:t>3</w:t>
      </w:r>
      <w:r>
        <w:rPr>
          <w:rFonts w:eastAsia="方正仿宋_GBK"/>
          <w:kern w:val="0"/>
          <w:szCs w:val="32"/>
        </w:rPr>
        <w:t>项，项目综合完成率为100%。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专项预算管理分值为40分，自评得分为40分。</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(四)结果应用情况。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在“预算挂钩”方面，我单位已出台全面实施预算绩效管理工作方案，细化考核内容，加强各业务股室与绩效管理工作的联系，明确考核及绩效结果与专项预算安排挂钩举措，推动绩效管理工作更好的实施。该项指标分值为4分，自评得分4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在“自评公开”方面，我单位严格按照预决算编制要求编制绩效目标，填列绩效目标完成情况，开展绩效自评工作，并按要求将相关绩效信息随部门预算决一并在厅门户网站公开。该项指.标分值为2分，自评得分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在“问题整改”方面，结合部门预算项目实际情况，绩效目标设置要素完整也基本做到细化量化;对发现执行进度偏低的项目，要求各业务处室加快预算执行进度;针对我单位内部考核办法有关预算绩效考核的内容不够完善且难以量化考核的情况，及时完善了相关考核办法，细化考核指标。该项指标分值为2分，自评得分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4.在应用反馈上，我单位已按要求在规定时间内将预算绩效结果应用向财政反馈。该项指标分值为2分，自评得分2分。</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(五)自评质量情况。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我单位整体支出自评准确率较高，且全面开展自评。自评质量分值为10分，由主管部门、财政部门考评;单位自评实际总分为90分。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2022年我单位整体支出绩效自评得分实际为87分。</w:t>
      </w:r>
    </w:p>
    <w:p>
      <w:pPr>
        <w:widowControl/>
        <w:adjustRightInd w:val="0"/>
        <w:snapToGrid w:val="0"/>
        <w:spacing w:line="578" w:lineRule="exact"/>
        <w:ind w:firstLine="640" w:firstLineChars="200"/>
        <w:contextualSpacing/>
        <w:jc w:val="left"/>
        <w:rPr>
          <w:rFonts w:eastAsia="黑体"/>
          <w:kern w:val="0"/>
          <w:szCs w:val="32"/>
          <w:shd w:val="clear" w:color="auto" w:fill="FFFFFF"/>
        </w:rPr>
      </w:pPr>
      <w:r>
        <w:rPr>
          <w:rFonts w:eastAsia="黑体"/>
          <w:kern w:val="0"/>
          <w:szCs w:val="32"/>
          <w:shd w:val="clear" w:color="auto" w:fill="FFFFFF"/>
        </w:rPr>
        <w:t>四、评价结论及建议</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(一)评价结论。</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按照2022年度区级部门整体支出绩效评价指标体系，绩效评价总分90分，我单位得分87分（详见《2023年整体支出绩效评价指标体系表》）。基本完成了年度预算绩效管理目标，扣分项主要涉及预算调整金额偏大和个别时间节点预算执行进度不高。</w:t>
      </w:r>
    </w:p>
    <w:p>
      <w:pPr>
        <w:widowControl/>
        <w:adjustRightInd w:val="0"/>
        <w:snapToGrid w:val="0"/>
        <w:spacing w:line="578" w:lineRule="exact"/>
        <w:ind w:firstLine="643" w:firstLineChars="200"/>
        <w:contextualSpacing/>
        <w:jc w:val="left"/>
        <w:rPr>
          <w:b/>
          <w:kern w:val="0"/>
          <w:szCs w:val="32"/>
          <w:shd w:val="clear" w:color="auto" w:fill="FFFFFF"/>
          <w:lang w:val="zh-CN"/>
        </w:rPr>
      </w:pPr>
      <w:r>
        <w:rPr>
          <w:rFonts w:eastAsia="方正楷体_GBK"/>
          <w:b/>
          <w:kern w:val="0"/>
          <w:szCs w:val="32"/>
          <w:shd w:val="clear" w:color="auto" w:fill="FFFFFF"/>
          <w:lang w:val="zh-CN"/>
        </w:rPr>
        <w:t>(二)存在问题。</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一是绩效管理意识还有待加强。绩效管理目标细化量化方式较为单一，前期对预算项目定位、功能、实施内容梳理不够深入，项目资金绩效目标设置不够合理。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二是预算执行力度不强，预算执行进度偏慢。</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(三)改进措施。</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2023年，我单位将采取以下措施，提升预算绩效整体业务工作水平。</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一是提高预算绩效管理工作意识，按照预算绩效管理工作方案要求，明确职责分工，压实主体责任，强化各具体项目承办。各处室的资金绩效管理意识，加强对项目需求的论证，合理测算预算资金，提高预算编制的准确性和科学性，确保预算具有较强的指引性、调控性和操作性。</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二是继续加强预算统筹调控，把握工作重点，加强沟通协调，按照“统筹兼顾、突出重点、厉行节约、讲求效益”的原则统筹预算，保障单位正常运转和履行各项职能开支需要，力争2023年预算执行进度在2022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三是进一步加强队伍能力建设。强化业务培训，提高预算编制的科学化和精细化程度。在财政部门的指导下，定期组织开展预算编制培训工作，增强财务人员预算精细化管理的意识，提高预算精细化管理的能力。</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附件：</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1.达川区</w:t>
      </w:r>
      <w:r>
        <w:rPr>
          <w:rFonts w:hint="eastAsia" w:eastAsia="方正仿宋_GBK"/>
          <w:kern w:val="0"/>
          <w:szCs w:val="32"/>
          <w:lang w:eastAsia="zh-CN"/>
        </w:rPr>
        <w:t>双庙镇中心小学</w:t>
      </w:r>
      <w:r>
        <w:rPr>
          <w:rFonts w:eastAsia="方正仿宋_GBK"/>
          <w:kern w:val="0"/>
          <w:szCs w:val="32"/>
        </w:rPr>
        <w:t>2022年特定目标类部门预算项目绩效目标自评（项目名称：学生营养餐专项）</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2.达川区</w:t>
      </w:r>
      <w:r>
        <w:rPr>
          <w:rFonts w:hint="eastAsia" w:eastAsia="方正仿宋_GBK"/>
          <w:kern w:val="0"/>
          <w:szCs w:val="32"/>
          <w:lang w:eastAsia="zh-CN"/>
        </w:rPr>
        <w:t>双庙镇中心小学</w:t>
      </w:r>
      <w:r>
        <w:rPr>
          <w:rFonts w:eastAsia="方正仿宋_GBK"/>
          <w:kern w:val="0"/>
          <w:szCs w:val="32"/>
        </w:rPr>
        <w:t>2022年特定目标类部门预算项目绩效目标自评（项目名称：购买安保服务专项）</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3.达川区</w:t>
      </w:r>
      <w:r>
        <w:rPr>
          <w:rFonts w:hint="eastAsia" w:eastAsia="方正仿宋_GBK"/>
          <w:kern w:val="0"/>
          <w:szCs w:val="32"/>
          <w:lang w:eastAsia="zh-CN"/>
        </w:rPr>
        <w:t>双庙镇中心小学</w:t>
      </w:r>
      <w:r>
        <w:rPr>
          <w:rFonts w:eastAsia="方正仿宋_GBK"/>
          <w:kern w:val="0"/>
          <w:szCs w:val="32"/>
        </w:rPr>
        <w:t>2022年特定目标类部门预算项目绩效目标自评（项目名称：食堂购买服务专项）</w:t>
      </w:r>
    </w:p>
    <w:p>
      <w:pPr>
        <w:tabs>
          <w:tab w:val="left" w:pos="3885"/>
        </w:tabs>
        <w:snapToGrid w:val="0"/>
        <w:spacing w:line="578" w:lineRule="exact"/>
        <w:ind w:firstLine="640" w:firstLineChars="200"/>
        <w:rPr>
          <w:rFonts w:eastAsia="方正仿宋_GBK"/>
          <w:kern w:val="0"/>
          <w:szCs w:val="32"/>
        </w:rPr>
      </w:pPr>
      <w:r>
        <w:rPr>
          <w:rFonts w:hint="eastAsia" w:eastAsia="方正仿宋_GBK"/>
          <w:kern w:val="0"/>
          <w:szCs w:val="32"/>
          <w:lang w:val="en-US" w:eastAsia="zh-CN"/>
        </w:rPr>
        <w:t>4</w:t>
      </w:r>
      <w:r>
        <w:rPr>
          <w:rFonts w:eastAsia="方正仿宋_GBK"/>
          <w:kern w:val="0"/>
          <w:szCs w:val="32"/>
        </w:rPr>
        <w:t>.达川区</w:t>
      </w:r>
      <w:r>
        <w:rPr>
          <w:rFonts w:hint="eastAsia" w:eastAsia="方正仿宋_GBK"/>
          <w:kern w:val="0"/>
          <w:szCs w:val="32"/>
          <w:lang w:eastAsia="zh-CN"/>
        </w:rPr>
        <w:t>双庙镇中心小学</w:t>
      </w:r>
      <w:r>
        <w:rPr>
          <w:rFonts w:eastAsia="方正仿宋_GBK"/>
          <w:kern w:val="0"/>
          <w:szCs w:val="32"/>
        </w:rPr>
        <w:t>2023年整体支出绩效评价指标体系表</w:t>
      </w:r>
    </w:p>
    <w:p>
      <w:pPr>
        <w:tabs>
          <w:tab w:val="left" w:pos="3885"/>
        </w:tabs>
        <w:snapToGrid w:val="0"/>
        <w:spacing w:line="578" w:lineRule="exact"/>
        <w:ind w:firstLine="640" w:firstLineChars="200"/>
        <w:rPr>
          <w:rFonts w:eastAsia="方正仿宋_GBK"/>
          <w:kern w:val="0"/>
          <w:szCs w:val="32"/>
        </w:rPr>
      </w:pPr>
    </w:p>
    <w:p>
      <w:pPr>
        <w:tabs>
          <w:tab w:val="left" w:pos="3885"/>
        </w:tabs>
        <w:snapToGrid w:val="0"/>
        <w:spacing w:line="578" w:lineRule="exact"/>
        <w:ind w:firstLine="640" w:firstLineChars="200"/>
        <w:jc w:val="right"/>
        <w:rPr>
          <w:rFonts w:hint="eastAsia" w:eastAsia="方正仿宋_GBK"/>
          <w:kern w:val="0"/>
          <w:szCs w:val="32"/>
          <w:lang w:eastAsia="zh-CN"/>
        </w:rPr>
      </w:pPr>
      <w:r>
        <w:rPr>
          <w:rFonts w:eastAsia="方正仿宋_GBK"/>
          <w:kern w:val="0"/>
          <w:szCs w:val="32"/>
        </w:rPr>
        <w:t>达川区</w:t>
      </w:r>
      <w:r>
        <w:rPr>
          <w:rFonts w:hint="eastAsia" w:eastAsia="方正仿宋_GBK"/>
          <w:kern w:val="0"/>
          <w:szCs w:val="32"/>
          <w:lang w:eastAsia="zh-CN"/>
        </w:rPr>
        <w:t>双庙镇中心小学</w:t>
      </w:r>
    </w:p>
    <w:p>
      <w:pPr>
        <w:tabs>
          <w:tab w:val="left" w:pos="3885"/>
        </w:tabs>
        <w:wordWrap w:val="0"/>
        <w:snapToGrid w:val="0"/>
        <w:spacing w:line="578" w:lineRule="exact"/>
        <w:ind w:firstLine="640" w:firstLineChars="200"/>
        <w:jc w:val="right"/>
        <w:rPr>
          <w:rFonts w:eastAsia="方正仿宋_GBK"/>
          <w:kern w:val="0"/>
          <w:szCs w:val="32"/>
        </w:rPr>
      </w:pPr>
      <w:r>
        <w:rPr>
          <w:rFonts w:eastAsia="方正仿宋_GBK"/>
          <w:kern w:val="0"/>
          <w:szCs w:val="32"/>
        </w:rPr>
        <w:t xml:space="preserve">2023年4月6日 </w:t>
      </w:r>
    </w:p>
    <w:p>
      <w:pPr>
        <w:widowControl/>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附件1：</w:t>
      </w: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7"/>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eastAsia="仿宋_GB2312"/>
                <w:color w:val="000000"/>
                <w:kern w:val="0"/>
                <w:sz w:val="21"/>
                <w:szCs w:val="21"/>
                <w:lang w:eastAsia="zh-CN" w:bidi="ar"/>
              </w:rPr>
            </w:pPr>
            <w:r>
              <w:rPr>
                <w:color w:val="000000"/>
                <w:kern w:val="0"/>
                <w:sz w:val="21"/>
                <w:szCs w:val="21"/>
                <w:lang w:bidi="ar"/>
              </w:rPr>
              <w:t>达川区</w:t>
            </w:r>
            <w:r>
              <w:rPr>
                <w:rFonts w:hint="eastAsia"/>
                <w:color w:val="000000"/>
                <w:kern w:val="0"/>
                <w:sz w:val="21"/>
                <w:szCs w:val="21"/>
                <w:lang w:eastAsia="zh-CN" w:bidi="ar"/>
              </w:rPr>
              <w:t>双庙镇中心小学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type="textWrapping"/>
            </w:r>
            <w:r>
              <w:rPr>
                <w:color w:val="000000"/>
                <w:kern w:val="0"/>
                <w:sz w:val="21"/>
                <w:szCs w:val="21"/>
                <w:lang w:bidi="ar"/>
              </w:rPr>
              <w:t>执行情况</w:t>
            </w:r>
            <w:r>
              <w:rPr>
                <w:color w:val="000000"/>
                <w:kern w:val="0"/>
                <w:sz w:val="21"/>
                <w:szCs w:val="21"/>
                <w:lang w:bidi="ar"/>
              </w:rPr>
              <w:br w:type="textWrapping"/>
            </w:r>
            <w:r>
              <w:rPr>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eastAsia="仿宋_GB2312"/>
                <w:color w:val="000000"/>
                <w:kern w:val="0"/>
                <w:sz w:val="21"/>
                <w:szCs w:val="21"/>
                <w:lang w:val="en-US" w:eastAsia="zh-CN" w:bidi="ar"/>
              </w:rPr>
            </w:pPr>
            <w:r>
              <w:rPr>
                <w:rFonts w:hint="eastAsia"/>
                <w:color w:val="000000"/>
                <w:kern w:val="0"/>
                <w:sz w:val="21"/>
                <w:szCs w:val="21"/>
                <w:lang w:val="en-US" w:eastAsia="zh-CN" w:bidi="ar"/>
              </w:rPr>
              <w:t>27.27</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eastAsia="仿宋_GB2312"/>
                <w:color w:val="000000"/>
                <w:kern w:val="0"/>
                <w:sz w:val="21"/>
                <w:szCs w:val="21"/>
                <w:lang w:val="en-US" w:eastAsia="zh-CN" w:bidi="ar"/>
              </w:rPr>
            </w:pPr>
            <w:r>
              <w:rPr>
                <w:rFonts w:hint="eastAsia"/>
                <w:color w:val="000000"/>
                <w:kern w:val="0"/>
                <w:sz w:val="21"/>
                <w:szCs w:val="21"/>
                <w:lang w:val="en-US" w:eastAsia="zh-CN" w:bidi="ar"/>
              </w:rPr>
              <w:t>21.47</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eastAsia="仿宋_GB2312"/>
                <w:color w:val="000000"/>
                <w:kern w:val="0"/>
                <w:sz w:val="21"/>
                <w:szCs w:val="21"/>
                <w:lang w:val="en-US" w:eastAsia="zh-CN" w:bidi="ar"/>
              </w:rPr>
            </w:pPr>
            <w:r>
              <w:rPr>
                <w:rFonts w:hint="eastAsia"/>
                <w:color w:val="000000"/>
                <w:kern w:val="0"/>
                <w:sz w:val="21"/>
                <w:szCs w:val="21"/>
                <w:lang w:val="en-US" w:eastAsia="zh-CN" w:bidi="ar"/>
              </w:rPr>
              <w:t>27.27</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eastAsia="仿宋_GB2312"/>
                <w:color w:val="000000"/>
                <w:kern w:val="0"/>
                <w:sz w:val="21"/>
                <w:szCs w:val="21"/>
                <w:lang w:val="en-US" w:eastAsia="zh-CN" w:bidi="ar"/>
              </w:rPr>
            </w:pPr>
            <w:r>
              <w:rPr>
                <w:rFonts w:hint="eastAsia"/>
                <w:color w:val="000000"/>
                <w:kern w:val="0"/>
                <w:sz w:val="21"/>
                <w:szCs w:val="21"/>
                <w:lang w:val="en-US" w:eastAsia="zh-CN" w:bidi="ar"/>
              </w:rPr>
              <w:t>21.47</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2022年内计划发放营养餐改善计划补助资金</w:t>
            </w:r>
            <w:r>
              <w:rPr>
                <w:rFonts w:hint="eastAsia"/>
                <w:color w:val="000000"/>
                <w:kern w:val="0"/>
                <w:sz w:val="21"/>
                <w:szCs w:val="21"/>
                <w:lang w:val="en-US" w:eastAsia="zh-CN" w:bidi="ar"/>
              </w:rPr>
              <w:t>27.27</w:t>
            </w:r>
            <w:r>
              <w:rPr>
                <w:color w:val="000000"/>
                <w:kern w:val="0"/>
                <w:sz w:val="21"/>
                <w:szCs w:val="21"/>
                <w:lang w:bidi="ar"/>
              </w:rPr>
              <w:t>万元，涉及补助学生人数</w:t>
            </w:r>
            <w:r>
              <w:rPr>
                <w:rFonts w:hint="eastAsia"/>
                <w:color w:val="000000"/>
                <w:kern w:val="0"/>
                <w:sz w:val="21"/>
                <w:szCs w:val="21"/>
                <w:lang w:val="en-US" w:eastAsia="zh-CN" w:bidi="ar"/>
              </w:rPr>
              <w:t>286</w:t>
            </w:r>
            <w:r>
              <w:rPr>
                <w:color w:val="000000"/>
                <w:kern w:val="0"/>
                <w:sz w:val="21"/>
                <w:szCs w:val="21"/>
                <w:lang w:bidi="ar"/>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2022年内实际发放营养餐改善计划补助资金</w:t>
            </w:r>
            <w:r>
              <w:rPr>
                <w:rFonts w:hint="eastAsia"/>
                <w:color w:val="000000"/>
                <w:kern w:val="0"/>
                <w:sz w:val="21"/>
                <w:szCs w:val="21"/>
                <w:lang w:val="en-US" w:eastAsia="zh-CN" w:bidi="ar"/>
              </w:rPr>
              <w:t>21.47</w:t>
            </w:r>
            <w:r>
              <w:rPr>
                <w:color w:val="000000"/>
                <w:kern w:val="0"/>
                <w:sz w:val="21"/>
                <w:szCs w:val="21"/>
                <w:lang w:bidi="ar"/>
              </w:rPr>
              <w:t>万元，涉及补助学生人数</w:t>
            </w:r>
            <w:r>
              <w:rPr>
                <w:rFonts w:hint="eastAsia"/>
                <w:color w:val="000000"/>
                <w:kern w:val="0"/>
                <w:sz w:val="21"/>
                <w:szCs w:val="21"/>
                <w:lang w:val="en-US" w:eastAsia="zh-CN" w:bidi="ar"/>
              </w:rPr>
              <w:t>286</w:t>
            </w:r>
            <w:r>
              <w:rPr>
                <w:color w:val="000000"/>
                <w:kern w:val="0"/>
                <w:sz w:val="21"/>
                <w:szCs w:val="21"/>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一级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二级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三级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完成</w:t>
            </w:r>
          </w:p>
          <w:p>
            <w:pPr>
              <w:widowControl/>
              <w:spacing w:line="320" w:lineRule="exact"/>
              <w:jc w:val="center"/>
              <w:textAlignment w:val="bottom"/>
              <w:rPr>
                <w:color w:val="000000"/>
                <w:sz w:val="21"/>
                <w:szCs w:val="21"/>
              </w:rPr>
            </w:pPr>
            <w:r>
              <w:rPr>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95</w:t>
            </w:r>
            <w:r>
              <w:rPr>
                <w:sz w:val="20"/>
                <w:szCs w:val="20"/>
              </w:rPr>
              <w:t>0元/人年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95</w:t>
            </w:r>
            <w:r>
              <w:rPr>
                <w:sz w:val="20"/>
                <w:szCs w:val="20"/>
              </w:rPr>
              <w:t>0元/人年</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286</w:t>
            </w:r>
            <w:r>
              <w:rPr>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286</w:t>
            </w:r>
            <w:r>
              <w:rPr>
                <w:sz w:val="20"/>
                <w:szCs w:val="20"/>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1"/>
                <w:szCs w:val="21"/>
              </w:rPr>
            </w:pPr>
            <w:r>
              <w:rPr>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附件2：</w:t>
      </w: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7"/>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eastAsia="仿宋_GB2312"/>
                <w:color w:val="000000"/>
                <w:kern w:val="0"/>
                <w:sz w:val="21"/>
                <w:szCs w:val="21"/>
                <w:lang w:eastAsia="zh-CN" w:bidi="ar"/>
              </w:rPr>
            </w:pPr>
            <w:r>
              <w:rPr>
                <w:color w:val="000000"/>
                <w:kern w:val="0"/>
                <w:sz w:val="21"/>
                <w:szCs w:val="21"/>
                <w:lang w:bidi="ar"/>
              </w:rPr>
              <w:t>达川区</w:t>
            </w:r>
            <w:r>
              <w:rPr>
                <w:rFonts w:hint="eastAsia"/>
                <w:color w:val="000000"/>
                <w:kern w:val="0"/>
                <w:sz w:val="21"/>
                <w:szCs w:val="21"/>
                <w:lang w:eastAsia="zh-CN" w:bidi="ar"/>
              </w:rPr>
              <w:t>双庙镇中心小学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type="textWrapping"/>
            </w:r>
            <w:r>
              <w:rPr>
                <w:color w:val="000000"/>
                <w:kern w:val="0"/>
                <w:sz w:val="21"/>
                <w:szCs w:val="21"/>
                <w:lang w:bidi="ar"/>
              </w:rPr>
              <w:t>执行情况</w:t>
            </w:r>
            <w:r>
              <w:rPr>
                <w:color w:val="000000"/>
                <w:kern w:val="0"/>
                <w:sz w:val="21"/>
                <w:szCs w:val="21"/>
                <w:lang w:bidi="ar"/>
              </w:rPr>
              <w:br w:type="textWrapping"/>
            </w:r>
            <w:r>
              <w:rPr>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3.00</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3.00</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2022年内计划发放学校物业管理服务费3万元，涉及补贴对象数量2人，目的是维护学校正常教育教学秩序，保障学校及师生的人身、财产安全。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2022年实际发放学校物业管理服务费3万元，涉及补贴对象数量2人，维护了学校正常教育教学秩序，保障了学校及师生的人身、财产安全。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一级</w:t>
            </w:r>
          </w:p>
          <w:p>
            <w:pPr>
              <w:widowControl/>
              <w:spacing w:line="320" w:lineRule="exact"/>
              <w:jc w:val="center"/>
              <w:textAlignment w:val="bottom"/>
              <w:rPr>
                <w:color w:val="000000"/>
                <w:kern w:val="0"/>
                <w:sz w:val="21"/>
                <w:szCs w:val="21"/>
                <w:lang w:bidi="ar"/>
              </w:rPr>
            </w:pPr>
            <w:r>
              <w:rPr>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二级</w:t>
            </w:r>
          </w:p>
          <w:p>
            <w:pPr>
              <w:widowControl/>
              <w:spacing w:line="320" w:lineRule="exact"/>
              <w:jc w:val="center"/>
              <w:textAlignment w:val="bottom"/>
              <w:rPr>
                <w:color w:val="000000"/>
                <w:kern w:val="0"/>
                <w:sz w:val="21"/>
                <w:szCs w:val="21"/>
                <w:lang w:bidi="ar"/>
              </w:rPr>
            </w:pPr>
            <w:r>
              <w:rPr>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三级</w:t>
            </w:r>
          </w:p>
          <w:p>
            <w:pPr>
              <w:widowControl/>
              <w:spacing w:line="320" w:lineRule="exact"/>
              <w:jc w:val="center"/>
              <w:textAlignment w:val="bottom"/>
              <w:rPr>
                <w:color w:val="000000"/>
                <w:kern w:val="0"/>
                <w:sz w:val="21"/>
                <w:szCs w:val="21"/>
                <w:lang w:bidi="ar"/>
              </w:rPr>
            </w:pPr>
            <w:r>
              <w:rPr>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0"/>
                <w:szCs w:val="20"/>
              </w:rPr>
            </w:pPr>
            <w:r>
              <w:rPr>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0"/>
                <w:szCs w:val="20"/>
                <w:lang w:bidi="ar"/>
              </w:rPr>
            </w:pPr>
            <w:r>
              <w:rPr>
                <w:color w:val="000000"/>
                <w:kern w:val="0"/>
                <w:sz w:val="20"/>
                <w:szCs w:val="20"/>
                <w:lang w:bidi="ar"/>
              </w:rPr>
              <w:t>完成</w:t>
            </w:r>
          </w:p>
          <w:p>
            <w:pPr>
              <w:widowControl/>
              <w:spacing w:line="320" w:lineRule="exact"/>
              <w:jc w:val="center"/>
              <w:textAlignment w:val="bottom"/>
              <w:rPr>
                <w:color w:val="000000"/>
                <w:sz w:val="20"/>
                <w:szCs w:val="20"/>
              </w:rPr>
            </w:pPr>
            <w:r>
              <w:rPr>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2人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2人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3万元/人年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3万元/人年</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0"/>
                <w:szCs w:val="20"/>
              </w:rPr>
            </w:pPr>
            <w:r>
              <w:rPr>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0"/>
                <w:szCs w:val="20"/>
              </w:rPr>
            </w:pPr>
            <w:r>
              <w:rPr>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0"/>
                <w:szCs w:val="20"/>
              </w:rPr>
            </w:pPr>
            <w:r>
              <w:rPr>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0"/>
                <w:szCs w:val="20"/>
              </w:rPr>
            </w:pPr>
            <w:r>
              <w:rPr>
                <w:color w:val="000000"/>
                <w:sz w:val="20"/>
                <w:szCs w:val="20"/>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附件3：</w:t>
      </w: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424"/>
        <w:gridCol w:w="753"/>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eastAsia="仿宋_GB2312"/>
                <w:color w:val="000000"/>
                <w:kern w:val="0"/>
                <w:sz w:val="21"/>
                <w:szCs w:val="21"/>
                <w:lang w:eastAsia="zh-CN" w:bidi="ar"/>
              </w:rPr>
            </w:pPr>
            <w:r>
              <w:rPr>
                <w:color w:val="000000"/>
                <w:kern w:val="0"/>
                <w:sz w:val="21"/>
                <w:szCs w:val="21"/>
                <w:lang w:bidi="ar"/>
              </w:rPr>
              <w:t>达川区</w:t>
            </w:r>
            <w:r>
              <w:rPr>
                <w:rFonts w:hint="eastAsia"/>
                <w:color w:val="000000"/>
                <w:kern w:val="0"/>
                <w:sz w:val="21"/>
                <w:szCs w:val="21"/>
                <w:lang w:eastAsia="zh-CN" w:bidi="ar"/>
              </w:rPr>
              <w:t>双庙镇中心小学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type="textWrapping"/>
            </w:r>
            <w:r>
              <w:rPr>
                <w:color w:val="000000"/>
                <w:kern w:val="0"/>
                <w:sz w:val="21"/>
                <w:szCs w:val="21"/>
                <w:lang w:bidi="ar"/>
              </w:rPr>
              <w:t>执行情况</w:t>
            </w:r>
            <w:r>
              <w:rPr>
                <w:color w:val="000000"/>
                <w:kern w:val="0"/>
                <w:sz w:val="21"/>
                <w:szCs w:val="21"/>
                <w:lang w:bidi="ar"/>
              </w:rPr>
              <w:br w:type="textWrapping"/>
            </w:r>
            <w:r>
              <w:rPr>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eastAsia="仿宋_GB2312"/>
                <w:color w:val="000000"/>
                <w:kern w:val="0"/>
                <w:sz w:val="21"/>
                <w:szCs w:val="21"/>
                <w:lang w:eastAsia="zh-CN" w:bidi="ar"/>
              </w:rPr>
            </w:pPr>
            <w:r>
              <w:rPr>
                <w:rFonts w:hint="eastAsia"/>
                <w:color w:val="000000"/>
                <w:kern w:val="0"/>
                <w:sz w:val="21"/>
                <w:szCs w:val="21"/>
                <w:lang w:eastAsia="zh-CN" w:bidi="ar"/>
              </w:rPr>
              <w:t>3.3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eastAsia" w:eastAsia="仿宋_GB2312"/>
                <w:color w:val="000000"/>
                <w:kern w:val="0"/>
                <w:sz w:val="21"/>
                <w:szCs w:val="21"/>
                <w:lang w:eastAsia="zh-CN" w:bidi="ar"/>
              </w:rPr>
            </w:pPr>
            <w:r>
              <w:rPr>
                <w:rFonts w:hint="eastAsia"/>
                <w:color w:val="000000"/>
                <w:kern w:val="0"/>
                <w:sz w:val="21"/>
                <w:szCs w:val="21"/>
                <w:lang w:eastAsia="zh-CN" w:bidi="ar"/>
              </w:rPr>
              <w:t>3.3</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eastAsia="仿宋_GB2312"/>
                <w:color w:val="000000"/>
                <w:kern w:val="0"/>
                <w:sz w:val="21"/>
                <w:szCs w:val="21"/>
                <w:lang w:eastAsia="zh-CN" w:bidi="ar"/>
              </w:rPr>
            </w:pPr>
            <w:r>
              <w:rPr>
                <w:rFonts w:hint="eastAsia"/>
                <w:color w:val="000000"/>
                <w:kern w:val="0"/>
                <w:sz w:val="21"/>
                <w:szCs w:val="21"/>
                <w:lang w:eastAsia="zh-CN" w:bidi="ar"/>
              </w:rPr>
              <w:t>3.3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eastAsia" w:eastAsia="仿宋_GB2312"/>
                <w:color w:val="000000"/>
                <w:kern w:val="0"/>
                <w:sz w:val="21"/>
                <w:szCs w:val="21"/>
                <w:lang w:eastAsia="zh-CN" w:bidi="ar"/>
              </w:rPr>
            </w:pPr>
            <w:r>
              <w:rPr>
                <w:rFonts w:hint="eastAsia"/>
                <w:color w:val="000000"/>
                <w:kern w:val="0"/>
                <w:sz w:val="21"/>
                <w:szCs w:val="21"/>
                <w:lang w:eastAsia="zh-CN" w:bidi="ar"/>
              </w:rPr>
              <w:t>3.3</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2022年内计划发放食堂从业人员劳务服务报酬补贴</w:t>
            </w:r>
            <w:r>
              <w:rPr>
                <w:rFonts w:hint="eastAsia"/>
                <w:color w:val="000000"/>
                <w:kern w:val="0"/>
                <w:sz w:val="21"/>
                <w:szCs w:val="21"/>
                <w:lang w:eastAsia="zh-CN" w:bidi="ar"/>
              </w:rPr>
              <w:t>3.3</w:t>
            </w:r>
            <w:r>
              <w:rPr>
                <w:color w:val="000000"/>
                <w:kern w:val="0"/>
                <w:sz w:val="21"/>
                <w:szCs w:val="21"/>
                <w:lang w:bidi="ar"/>
              </w:rPr>
              <w:t>万元，涉及食堂从业人员1名，目的是建立健全农村义务教育学生营养改善计划长效保障机制和保障学校食堂从业人员相关权益。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2022年发放食堂从业人员劳务服务报酬补贴</w:t>
            </w:r>
            <w:r>
              <w:rPr>
                <w:rFonts w:hint="eastAsia"/>
                <w:color w:val="000000"/>
                <w:kern w:val="0"/>
                <w:sz w:val="21"/>
                <w:szCs w:val="21"/>
                <w:lang w:eastAsia="zh-CN" w:bidi="ar"/>
              </w:rPr>
              <w:t>3.3</w:t>
            </w:r>
            <w:r>
              <w:rPr>
                <w:color w:val="000000"/>
                <w:kern w:val="0"/>
                <w:sz w:val="21"/>
                <w:szCs w:val="21"/>
                <w:lang w:bidi="ar"/>
              </w:rPr>
              <w:t>万元，涉及食堂从业人员1名，健全了农村义务教育学生营养改善计划长效保障机制，保障了学校食堂从业人员相关权益。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一级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二级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三级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完成</w:t>
            </w:r>
          </w:p>
          <w:p>
            <w:pPr>
              <w:widowControl/>
              <w:spacing w:line="320" w:lineRule="exact"/>
              <w:jc w:val="center"/>
              <w:textAlignment w:val="bottom"/>
              <w:rPr>
                <w:color w:val="000000"/>
                <w:sz w:val="21"/>
                <w:szCs w:val="21"/>
              </w:rPr>
            </w:pPr>
            <w:r>
              <w:rPr>
                <w:color w:val="000000"/>
                <w:kern w:val="0"/>
                <w:sz w:val="21"/>
                <w:szCs w:val="21"/>
                <w:lang w:bidi="ar"/>
              </w:rPr>
              <w:t>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数量指标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从业人员补贴发放人数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2</w:t>
            </w:r>
            <w:r>
              <w:rPr>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2</w:t>
            </w:r>
            <w:r>
              <w:rPr>
                <w:sz w:val="20"/>
                <w:szCs w:val="20"/>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时效指标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从业人员补助发放及时率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成本指标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从业人员补助成本控制数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3.3</w:t>
            </w:r>
            <w:r>
              <w:rPr>
                <w:sz w:val="20"/>
                <w:szCs w:val="20"/>
              </w:rPr>
              <w:t>万元/年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3.3</w:t>
            </w:r>
            <w:r>
              <w:rPr>
                <w:sz w:val="20"/>
                <w:szCs w:val="20"/>
              </w:rPr>
              <w:t>万元/年</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从业人员补助发放准确率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kern w:val="0"/>
                <w:sz w:val="21"/>
                <w:szCs w:val="21"/>
                <w:lang w:bidi="ar"/>
              </w:rPr>
              <w:t>效益指标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sz w:val="20"/>
                <w:szCs w:val="20"/>
              </w:rPr>
              <w:t>社会效益</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sz w:val="20"/>
                <w:szCs w:val="20"/>
              </w:rPr>
              <w:t>食堂从业人员补助覆盖率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sz w:val="20"/>
                <w:szCs w:val="20"/>
              </w:rPr>
              <w:t>可持续性指标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食堂从业人员管理机制健全性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kern w:val="0"/>
                <w:sz w:val="21"/>
                <w:szCs w:val="21"/>
                <w:lang w:bidi="ar"/>
              </w:rPr>
              <w:t>满意度指标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1"/>
                <w:szCs w:val="21"/>
              </w:rPr>
            </w:pPr>
            <w:r>
              <w:rPr>
                <w:sz w:val="20"/>
                <w:szCs w:val="20"/>
              </w:rPr>
              <w:t>满意度指标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tabs>
          <w:tab w:val="left" w:pos="1442"/>
        </w:tabs>
        <w:bidi w:val="0"/>
        <w:jc w:val="left"/>
        <w:rPr>
          <w:lang w:val="zh-CN"/>
        </w:rPr>
        <w:sectPr>
          <w:headerReference r:id="rId3" w:type="default"/>
          <w:pgSz w:w="11906" w:h="16838"/>
          <w:pgMar w:top="1701" w:right="1474" w:bottom="1134" w:left="1588" w:header="851" w:footer="992" w:gutter="0"/>
          <w:pgNumType w:fmt="numberInDash" w:start="16"/>
          <w:cols w:space="425" w:num="1"/>
          <w:docGrid w:type="lines" w:linePitch="435" w:charSpace="0"/>
        </w:sectPr>
      </w:pPr>
    </w:p>
    <w:tbl>
      <w:tblPr>
        <w:tblStyle w:val="5"/>
        <w:tblW w:w="14276" w:type="dxa"/>
        <w:tblInd w:w="93" w:type="dxa"/>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eastAsia="宋体"/>
                <w:b/>
                <w:bCs/>
                <w:color w:val="000000"/>
                <w:sz w:val="24"/>
              </w:rPr>
            </w:pPr>
            <w:r>
              <w:rPr>
                <w:color w:val="000000"/>
                <w:kern w:val="0"/>
                <w:szCs w:val="32"/>
                <w:shd w:val="clear" w:color="auto" w:fill="FFFFFF"/>
                <w:lang w:val="zh-CN"/>
              </w:rPr>
              <w:t>附件</w:t>
            </w:r>
            <w:r>
              <w:rPr>
                <w:rFonts w:hint="eastAsia"/>
                <w:color w:val="000000"/>
                <w:kern w:val="0"/>
                <w:szCs w:val="32"/>
                <w:shd w:val="clear" w:color="auto" w:fill="FFFFFF"/>
                <w:lang w:val="en-US" w:eastAsia="zh-CN"/>
              </w:rPr>
              <w:t>4</w:t>
            </w:r>
            <w:r>
              <w:rPr>
                <w:rFonts w:hint="eastAsia"/>
                <w:color w:val="000000"/>
                <w:kern w:val="0"/>
                <w:szCs w:val="32"/>
                <w:shd w:val="clear" w:color="auto" w:fill="FFFFFF"/>
                <w:lang w:val="zh-CN"/>
              </w:rPr>
              <w:t>：</w:t>
            </w:r>
          </w:p>
        </w:tc>
        <w:tc>
          <w:tcPr>
            <w:tcW w:w="660" w:type="dxa"/>
            <w:tcBorders>
              <w:top w:val="nil"/>
              <w:left w:val="nil"/>
              <w:bottom w:val="nil"/>
              <w:right w:val="nil"/>
            </w:tcBorders>
            <w:shd w:val="clear" w:color="auto" w:fill="auto"/>
            <w:vAlign w:val="center"/>
          </w:tcPr>
          <w:p>
            <w:pPr>
              <w:jc w:val="center"/>
              <w:rPr>
                <w:rFonts w:eastAsia="宋体"/>
                <w:color w:val="000000"/>
                <w:sz w:val="24"/>
              </w:rPr>
            </w:pPr>
          </w:p>
        </w:tc>
        <w:tc>
          <w:tcPr>
            <w:tcW w:w="579" w:type="dxa"/>
            <w:tcBorders>
              <w:top w:val="nil"/>
              <w:left w:val="nil"/>
              <w:bottom w:val="nil"/>
              <w:right w:val="nil"/>
            </w:tcBorders>
            <w:shd w:val="clear" w:color="auto" w:fill="auto"/>
            <w:vAlign w:val="center"/>
          </w:tcPr>
          <w:p>
            <w:pPr>
              <w:jc w:val="center"/>
              <w:rPr>
                <w:rFonts w:eastAsia="宋体"/>
                <w:color w:val="000000"/>
                <w:sz w:val="24"/>
              </w:rPr>
            </w:pPr>
          </w:p>
        </w:tc>
        <w:tc>
          <w:tcPr>
            <w:tcW w:w="554" w:type="dxa"/>
            <w:tcBorders>
              <w:top w:val="nil"/>
              <w:left w:val="nil"/>
              <w:bottom w:val="nil"/>
              <w:right w:val="nil"/>
            </w:tcBorders>
            <w:shd w:val="clear" w:color="auto" w:fill="auto"/>
            <w:vAlign w:val="center"/>
          </w:tcPr>
          <w:p>
            <w:pPr>
              <w:jc w:val="center"/>
              <w:rPr>
                <w:rFonts w:eastAsia="宋体"/>
                <w:color w:val="000000"/>
                <w:sz w:val="24"/>
              </w:rPr>
            </w:pPr>
          </w:p>
        </w:tc>
        <w:tc>
          <w:tcPr>
            <w:tcW w:w="2187" w:type="dxa"/>
            <w:tcBorders>
              <w:top w:val="nil"/>
              <w:left w:val="nil"/>
              <w:bottom w:val="nil"/>
              <w:right w:val="nil"/>
            </w:tcBorders>
            <w:shd w:val="clear" w:color="auto" w:fill="auto"/>
            <w:vAlign w:val="center"/>
          </w:tcPr>
          <w:p>
            <w:pPr>
              <w:jc w:val="left"/>
              <w:rPr>
                <w:rFonts w:eastAsia="宋体"/>
                <w:color w:val="000000"/>
                <w:sz w:val="24"/>
              </w:rPr>
            </w:pPr>
          </w:p>
        </w:tc>
        <w:tc>
          <w:tcPr>
            <w:tcW w:w="519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24"/>
              </w:rPr>
            </w:pPr>
          </w:p>
        </w:tc>
        <w:tc>
          <w:tcPr>
            <w:tcW w:w="693" w:type="dxa"/>
            <w:tcBorders>
              <w:top w:val="nil"/>
              <w:left w:val="nil"/>
              <w:bottom w:val="nil"/>
              <w:right w:val="nil"/>
            </w:tcBorders>
            <w:shd w:val="clear" w:color="auto" w:fill="auto"/>
            <w:vAlign w:val="center"/>
          </w:tcPr>
          <w:p>
            <w:pPr>
              <w:rPr>
                <w:rFonts w:eastAsia="宋体"/>
                <w:color w:val="000000"/>
                <w:sz w:val="24"/>
              </w:rPr>
            </w:pPr>
          </w:p>
        </w:tc>
      </w:tr>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tabs>
                <w:tab w:val="center" w:pos="7089"/>
                <w:tab w:val="left" w:pos="12521"/>
              </w:tabs>
              <w:jc w:val="left"/>
              <w:textAlignment w:val="center"/>
              <w:rPr>
                <w:rFonts w:hint="eastAsia" w:eastAsia="宋体"/>
                <w:b/>
                <w:bCs/>
                <w:color w:val="000000"/>
                <w:szCs w:val="32"/>
                <w:lang w:eastAsia="zh-CN"/>
              </w:rPr>
            </w:pPr>
            <w:r>
              <w:rPr>
                <w:rFonts w:hint="eastAsia" w:eastAsia="宋体"/>
                <w:b/>
                <w:bCs/>
                <w:color w:val="000000"/>
                <w:kern w:val="0"/>
                <w:szCs w:val="32"/>
                <w:lang w:eastAsia="zh-CN" w:bidi="ar"/>
              </w:rPr>
              <w:tab/>
            </w:r>
            <w:r>
              <w:rPr>
                <w:rFonts w:eastAsia="宋体"/>
                <w:b/>
                <w:bCs/>
                <w:color w:val="000000"/>
                <w:kern w:val="0"/>
                <w:szCs w:val="32"/>
                <w:lang w:bidi="ar"/>
              </w:rPr>
              <w:t>达川区</w:t>
            </w:r>
            <w:r>
              <w:rPr>
                <w:rFonts w:hint="eastAsia" w:eastAsia="宋体"/>
                <w:b/>
                <w:bCs/>
                <w:color w:val="000000"/>
                <w:kern w:val="0"/>
                <w:szCs w:val="32"/>
                <w:lang w:eastAsia="zh-CN" w:bidi="ar"/>
              </w:rPr>
              <w:t>双庙镇中心小学</w:t>
            </w:r>
            <w:r>
              <w:rPr>
                <w:rFonts w:eastAsia="宋体"/>
                <w:b/>
                <w:bCs/>
                <w:color w:val="000000"/>
                <w:kern w:val="0"/>
                <w:szCs w:val="32"/>
                <w:lang w:bidi="ar"/>
              </w:rPr>
              <w:t>2023年整体支出绩效评价指标体系</w:t>
            </w:r>
            <w:r>
              <w:rPr>
                <w:rFonts w:hint="eastAsia" w:eastAsia="宋体"/>
                <w:b/>
                <w:bCs/>
                <w:color w:val="000000"/>
                <w:kern w:val="0"/>
                <w:szCs w:val="32"/>
                <w:lang w:eastAsia="zh-CN" w:bidi="ar"/>
              </w:rPr>
              <w:tab/>
            </w:r>
            <w:bookmarkStart w:id="3" w:name="_GoBack"/>
            <w:bookmarkEnd w:id="3"/>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r>
              <w:rPr>
                <w:rFonts w:eastAsia="宋体"/>
                <w:b/>
                <w:bCs/>
                <w:color w:val="000000"/>
                <w:sz w:val="18"/>
                <w:szCs w:val="18"/>
              </w:rPr>
              <w:t>87</w:t>
            </w: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w:t>
            </w:r>
            <w:r>
              <w:rPr>
                <w:rFonts w:eastAsia="宋体"/>
                <w:kern w:val="0"/>
                <w:sz w:val="15"/>
                <w:szCs w:val="15"/>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bl>
    <w:p>
      <w:pPr>
        <w:pStyle w:val="2"/>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00000000"/>
    <w:rsid w:val="06836278"/>
    <w:rsid w:val="07EF660E"/>
    <w:rsid w:val="123D67EE"/>
    <w:rsid w:val="27A36FAA"/>
    <w:rsid w:val="2C852380"/>
    <w:rsid w:val="33B53084"/>
    <w:rsid w:val="3AD415F1"/>
    <w:rsid w:val="54BF3BB2"/>
    <w:rsid w:val="6B800DA2"/>
    <w:rsid w:val="7119247B"/>
    <w:rsid w:val="7CAE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TJXX</Company>
  <Pages>13</Pages>
  <Words>6656</Words>
  <Characters>7162</Characters>
  <Lines>64</Lines>
  <Paragraphs>18</Paragraphs>
  <TotalTime>2</TotalTime>
  <ScaleCrop>false</ScaleCrop>
  <LinksUpToDate>false</LinksUpToDate>
  <CharactersWithSpaces>7741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2023-04-06T01:47:00Z</dcterms:created>
  <dc:creator>WPS_1676363659</dc:creator>
  <cp:lastModifiedBy>蓝色永恒</cp:lastModifiedBy>
  <dcterms:modified xsi:type="dcterms:W3CDTF">2023-04-18T08:21:16Z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AE19C68C866E4F36BD8829F1C1A31B4E</vt:lpwstr>
  </property>
</Properties>
</file>