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000000"/>
          <w:spacing w:val="-23"/>
          <w:kern w:val="0"/>
          <w:sz w:val="44"/>
          <w:szCs w:val="44"/>
          <w:lang w:eastAsia="zh-CN"/>
        </w:rPr>
      </w:pPr>
    </w:p>
    <w:p>
      <w:pPr>
        <w:spacing w:line="600" w:lineRule="exact"/>
        <w:jc w:val="center"/>
        <w:rPr>
          <w:rFonts w:hint="eastAsia" w:ascii="方正小标宋_GBK" w:hAnsi="方正小标宋_GBK" w:eastAsia="方正小标宋_GBK" w:cs="方正小标宋_GBK"/>
          <w:color w:val="000000"/>
          <w:spacing w:val="-23"/>
          <w:kern w:val="0"/>
          <w:sz w:val="44"/>
          <w:szCs w:val="44"/>
          <w:lang w:eastAsia="zh-CN"/>
        </w:rPr>
      </w:pPr>
      <w:r>
        <w:rPr>
          <w:rFonts w:hint="eastAsia" w:ascii="方正小标宋_GBK" w:hAnsi="方正小标宋_GBK" w:eastAsia="方正小标宋_GBK" w:cs="方正小标宋_GBK"/>
          <w:color w:val="000000"/>
          <w:spacing w:val="-23"/>
          <w:kern w:val="0"/>
          <w:sz w:val="44"/>
          <w:szCs w:val="44"/>
          <w:lang w:eastAsia="zh-CN"/>
        </w:rPr>
        <w:t>中共达州市达川区纪委</w:t>
      </w:r>
    </w:p>
    <w:p>
      <w:pPr>
        <w:spacing w:line="600" w:lineRule="exact"/>
        <w:jc w:val="center"/>
        <w:rPr>
          <w:rFonts w:hint="eastAsia" w:ascii="方正小标宋_GBK" w:hAnsi="方正小标宋_GBK" w:eastAsia="方正小标宋_GBK" w:cs="方正小标宋_GBK"/>
          <w:color w:val="000000"/>
          <w:kern w:val="0"/>
          <w:sz w:val="44"/>
          <w:szCs w:val="44"/>
          <w:lang w:val="zh-CN"/>
        </w:rPr>
      </w:pPr>
      <w:r>
        <w:rPr>
          <w:rFonts w:hint="eastAsia" w:ascii="方正小标宋_GBK" w:hAnsi="方正小标宋_GBK" w:eastAsia="方正小标宋_GBK" w:cs="方正小标宋_GBK"/>
          <w:color w:val="000000"/>
          <w:kern w:val="0"/>
          <w:sz w:val="44"/>
          <w:szCs w:val="44"/>
        </w:rPr>
        <w:t>202</w:t>
      </w:r>
      <w:r>
        <w:rPr>
          <w:rFonts w:hint="eastAsia" w:ascii="方正小标宋_GBK" w:hAnsi="方正小标宋_GBK" w:eastAsia="方正小标宋_GBK" w:cs="方正小标宋_GBK"/>
          <w:color w:val="000000"/>
          <w:kern w:val="0"/>
          <w:sz w:val="44"/>
          <w:szCs w:val="44"/>
          <w:lang w:val="en-US" w:eastAsia="zh-CN"/>
        </w:rPr>
        <w:t>2</w:t>
      </w:r>
      <w:r>
        <w:rPr>
          <w:rFonts w:hint="eastAsia" w:ascii="方正小标宋_GBK" w:hAnsi="方正小标宋_GBK" w:eastAsia="方正小标宋_GBK" w:cs="方正小标宋_GBK"/>
          <w:color w:val="000000"/>
          <w:kern w:val="0"/>
          <w:sz w:val="44"/>
          <w:szCs w:val="44"/>
        </w:rPr>
        <w:t>年部门</w:t>
      </w:r>
      <w:r>
        <w:rPr>
          <w:rFonts w:hint="eastAsia" w:ascii="方正小标宋_GBK" w:hAnsi="方正小标宋_GBK" w:eastAsia="方正小标宋_GBK" w:cs="方正小标宋_GBK"/>
          <w:color w:val="000000"/>
          <w:kern w:val="0"/>
          <w:sz w:val="44"/>
          <w:szCs w:val="44"/>
          <w:lang w:val="zh-CN"/>
        </w:rPr>
        <w:t>整体支出绩效评价报告</w:t>
      </w:r>
    </w:p>
    <w:p>
      <w:pPr>
        <w:widowControl/>
        <w:spacing w:line="580" w:lineRule="exact"/>
        <w:contextualSpacing/>
        <w:jc w:val="both"/>
        <w:rPr>
          <w:rFonts w:eastAsia="方正楷体_GBK"/>
          <w:sz w:val="32"/>
          <w:szCs w:val="32"/>
          <w:shd w:val="clear" w:color="auto" w:fill="FFFFFF"/>
        </w:rPr>
      </w:pPr>
    </w:p>
    <w:p>
      <w:pPr>
        <w:keepNext w:val="0"/>
        <w:keepLines w:val="0"/>
        <w:pageBreakBefore w:val="0"/>
        <w:kinsoku/>
        <w:wordWrap/>
        <w:overflowPunct/>
        <w:topLinePunct w:val="0"/>
        <w:autoSpaceDE/>
        <w:autoSpaceDN/>
        <w:bidi w:val="0"/>
        <w:snapToGrid w:val="0"/>
        <w:spacing w:line="578"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hAnsi="方正仿宋_GBK" w:eastAsia="方正黑体_GBK"/>
          <w:sz w:val="32"/>
          <w:szCs w:val="32"/>
        </w:rPr>
        <w:t>一、部门（单位）概况</w:t>
      </w:r>
    </w:p>
    <w:p>
      <w:pPr>
        <w:keepNext w:val="0"/>
        <w:keepLines w:val="0"/>
        <w:pageBreakBefore w:val="0"/>
        <w:kinsoku/>
        <w:wordWrap/>
        <w:overflowPunct/>
        <w:topLinePunct w:val="0"/>
        <w:autoSpaceDE/>
        <w:autoSpaceDN/>
        <w:bidi w:val="0"/>
        <w:spacing w:line="578" w:lineRule="exact"/>
        <w:ind w:right="0" w:rightChars="0" w:firstLine="604" w:firstLineChars="189"/>
        <w:textAlignment w:val="auto"/>
        <w:outlineLvl w:val="9"/>
        <w:rPr>
          <w:rFonts w:hint="eastAsia" w:ascii="方正楷体_GBK" w:eastAsia="方正楷体_GBK"/>
          <w:sz w:val="32"/>
          <w:szCs w:val="32"/>
        </w:rPr>
      </w:pPr>
      <w:r>
        <w:rPr>
          <w:rFonts w:hint="eastAsia" w:ascii="方正楷体_GBK" w:eastAsia="方正楷体_GBK"/>
          <w:sz w:val="32"/>
          <w:szCs w:val="32"/>
        </w:rPr>
        <w:t>（一）机构组成</w:t>
      </w:r>
    </w:p>
    <w:p>
      <w:pPr>
        <w:spacing w:line="580" w:lineRule="exact"/>
        <w:ind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中共达州市达川区纪律检查委员会（简称区纪委）与达州市达川区监察委员会（简称区监委）合署办公，区纪委监委机关内设机关党委、办公室、组织部、宣传部、信访室、案件监督管理室、案件审理室、党风室、第一纪检监察室、第二纪检监察室、第三纪检监察室、第四纪检监察室、第五纪检监察室、第六纪检监察室、第七纪检监察室、第八纪检监察室、第九纪检监察室、纪检干部监督室，下属正科级事业单位1个（县党风廉政教育中心）。</w:t>
      </w:r>
    </w:p>
    <w:p>
      <w:pPr>
        <w:keepNext w:val="0"/>
        <w:keepLines w:val="0"/>
        <w:pageBreakBefore w:val="0"/>
        <w:kinsoku/>
        <w:wordWrap/>
        <w:overflowPunct/>
        <w:topLinePunct w:val="0"/>
        <w:autoSpaceDE/>
        <w:autoSpaceDN/>
        <w:bidi w:val="0"/>
        <w:spacing w:line="578" w:lineRule="exact"/>
        <w:ind w:right="0" w:rightChars="0" w:firstLine="604" w:firstLineChars="189"/>
        <w:textAlignment w:val="auto"/>
        <w:outlineLvl w:val="9"/>
        <w:rPr>
          <w:rFonts w:ascii="方正楷体_GBK" w:eastAsia="方正楷体_GBK"/>
          <w:sz w:val="32"/>
          <w:szCs w:val="32"/>
        </w:rPr>
      </w:pPr>
      <w:r>
        <w:rPr>
          <w:rFonts w:hint="eastAsia" w:ascii="方正楷体_GBK" w:eastAsia="方正楷体_GBK"/>
          <w:sz w:val="32"/>
          <w:szCs w:val="32"/>
        </w:rPr>
        <w:t>（二）</w:t>
      </w:r>
      <w:r>
        <w:rPr>
          <w:rFonts w:ascii="方正楷体_GBK" w:eastAsia="方正楷体_GBK"/>
          <w:sz w:val="32"/>
          <w:szCs w:val="32"/>
        </w:rPr>
        <w:t>机构职能</w:t>
      </w:r>
    </w:p>
    <w:p>
      <w:pPr>
        <w:numPr>
          <w:ilvl w:val="0"/>
          <w:numId w:val="0"/>
        </w:numPr>
        <w:ind w:firstLine="640" w:firstLineChars="200"/>
        <w:rPr>
          <w:rFonts w:eastAsia="方正仿宋_GBK"/>
          <w:b/>
          <w:sz w:val="32"/>
          <w:szCs w:val="32"/>
        </w:rPr>
      </w:pPr>
      <w:r>
        <w:rPr>
          <w:rFonts w:hint="eastAsia" w:ascii="Times New Roman" w:hAnsi="Times New Roman" w:eastAsia="仿宋_GB2312" w:cs="Times New Roman"/>
          <w:b w:val="0"/>
          <w:bCs w:val="0"/>
          <w:color w:val="000000"/>
          <w:kern w:val="2"/>
          <w:sz w:val="32"/>
          <w:szCs w:val="32"/>
          <w:lang w:val="en-US" w:eastAsia="zh-CN" w:bidi="ar-SA"/>
        </w:rPr>
        <w:t>中共达州市达川区纪律检查委员会机关与达州市达川区监察委员会合署办公，实行一套工作机构、两个机关名称，履行党的纪律检查和国家监察两项职能。</w:t>
      </w:r>
    </w:p>
    <w:p>
      <w:pPr>
        <w:keepNext w:val="0"/>
        <w:keepLines w:val="0"/>
        <w:pageBreakBefore w:val="0"/>
        <w:kinsoku/>
        <w:wordWrap/>
        <w:overflowPunct/>
        <w:topLinePunct w:val="0"/>
        <w:autoSpaceDE/>
        <w:autoSpaceDN/>
        <w:bidi w:val="0"/>
        <w:spacing w:line="578" w:lineRule="exact"/>
        <w:ind w:right="0" w:rightChars="0" w:firstLine="604" w:firstLineChars="189"/>
        <w:textAlignment w:val="auto"/>
        <w:outlineLvl w:val="9"/>
        <w:rPr>
          <w:rFonts w:ascii="方正楷体_GBK" w:eastAsia="方正楷体_GBK"/>
          <w:sz w:val="32"/>
          <w:szCs w:val="32"/>
        </w:rPr>
      </w:pPr>
      <w:r>
        <w:rPr>
          <w:rFonts w:hint="eastAsia" w:ascii="方正楷体_GBK" w:eastAsia="方正楷体_GBK"/>
          <w:sz w:val="32"/>
          <w:szCs w:val="32"/>
        </w:rPr>
        <w:t>（三）</w:t>
      </w:r>
      <w:r>
        <w:rPr>
          <w:rFonts w:ascii="方正楷体_GBK" w:eastAsia="方正楷体_GBK"/>
          <w:sz w:val="32"/>
          <w:szCs w:val="32"/>
        </w:rPr>
        <w:t>人员概况</w:t>
      </w:r>
    </w:p>
    <w:p>
      <w:pPr>
        <w:keepNext w:val="0"/>
        <w:keepLines w:val="0"/>
        <w:pageBreakBefore w:val="0"/>
        <w:kinsoku/>
        <w:wordWrap/>
        <w:overflowPunct/>
        <w:topLinePunct w:val="0"/>
        <w:autoSpaceDE/>
        <w:autoSpaceDN/>
        <w:bidi w:val="0"/>
        <w:snapToGrid w:val="0"/>
        <w:spacing w:line="578" w:lineRule="exact"/>
        <w:ind w:right="0" w:rightChars="0" w:firstLine="640" w:firstLineChars="200"/>
        <w:textAlignment w:val="auto"/>
        <w:outlineLvl w:val="9"/>
        <w:rPr>
          <w:rFonts w:eastAsia="方正仿宋_GBK"/>
          <w:color w:val="000000"/>
          <w:sz w:val="32"/>
          <w:szCs w:val="32"/>
        </w:rPr>
      </w:pPr>
      <w:r>
        <w:rPr>
          <w:rFonts w:eastAsia="方正仿宋_GBK"/>
          <w:color w:val="000000"/>
          <w:sz w:val="32"/>
          <w:szCs w:val="32"/>
        </w:rPr>
        <w:t>编制情况：</w:t>
      </w:r>
      <w:r>
        <w:rPr>
          <w:rFonts w:hint="eastAsia" w:eastAsia="仿宋_GB2312" w:cs="Times New Roman"/>
          <w:b w:val="0"/>
          <w:bCs w:val="0"/>
          <w:color w:val="000000"/>
          <w:kern w:val="2"/>
          <w:sz w:val="32"/>
          <w:szCs w:val="32"/>
          <w:lang w:val="en-US" w:eastAsia="zh-CN" w:bidi="ar-SA"/>
        </w:rPr>
        <w:t>区</w:t>
      </w:r>
      <w:r>
        <w:rPr>
          <w:rFonts w:hint="default" w:ascii="Times New Roman" w:hAnsi="Times New Roman" w:eastAsia="仿宋_GB2312" w:cs="Times New Roman"/>
          <w:b w:val="0"/>
          <w:bCs w:val="0"/>
          <w:color w:val="000000"/>
          <w:kern w:val="2"/>
          <w:sz w:val="32"/>
          <w:szCs w:val="32"/>
          <w:lang w:val="en-US" w:eastAsia="zh-CN" w:bidi="ar-SA"/>
        </w:rPr>
        <w:t>纪委监委机关共有人员编制</w:t>
      </w:r>
      <w:r>
        <w:rPr>
          <w:rFonts w:hint="eastAsia" w:eastAsia="仿宋_GB2312" w:cs="Times New Roman"/>
          <w:b w:val="0"/>
          <w:bCs w:val="0"/>
          <w:color w:val="000000"/>
          <w:kern w:val="2"/>
          <w:sz w:val="32"/>
          <w:szCs w:val="32"/>
          <w:lang w:val="en-US" w:eastAsia="zh-CN" w:bidi="ar-SA"/>
        </w:rPr>
        <w:t>84</w:t>
      </w:r>
      <w:r>
        <w:rPr>
          <w:rFonts w:hint="default" w:ascii="Times New Roman" w:hAnsi="Times New Roman" w:eastAsia="仿宋_GB2312" w:cs="Times New Roman"/>
          <w:b w:val="0"/>
          <w:bCs w:val="0"/>
          <w:color w:val="000000"/>
          <w:kern w:val="2"/>
          <w:sz w:val="32"/>
          <w:szCs w:val="32"/>
          <w:lang w:val="en-US" w:eastAsia="zh-CN" w:bidi="ar-SA"/>
        </w:rPr>
        <w:t>名，其中行政编制</w:t>
      </w:r>
      <w:r>
        <w:rPr>
          <w:rFonts w:hint="eastAsia" w:eastAsia="仿宋_GB2312" w:cs="Times New Roman"/>
          <w:b w:val="0"/>
          <w:bCs w:val="0"/>
          <w:color w:val="000000"/>
          <w:kern w:val="2"/>
          <w:sz w:val="32"/>
          <w:szCs w:val="32"/>
          <w:lang w:val="en-US" w:eastAsia="zh-CN" w:bidi="ar-SA"/>
        </w:rPr>
        <w:t>58</w:t>
      </w:r>
      <w:r>
        <w:rPr>
          <w:rFonts w:hint="default" w:ascii="Times New Roman" w:hAnsi="Times New Roman" w:eastAsia="仿宋_GB2312" w:cs="Times New Roman"/>
          <w:b w:val="0"/>
          <w:bCs w:val="0"/>
          <w:color w:val="000000"/>
          <w:kern w:val="2"/>
          <w:sz w:val="32"/>
          <w:szCs w:val="32"/>
          <w:lang w:val="en-US" w:eastAsia="zh-CN" w:bidi="ar-SA"/>
        </w:rPr>
        <w:t>名，事业编制</w:t>
      </w:r>
      <w:r>
        <w:rPr>
          <w:rFonts w:hint="eastAsia" w:eastAsia="仿宋_GB2312" w:cs="Times New Roman"/>
          <w:b w:val="0"/>
          <w:bCs w:val="0"/>
          <w:color w:val="000000"/>
          <w:kern w:val="2"/>
          <w:sz w:val="32"/>
          <w:szCs w:val="32"/>
          <w:lang w:val="en-US" w:eastAsia="zh-CN" w:bidi="ar-SA"/>
        </w:rPr>
        <w:t>20</w:t>
      </w:r>
      <w:r>
        <w:rPr>
          <w:rFonts w:hint="default" w:ascii="Times New Roman" w:hAnsi="Times New Roman" w:eastAsia="仿宋_GB2312" w:cs="Times New Roman"/>
          <w:b w:val="0"/>
          <w:bCs w:val="0"/>
          <w:color w:val="000000"/>
          <w:kern w:val="2"/>
          <w:sz w:val="32"/>
          <w:szCs w:val="32"/>
          <w:lang w:val="en-US" w:eastAsia="zh-CN" w:bidi="ar-SA"/>
        </w:rPr>
        <w:t>名，工勤编制</w:t>
      </w:r>
      <w:r>
        <w:rPr>
          <w:rFonts w:hint="eastAsia" w:eastAsia="仿宋_GB2312" w:cs="Times New Roman"/>
          <w:b w:val="0"/>
          <w:bCs w:val="0"/>
          <w:color w:val="000000"/>
          <w:kern w:val="2"/>
          <w:sz w:val="32"/>
          <w:szCs w:val="32"/>
          <w:lang w:val="en-US" w:eastAsia="zh-CN" w:bidi="ar-SA"/>
        </w:rPr>
        <w:t>6</w:t>
      </w:r>
      <w:r>
        <w:rPr>
          <w:rFonts w:hint="default" w:ascii="Times New Roman" w:hAnsi="Times New Roman" w:eastAsia="仿宋_GB2312" w:cs="Times New Roman"/>
          <w:b w:val="0"/>
          <w:bCs w:val="0"/>
          <w:color w:val="000000"/>
          <w:kern w:val="2"/>
          <w:sz w:val="32"/>
          <w:szCs w:val="32"/>
          <w:lang w:val="en-US" w:eastAsia="zh-CN" w:bidi="ar-SA"/>
        </w:rPr>
        <w:t>名。20</w:t>
      </w:r>
      <w:r>
        <w:rPr>
          <w:rFonts w:hint="eastAsia" w:eastAsia="仿宋_GB2312" w:cs="Times New Roman"/>
          <w:b w:val="0"/>
          <w:bCs w:val="0"/>
          <w:color w:val="000000"/>
          <w:kern w:val="2"/>
          <w:sz w:val="32"/>
          <w:szCs w:val="32"/>
          <w:lang w:val="en-US" w:eastAsia="zh-CN" w:bidi="ar-SA"/>
        </w:rPr>
        <w:t>22</w:t>
      </w:r>
      <w:r>
        <w:rPr>
          <w:rFonts w:hint="default" w:ascii="Times New Roman" w:hAnsi="Times New Roman" w:eastAsia="仿宋_GB2312" w:cs="Times New Roman"/>
          <w:b w:val="0"/>
          <w:bCs w:val="0"/>
          <w:color w:val="000000"/>
          <w:kern w:val="2"/>
          <w:sz w:val="32"/>
          <w:szCs w:val="32"/>
          <w:lang w:val="en-US" w:eastAsia="zh-CN" w:bidi="ar-SA"/>
        </w:rPr>
        <w:t>年度实有在职</w:t>
      </w:r>
      <w:r>
        <w:rPr>
          <w:rFonts w:hint="eastAsia" w:eastAsia="仿宋_GB2312" w:cs="Times New Roman"/>
          <w:b w:val="0"/>
          <w:bCs w:val="0"/>
          <w:color w:val="000000"/>
          <w:kern w:val="2"/>
          <w:sz w:val="32"/>
          <w:szCs w:val="32"/>
          <w:lang w:val="en-US" w:eastAsia="zh-CN" w:bidi="ar-SA"/>
        </w:rPr>
        <w:t>80人、其中：</w:t>
      </w:r>
      <w:r>
        <w:rPr>
          <w:rFonts w:hint="default" w:ascii="Times New Roman" w:hAnsi="Times New Roman" w:eastAsia="仿宋_GB2312" w:cs="Times New Roman"/>
          <w:b w:val="0"/>
          <w:bCs w:val="0"/>
          <w:color w:val="000000"/>
          <w:kern w:val="2"/>
          <w:sz w:val="32"/>
          <w:szCs w:val="32"/>
          <w:lang w:val="en-US" w:eastAsia="zh-CN" w:bidi="ar-SA"/>
        </w:rPr>
        <w:t>行政编制</w:t>
      </w:r>
      <w:r>
        <w:rPr>
          <w:rFonts w:hint="eastAsia" w:eastAsia="仿宋_GB2312" w:cs="Times New Roman"/>
          <w:b w:val="0"/>
          <w:bCs w:val="0"/>
          <w:color w:val="000000"/>
          <w:kern w:val="2"/>
          <w:sz w:val="32"/>
          <w:szCs w:val="32"/>
          <w:lang w:val="en-US" w:eastAsia="zh-CN" w:bidi="ar-SA"/>
        </w:rPr>
        <w:t>58</w:t>
      </w:r>
      <w:r>
        <w:rPr>
          <w:rFonts w:hint="default" w:ascii="Times New Roman" w:hAnsi="Times New Roman" w:eastAsia="仿宋_GB2312" w:cs="Times New Roman"/>
          <w:b w:val="0"/>
          <w:bCs w:val="0"/>
          <w:color w:val="000000"/>
          <w:kern w:val="2"/>
          <w:sz w:val="32"/>
          <w:szCs w:val="32"/>
          <w:lang w:val="en-US" w:eastAsia="zh-CN" w:bidi="ar-SA"/>
        </w:rPr>
        <w:t>人，工勤人员</w:t>
      </w:r>
      <w:r>
        <w:rPr>
          <w:rFonts w:hint="eastAsia" w:eastAsia="仿宋_GB2312" w:cs="Times New Roman"/>
          <w:b w:val="0"/>
          <w:bCs w:val="0"/>
          <w:color w:val="000000"/>
          <w:kern w:val="2"/>
          <w:sz w:val="32"/>
          <w:szCs w:val="32"/>
          <w:lang w:val="en-US" w:eastAsia="zh-CN" w:bidi="ar-SA"/>
        </w:rPr>
        <w:t>4</w:t>
      </w:r>
      <w:r>
        <w:rPr>
          <w:rFonts w:hint="default" w:ascii="Times New Roman" w:hAnsi="Times New Roman" w:eastAsia="仿宋_GB2312" w:cs="Times New Roman"/>
          <w:b w:val="0"/>
          <w:bCs w:val="0"/>
          <w:color w:val="000000"/>
          <w:kern w:val="2"/>
          <w:sz w:val="32"/>
          <w:szCs w:val="32"/>
          <w:lang w:val="en-US" w:eastAsia="zh-CN" w:bidi="ar-SA"/>
        </w:rPr>
        <w:t>人，事业人员</w:t>
      </w:r>
      <w:r>
        <w:rPr>
          <w:rFonts w:hint="eastAsia" w:eastAsia="仿宋_GB2312" w:cs="Times New Roman"/>
          <w:b w:val="0"/>
          <w:bCs w:val="0"/>
          <w:color w:val="000000"/>
          <w:kern w:val="2"/>
          <w:sz w:val="32"/>
          <w:szCs w:val="32"/>
          <w:lang w:val="en-US" w:eastAsia="zh-CN" w:bidi="ar-SA"/>
        </w:rPr>
        <w:t>18</w:t>
      </w:r>
      <w:r>
        <w:rPr>
          <w:rFonts w:hint="default" w:ascii="Times New Roman" w:hAnsi="Times New Roman" w:eastAsia="仿宋_GB2312" w:cs="Times New Roman"/>
          <w:b w:val="0"/>
          <w:bCs w:val="0"/>
          <w:color w:val="000000"/>
          <w:kern w:val="2"/>
          <w:sz w:val="32"/>
          <w:szCs w:val="32"/>
          <w:lang w:val="en-US" w:eastAsia="zh-CN" w:bidi="ar-SA"/>
        </w:rPr>
        <w:t>人；退休人员</w:t>
      </w:r>
      <w:r>
        <w:rPr>
          <w:rFonts w:hint="eastAsia" w:eastAsia="仿宋_GB2312" w:cs="Times New Roman"/>
          <w:b w:val="0"/>
          <w:bCs w:val="0"/>
          <w:color w:val="000000"/>
          <w:kern w:val="2"/>
          <w:sz w:val="32"/>
          <w:szCs w:val="32"/>
          <w:lang w:val="en-US" w:eastAsia="zh-CN" w:bidi="ar-SA"/>
        </w:rPr>
        <w:t>17</w:t>
      </w:r>
      <w:r>
        <w:rPr>
          <w:rFonts w:hint="default" w:ascii="Times New Roman" w:hAnsi="Times New Roman" w:eastAsia="仿宋_GB2312" w:cs="Times New Roman"/>
          <w:b w:val="0"/>
          <w:bCs w:val="0"/>
          <w:color w:val="000000"/>
          <w:kern w:val="2"/>
          <w:sz w:val="32"/>
          <w:szCs w:val="32"/>
          <w:lang w:val="en-US" w:eastAsia="zh-CN" w:bidi="ar-SA"/>
        </w:rPr>
        <w:t>人</w:t>
      </w:r>
      <w:r>
        <w:rPr>
          <w:rFonts w:eastAsia="方正仿宋_GBK"/>
          <w:color w:val="000000"/>
          <w:sz w:val="32"/>
          <w:szCs w:val="32"/>
        </w:rPr>
        <w:t>。</w:t>
      </w:r>
    </w:p>
    <w:p>
      <w:pPr>
        <w:keepNext w:val="0"/>
        <w:keepLines w:val="0"/>
        <w:pageBreakBefore w:val="0"/>
        <w:kinsoku/>
        <w:wordWrap/>
        <w:overflowPunct/>
        <w:topLinePunct w:val="0"/>
        <w:autoSpaceDE/>
        <w:autoSpaceDN/>
        <w:bidi w:val="0"/>
        <w:snapToGrid w:val="0"/>
        <w:spacing w:line="578"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二、部门财政资金收支情况</w:t>
      </w:r>
    </w:p>
    <w:p>
      <w:pPr>
        <w:keepNext w:val="0"/>
        <w:keepLines w:val="0"/>
        <w:pageBreakBefore w:val="0"/>
        <w:kinsoku/>
        <w:wordWrap/>
        <w:overflowPunct/>
        <w:topLinePunct w:val="0"/>
        <w:autoSpaceDE/>
        <w:autoSpaceDN/>
        <w:bidi w:val="0"/>
        <w:spacing w:line="578" w:lineRule="exact"/>
        <w:ind w:right="0" w:rightChars="0" w:firstLine="604" w:firstLineChars="189"/>
        <w:textAlignment w:val="auto"/>
        <w:outlineLvl w:val="9"/>
        <w:rPr>
          <w:rFonts w:hint="eastAsia" w:ascii="方正楷体_GBK" w:eastAsia="方正楷体_GBK"/>
          <w:sz w:val="32"/>
          <w:szCs w:val="32"/>
        </w:rPr>
      </w:pPr>
      <w:r>
        <w:rPr>
          <w:rFonts w:hint="eastAsia" w:ascii="方正楷体_GBK" w:eastAsia="方正楷体_GBK"/>
          <w:sz w:val="32"/>
          <w:szCs w:val="32"/>
        </w:rPr>
        <w:t>（一）部门财政资金收入情况</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right="0" w:rightChars="0" w:firstLine="800" w:firstLineChars="250"/>
        <w:textAlignment w:val="auto"/>
        <w:outlineLvl w:val="9"/>
        <w:rPr>
          <w:rFonts w:eastAsia="方正仿宋_GBK"/>
          <w:sz w:val="32"/>
          <w:szCs w:val="32"/>
        </w:rPr>
      </w:pP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年财政拨款收入</w:t>
      </w:r>
      <w:r>
        <w:rPr>
          <w:rFonts w:hint="eastAsia" w:eastAsia="方正仿宋_GBK"/>
          <w:sz w:val="32"/>
          <w:szCs w:val="32"/>
          <w:lang w:val="en-US" w:eastAsia="zh-CN"/>
        </w:rPr>
        <w:t>2092.01</w:t>
      </w:r>
      <w:r>
        <w:rPr>
          <w:rFonts w:eastAsia="方正仿宋_GBK"/>
          <w:sz w:val="32"/>
          <w:szCs w:val="32"/>
        </w:rPr>
        <w:t>万元。</w:t>
      </w:r>
    </w:p>
    <w:p>
      <w:pPr>
        <w:keepNext w:val="0"/>
        <w:keepLines w:val="0"/>
        <w:pageBreakBefore w:val="0"/>
        <w:kinsoku/>
        <w:wordWrap/>
        <w:overflowPunct/>
        <w:topLinePunct w:val="0"/>
        <w:autoSpaceDE/>
        <w:autoSpaceDN/>
        <w:bidi w:val="0"/>
        <w:spacing w:line="578" w:lineRule="exact"/>
        <w:ind w:right="0" w:rightChars="0" w:firstLine="604" w:firstLineChars="189"/>
        <w:textAlignment w:val="auto"/>
        <w:outlineLvl w:val="9"/>
        <w:rPr>
          <w:rFonts w:ascii="方正楷体_GBK" w:eastAsia="方正楷体_GBK"/>
          <w:sz w:val="32"/>
          <w:szCs w:val="32"/>
        </w:rPr>
      </w:pPr>
      <w:r>
        <w:rPr>
          <w:rFonts w:ascii="方正楷体_GBK" w:eastAsia="方正楷体_GBK"/>
          <w:sz w:val="32"/>
          <w:szCs w:val="32"/>
        </w:rPr>
        <w:t>（二）部门财政资金支出情况</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年中共达州市达川区</w:t>
      </w:r>
      <w:r>
        <w:rPr>
          <w:rFonts w:hint="eastAsia" w:eastAsia="方正仿宋_GBK"/>
          <w:sz w:val="32"/>
          <w:szCs w:val="32"/>
          <w:lang w:eastAsia="zh-CN"/>
        </w:rPr>
        <w:t>纪委</w:t>
      </w:r>
      <w:r>
        <w:rPr>
          <w:rFonts w:eastAsia="方正仿宋_GBK"/>
          <w:sz w:val="32"/>
          <w:szCs w:val="32"/>
        </w:rPr>
        <w:t>本级本年支出</w:t>
      </w:r>
      <w:r>
        <w:rPr>
          <w:rFonts w:hint="eastAsia" w:eastAsia="方正仿宋_GBK"/>
          <w:sz w:val="32"/>
          <w:szCs w:val="32"/>
          <w:lang w:val="en-US" w:eastAsia="zh-CN"/>
        </w:rPr>
        <w:t>2092.01</w:t>
      </w:r>
      <w:r>
        <w:rPr>
          <w:rFonts w:eastAsia="方正仿宋_GBK"/>
          <w:sz w:val="32"/>
          <w:szCs w:val="32"/>
        </w:rPr>
        <w:t>万元，其中：基本支出</w:t>
      </w:r>
      <w:r>
        <w:rPr>
          <w:rFonts w:hint="eastAsia" w:eastAsia="方正仿宋_GBK"/>
          <w:sz w:val="32"/>
          <w:szCs w:val="32"/>
          <w:lang w:val="en-US" w:eastAsia="zh-CN"/>
        </w:rPr>
        <w:t>1340.32</w:t>
      </w:r>
      <w:r>
        <w:rPr>
          <w:rFonts w:eastAsia="方正仿宋_GBK"/>
          <w:sz w:val="32"/>
          <w:szCs w:val="32"/>
        </w:rPr>
        <w:t>万元（人员经费</w:t>
      </w:r>
      <w:r>
        <w:rPr>
          <w:rFonts w:hint="eastAsia" w:eastAsia="方正仿宋_GBK"/>
          <w:sz w:val="32"/>
          <w:szCs w:val="32"/>
          <w:lang w:val="en-US" w:eastAsia="zh-CN"/>
        </w:rPr>
        <w:t>1189.02</w:t>
      </w:r>
      <w:r>
        <w:rPr>
          <w:rFonts w:eastAsia="方正仿宋_GBK"/>
          <w:sz w:val="32"/>
          <w:szCs w:val="32"/>
        </w:rPr>
        <w:t>万元和日常公用经费</w:t>
      </w:r>
      <w:r>
        <w:rPr>
          <w:rFonts w:hint="eastAsia" w:eastAsia="方正仿宋_GBK"/>
          <w:sz w:val="32"/>
          <w:szCs w:val="32"/>
          <w:lang w:val="en-US" w:eastAsia="zh-CN"/>
        </w:rPr>
        <w:t xml:space="preserve"> 151.3</w:t>
      </w:r>
      <w:r>
        <w:rPr>
          <w:rFonts w:eastAsia="方正仿宋_GBK"/>
          <w:sz w:val="32"/>
          <w:szCs w:val="32"/>
        </w:rPr>
        <w:t>万元），项目支出</w:t>
      </w:r>
      <w:r>
        <w:rPr>
          <w:rFonts w:hint="eastAsia" w:eastAsia="方正仿宋_GBK"/>
          <w:sz w:val="32"/>
          <w:szCs w:val="32"/>
          <w:lang w:val="en-US" w:eastAsia="zh-CN"/>
        </w:rPr>
        <w:t>751.69</w:t>
      </w:r>
      <w:r>
        <w:rPr>
          <w:rFonts w:eastAsia="方正仿宋_GBK"/>
          <w:sz w:val="32"/>
          <w:szCs w:val="32"/>
        </w:rPr>
        <w:t>万元。</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right="0" w:rightChars="0" w:firstLine="800" w:firstLineChars="250"/>
        <w:textAlignment w:val="auto"/>
        <w:outlineLvl w:val="9"/>
        <w:rPr>
          <w:rFonts w:eastAsia="方正仿宋_GBK"/>
          <w:sz w:val="32"/>
          <w:szCs w:val="32"/>
        </w:rPr>
      </w:pPr>
      <w:r>
        <w:rPr>
          <w:rFonts w:eastAsia="方正仿宋_GBK"/>
          <w:sz w:val="32"/>
          <w:szCs w:val="32"/>
        </w:rPr>
        <w:t>下属单位202</w:t>
      </w:r>
      <w:r>
        <w:rPr>
          <w:rFonts w:hint="eastAsia" w:eastAsia="方正仿宋_GBK"/>
          <w:sz w:val="32"/>
          <w:szCs w:val="32"/>
          <w:lang w:val="en-US" w:eastAsia="zh-CN"/>
        </w:rPr>
        <w:t>2</w:t>
      </w:r>
      <w:r>
        <w:rPr>
          <w:rFonts w:eastAsia="方正仿宋_GBK"/>
          <w:sz w:val="32"/>
          <w:szCs w:val="32"/>
        </w:rPr>
        <w:t>年支出总额</w:t>
      </w:r>
      <w:r>
        <w:rPr>
          <w:rFonts w:hint="eastAsia" w:eastAsia="方正仿宋_GBK"/>
          <w:sz w:val="32"/>
          <w:szCs w:val="32"/>
          <w:lang w:val="en-US" w:eastAsia="zh-CN"/>
        </w:rPr>
        <w:t>0</w:t>
      </w:r>
      <w:r>
        <w:rPr>
          <w:rFonts w:eastAsia="方正仿宋_GBK"/>
          <w:sz w:val="32"/>
          <w:szCs w:val="32"/>
        </w:rPr>
        <w:t>万元。</w:t>
      </w:r>
    </w:p>
    <w:p>
      <w:pPr>
        <w:keepNext w:val="0"/>
        <w:keepLines w:val="0"/>
        <w:pageBreakBefore w:val="0"/>
        <w:kinsoku/>
        <w:wordWrap/>
        <w:overflowPunct/>
        <w:topLinePunct w:val="0"/>
        <w:autoSpaceDE/>
        <w:autoSpaceDN/>
        <w:bidi w:val="0"/>
        <w:spacing w:line="578" w:lineRule="exact"/>
        <w:ind w:right="0" w:rightChars="0" w:firstLine="604" w:firstLineChars="189"/>
        <w:textAlignment w:val="auto"/>
        <w:outlineLvl w:val="9"/>
        <w:rPr>
          <w:rFonts w:ascii="方正楷体_GBK" w:eastAsia="方正楷体_GBK"/>
          <w:sz w:val="32"/>
          <w:szCs w:val="32"/>
        </w:rPr>
      </w:pPr>
      <w:r>
        <w:rPr>
          <w:rFonts w:ascii="方正楷体_GBK" w:eastAsia="方正楷体_GBK"/>
          <w:sz w:val="32"/>
          <w:szCs w:val="32"/>
        </w:rPr>
        <w:t>（三）部门财政收入结转结余情况</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right="0" w:rightChars="0" w:firstLine="800" w:firstLineChars="250"/>
        <w:textAlignment w:val="auto"/>
        <w:outlineLvl w:val="9"/>
        <w:rPr>
          <w:rFonts w:eastAsia="方正仿宋_GBK"/>
          <w:sz w:val="32"/>
          <w:szCs w:val="32"/>
        </w:rPr>
      </w:pP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年本级单位结转下年资金</w:t>
      </w:r>
      <w:r>
        <w:rPr>
          <w:rFonts w:hint="eastAsia" w:eastAsia="方正仿宋_GBK"/>
          <w:sz w:val="32"/>
          <w:szCs w:val="32"/>
          <w:lang w:val="en-US" w:eastAsia="zh-CN"/>
        </w:rPr>
        <w:t>0</w:t>
      </w:r>
      <w:r>
        <w:rPr>
          <w:rFonts w:eastAsia="方正仿宋_GBK"/>
          <w:sz w:val="32"/>
          <w:szCs w:val="32"/>
        </w:rPr>
        <w:t>万元。结余分配</w:t>
      </w:r>
      <w:r>
        <w:rPr>
          <w:rFonts w:hint="eastAsia" w:eastAsia="方正仿宋_GBK"/>
          <w:sz w:val="32"/>
          <w:szCs w:val="32"/>
          <w:lang w:val="en-US" w:eastAsia="zh-CN"/>
        </w:rPr>
        <w:t>0</w:t>
      </w:r>
      <w:r>
        <w:rPr>
          <w:rFonts w:eastAsia="方正仿宋_GBK"/>
          <w:sz w:val="32"/>
          <w:szCs w:val="32"/>
        </w:rPr>
        <w:t>万元，结转下年</w:t>
      </w:r>
      <w:r>
        <w:rPr>
          <w:rFonts w:hint="eastAsia" w:eastAsia="方正仿宋_GBK"/>
          <w:sz w:val="32"/>
          <w:szCs w:val="32"/>
          <w:lang w:val="en-US" w:eastAsia="zh-CN"/>
        </w:rPr>
        <w:t>0</w:t>
      </w:r>
      <w:r>
        <w:rPr>
          <w:rFonts w:eastAsia="方正仿宋_GBK"/>
          <w:sz w:val="32"/>
          <w:szCs w:val="32"/>
        </w:rPr>
        <w:t>万元。</w:t>
      </w:r>
    </w:p>
    <w:p>
      <w:pPr>
        <w:keepNext w:val="0"/>
        <w:keepLines w:val="0"/>
        <w:pageBreakBefore w:val="0"/>
        <w:numPr>
          <w:ilvl w:val="0"/>
          <w:numId w:val="1"/>
        </w:numPr>
        <w:kinsoku/>
        <w:wordWrap/>
        <w:overflowPunct/>
        <w:topLinePunct w:val="0"/>
        <w:autoSpaceDE/>
        <w:autoSpaceDN/>
        <w:bidi w:val="0"/>
        <w:snapToGrid w:val="0"/>
        <w:spacing w:line="578"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部门整体预算绩效管理情况</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eastAsia="方正仿宋_GBK"/>
          <w:sz w:val="32"/>
          <w:szCs w:val="32"/>
        </w:rPr>
      </w:pPr>
      <w:r>
        <w:rPr>
          <w:rFonts w:hint="eastAsia" w:eastAsia="方正仿宋_GBK"/>
          <w:sz w:val="32"/>
          <w:szCs w:val="32"/>
        </w:rPr>
        <w:t>（一）部门预算</w:t>
      </w:r>
      <w:r>
        <w:rPr>
          <w:rFonts w:hint="eastAsia" w:eastAsia="方正仿宋_GBK"/>
          <w:sz w:val="32"/>
          <w:szCs w:val="32"/>
          <w:lang w:eastAsia="zh-CN"/>
        </w:rPr>
        <w:t>项目绩效</w:t>
      </w:r>
      <w:r>
        <w:rPr>
          <w:rFonts w:hint="eastAsia" w:eastAsia="方正仿宋_GBK"/>
          <w:sz w:val="32"/>
          <w:szCs w:val="32"/>
        </w:rPr>
        <w:t>管理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202</w:t>
      </w:r>
      <w:r>
        <w:rPr>
          <w:rFonts w:hint="eastAsia" w:eastAsia="方正仿宋_GBK"/>
          <w:sz w:val="32"/>
          <w:szCs w:val="32"/>
          <w:lang w:val="en-US" w:eastAsia="zh-CN"/>
        </w:rPr>
        <w:t>2</w:t>
      </w:r>
      <w:r>
        <w:rPr>
          <w:rFonts w:hint="eastAsia" w:eastAsia="方正仿宋_GBK"/>
          <w:sz w:val="32"/>
          <w:szCs w:val="32"/>
          <w:lang w:val="zh-CN"/>
        </w:rPr>
        <w:t>年，区纪委的部门预算管理工作有序开展，现结合整体支出绩效评价指标体系，将主要情况总结如下:</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en-US" w:eastAsia="zh-CN"/>
        </w:rPr>
        <w:t>1.</w:t>
      </w:r>
      <w:r>
        <w:rPr>
          <w:rFonts w:hint="eastAsia" w:eastAsia="方正仿宋_GBK"/>
          <w:sz w:val="32"/>
          <w:szCs w:val="32"/>
          <w:lang w:val="zh-CN"/>
        </w:rPr>
        <w:t>在“目标制定”方面，严格按照绩效目标制定的相关规定，结合本部门部门预算项目的实际情况，完整、合理地制定各项目的绩效目标，无要素遗漏，绩效指标基本做到细化量化。部门绩效目标纳入单位集体决策范围。该项指标分值为5分，自评得分</w:t>
      </w:r>
      <w:r>
        <w:rPr>
          <w:rFonts w:hint="eastAsia" w:eastAsia="方正仿宋_GBK"/>
          <w:sz w:val="32"/>
          <w:szCs w:val="32"/>
          <w:lang w:val="en-US" w:eastAsia="zh-CN"/>
        </w:rPr>
        <w:t>5</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en-US" w:eastAsia="zh-CN"/>
        </w:rPr>
        <w:t>2.</w:t>
      </w:r>
      <w:r>
        <w:rPr>
          <w:rFonts w:hint="eastAsia" w:eastAsia="方正仿宋_GBK"/>
          <w:sz w:val="32"/>
          <w:szCs w:val="32"/>
          <w:lang w:val="zh-CN"/>
        </w:rPr>
        <w:t>在“目标实现”方面，202</w:t>
      </w:r>
      <w:r>
        <w:rPr>
          <w:rFonts w:hint="eastAsia" w:eastAsia="方正仿宋_GBK"/>
          <w:sz w:val="32"/>
          <w:szCs w:val="32"/>
          <w:lang w:val="en-US" w:eastAsia="zh-CN"/>
        </w:rPr>
        <w:t>2</w:t>
      </w:r>
      <w:r>
        <w:rPr>
          <w:rFonts w:hint="eastAsia" w:eastAsia="方正仿宋_GBK"/>
          <w:sz w:val="32"/>
          <w:szCs w:val="32"/>
          <w:lang w:val="zh-CN"/>
        </w:rPr>
        <w:t>年共</w:t>
      </w:r>
      <w:r>
        <w:rPr>
          <w:rFonts w:hint="eastAsia" w:eastAsia="方正仿宋_GBK"/>
          <w:sz w:val="32"/>
          <w:szCs w:val="32"/>
          <w:lang w:val="en-US" w:eastAsia="zh-CN"/>
        </w:rPr>
        <w:t>5</w:t>
      </w:r>
      <w:r>
        <w:rPr>
          <w:rFonts w:hint="eastAsia" w:eastAsia="方正仿宋_GBK"/>
          <w:sz w:val="32"/>
          <w:szCs w:val="32"/>
          <w:lang w:val="zh-CN"/>
        </w:rPr>
        <w:t>个部门预算项目，属于特定目标类项目。部门所有纳入绩效目标管理的部门预算项目中涉及数量指标共计</w:t>
      </w:r>
      <w:r>
        <w:rPr>
          <w:rFonts w:hint="eastAsia" w:eastAsia="方正仿宋_GBK"/>
          <w:sz w:val="32"/>
          <w:szCs w:val="32"/>
          <w:lang w:val="en-US" w:eastAsia="zh-CN"/>
        </w:rPr>
        <w:t>5</w:t>
      </w:r>
      <w:r>
        <w:rPr>
          <w:rFonts w:hint="eastAsia" w:eastAsia="方正仿宋_GBK"/>
          <w:sz w:val="32"/>
          <w:szCs w:val="32"/>
          <w:lang w:val="zh-CN"/>
        </w:rPr>
        <w:t>个，已完成数量为</w:t>
      </w:r>
      <w:r>
        <w:rPr>
          <w:rFonts w:hint="eastAsia" w:eastAsia="方正仿宋_GBK"/>
          <w:sz w:val="32"/>
          <w:szCs w:val="32"/>
          <w:lang w:val="en-US" w:eastAsia="zh-CN"/>
        </w:rPr>
        <w:t>5</w:t>
      </w:r>
      <w:r>
        <w:rPr>
          <w:rFonts w:hint="eastAsia" w:eastAsia="方正仿宋_GBK"/>
          <w:sz w:val="32"/>
          <w:szCs w:val="32"/>
          <w:lang w:val="zh-CN"/>
        </w:rPr>
        <w:t>个。该项指标分值为10分，自评得分</w:t>
      </w:r>
      <w:r>
        <w:rPr>
          <w:rFonts w:hint="eastAsia" w:eastAsia="方正仿宋_GBK"/>
          <w:sz w:val="32"/>
          <w:szCs w:val="32"/>
          <w:lang w:val="en-US" w:eastAsia="zh-CN"/>
        </w:rPr>
        <w:t>10</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3.在“支出控制”方面，202</w:t>
      </w:r>
      <w:r>
        <w:rPr>
          <w:rFonts w:hint="eastAsia" w:eastAsia="方正仿宋_GBK"/>
          <w:sz w:val="32"/>
          <w:szCs w:val="32"/>
          <w:lang w:val="en-US" w:eastAsia="zh-CN"/>
        </w:rPr>
        <w:t>2</w:t>
      </w:r>
      <w:r>
        <w:rPr>
          <w:rFonts w:hint="eastAsia" w:eastAsia="方正仿宋_GBK"/>
          <w:sz w:val="32"/>
          <w:szCs w:val="32"/>
          <w:lang w:val="zh-CN"/>
        </w:rPr>
        <w:t>年日常公用经费、项目支出年初预算额</w:t>
      </w:r>
      <w:r>
        <w:rPr>
          <w:rFonts w:hint="eastAsia" w:eastAsia="方正仿宋_GBK"/>
          <w:sz w:val="32"/>
          <w:szCs w:val="32"/>
          <w:lang w:val="en-US" w:eastAsia="zh-CN"/>
        </w:rPr>
        <w:t>902.99</w:t>
      </w:r>
      <w:r>
        <w:rPr>
          <w:rFonts w:hint="eastAsia" w:eastAsia="方正仿宋_GBK"/>
          <w:sz w:val="32"/>
          <w:szCs w:val="32"/>
          <w:lang w:val="zh-CN"/>
        </w:rPr>
        <w:t>万元，年末决算数</w:t>
      </w:r>
      <w:r>
        <w:rPr>
          <w:rFonts w:hint="eastAsia" w:eastAsia="方正仿宋_GBK"/>
          <w:sz w:val="32"/>
          <w:szCs w:val="32"/>
          <w:lang w:val="en-US" w:eastAsia="zh-CN"/>
        </w:rPr>
        <w:t>902.99</w:t>
      </w:r>
      <w:r>
        <w:rPr>
          <w:rFonts w:hint="eastAsia" w:eastAsia="方正仿宋_GBK"/>
          <w:sz w:val="32"/>
          <w:szCs w:val="32"/>
          <w:lang w:val="zh-CN"/>
        </w:rPr>
        <w:t>万元，偏差度</w:t>
      </w:r>
      <w:r>
        <w:rPr>
          <w:rFonts w:hint="eastAsia" w:eastAsia="方正仿宋_GBK"/>
          <w:sz w:val="32"/>
          <w:szCs w:val="32"/>
          <w:lang w:val="en-US" w:eastAsia="zh-CN"/>
        </w:rPr>
        <w:t>0</w:t>
      </w:r>
      <w:r>
        <w:rPr>
          <w:rFonts w:hint="eastAsia" w:eastAsia="方正仿宋_GBK"/>
          <w:sz w:val="32"/>
          <w:szCs w:val="32"/>
          <w:lang w:val="zh-CN"/>
        </w:rPr>
        <w:t>%。该项指标分值为2分，年初预算数与决算数偏差程度在</w:t>
      </w:r>
      <w:r>
        <w:rPr>
          <w:rFonts w:hint="eastAsia" w:eastAsia="方正仿宋_GBK"/>
          <w:sz w:val="32"/>
          <w:szCs w:val="32"/>
          <w:lang w:val="en-US" w:eastAsia="zh-CN"/>
        </w:rPr>
        <w:t>10%</w:t>
      </w:r>
      <w:r>
        <w:rPr>
          <w:rFonts w:hint="eastAsia" w:eastAsia="方正仿宋_GBK"/>
          <w:sz w:val="32"/>
          <w:szCs w:val="32"/>
          <w:lang w:val="zh-CN"/>
        </w:rPr>
        <w:t>以内的，自评得</w:t>
      </w:r>
      <w:r>
        <w:rPr>
          <w:rFonts w:hint="eastAsia" w:eastAsia="方正仿宋_GBK"/>
          <w:sz w:val="32"/>
          <w:szCs w:val="32"/>
          <w:lang w:val="en-US" w:eastAsia="zh-CN"/>
        </w:rPr>
        <w:t>2</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4.在“及时处置”方面，绩效监控调整无取消额和结余注销。该项指标分值为4分。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5.在“执行进度”方面，根据系统提取数据显示，202</w:t>
      </w:r>
      <w:r>
        <w:rPr>
          <w:rFonts w:hint="eastAsia" w:eastAsia="方正仿宋_GBK"/>
          <w:sz w:val="32"/>
          <w:szCs w:val="32"/>
          <w:lang w:val="en-US" w:eastAsia="zh-CN"/>
        </w:rPr>
        <w:t>2</w:t>
      </w:r>
      <w:r>
        <w:rPr>
          <w:rFonts w:hint="eastAsia" w:eastAsia="方正仿宋_GBK"/>
          <w:sz w:val="32"/>
          <w:szCs w:val="32"/>
          <w:lang w:val="zh-CN"/>
        </w:rPr>
        <w:t>年6月、9月、11月执行进度分别为</w:t>
      </w:r>
      <w:r>
        <w:rPr>
          <w:rFonts w:hint="eastAsia" w:eastAsia="方正仿宋_GBK"/>
          <w:sz w:val="32"/>
          <w:szCs w:val="32"/>
          <w:lang w:val="en-US" w:eastAsia="zh-CN"/>
        </w:rPr>
        <w:t>50%、80%、95%。</w:t>
      </w:r>
      <w:r>
        <w:rPr>
          <w:rFonts w:hint="eastAsia" w:eastAsia="方正仿宋_GBK"/>
          <w:sz w:val="32"/>
          <w:szCs w:val="32"/>
          <w:lang w:val="zh-CN"/>
        </w:rPr>
        <w:t>该项指标分值为4分，按其实际进度占目标进度的比重计算得分</w:t>
      </w:r>
      <w:r>
        <w:rPr>
          <w:rFonts w:hint="eastAsia" w:eastAsia="方正仿宋_GBK"/>
          <w:sz w:val="32"/>
          <w:szCs w:val="32"/>
          <w:lang w:val="en-US" w:eastAsia="zh-CN"/>
        </w:rPr>
        <w:t>4</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6.在“预算完成”方面，部门预算项目年末预算执行进度</w:t>
      </w:r>
      <w:r>
        <w:rPr>
          <w:rFonts w:hint="eastAsia" w:eastAsia="方正仿宋_GBK"/>
          <w:sz w:val="32"/>
          <w:szCs w:val="32"/>
          <w:lang w:val="en-US" w:eastAsia="zh-CN"/>
        </w:rPr>
        <w:t>100</w:t>
      </w:r>
      <w:r>
        <w:rPr>
          <w:rFonts w:hint="eastAsia" w:eastAsia="方正仿宋_GBK"/>
          <w:sz w:val="32"/>
          <w:szCs w:val="32"/>
          <w:lang w:val="zh-CN"/>
        </w:rPr>
        <w:t>%。该项指标分值为5分，按照实际进度量化计算得分</w:t>
      </w:r>
      <w:r>
        <w:rPr>
          <w:rFonts w:hint="eastAsia" w:eastAsia="方正仿宋_GBK"/>
          <w:sz w:val="32"/>
          <w:szCs w:val="32"/>
          <w:lang w:val="en-US" w:eastAsia="zh-CN"/>
        </w:rPr>
        <w:t>5</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7.在“资金结余率”方面，预算项目共</w:t>
      </w:r>
      <w:r>
        <w:rPr>
          <w:rFonts w:hint="eastAsia" w:eastAsia="方正仿宋_GBK"/>
          <w:sz w:val="32"/>
          <w:szCs w:val="32"/>
          <w:lang w:val="en-US" w:eastAsia="zh-CN"/>
        </w:rPr>
        <w:t>5</w:t>
      </w:r>
      <w:r>
        <w:rPr>
          <w:rFonts w:hint="eastAsia" w:eastAsia="方正仿宋_GBK"/>
          <w:sz w:val="32"/>
          <w:szCs w:val="32"/>
          <w:lang w:val="zh-CN"/>
        </w:rPr>
        <w:t>项，资金结余率小于</w:t>
      </w:r>
      <w:r>
        <w:rPr>
          <w:rFonts w:hint="eastAsia" w:eastAsia="方正仿宋_GBK"/>
          <w:sz w:val="32"/>
          <w:szCs w:val="32"/>
          <w:lang w:val="en-US" w:eastAsia="zh-CN"/>
        </w:rPr>
        <w:t>0</w:t>
      </w:r>
      <w:r>
        <w:rPr>
          <w:rFonts w:hint="eastAsia" w:eastAsia="方正仿宋_GBK"/>
          <w:sz w:val="32"/>
          <w:szCs w:val="32"/>
          <w:lang w:val="zh-CN"/>
        </w:rPr>
        <w:t>的项目数</w:t>
      </w:r>
      <w:r>
        <w:rPr>
          <w:rFonts w:hint="eastAsia" w:eastAsia="方正仿宋_GBK"/>
          <w:sz w:val="32"/>
          <w:szCs w:val="32"/>
          <w:lang w:val="en-US" w:eastAsia="zh-CN"/>
        </w:rPr>
        <w:t>5</w:t>
      </w:r>
      <w:r>
        <w:rPr>
          <w:rFonts w:hint="eastAsia" w:eastAsia="方正仿宋_GBK"/>
          <w:sz w:val="32"/>
          <w:szCs w:val="32"/>
          <w:lang w:val="zh-CN"/>
        </w:rPr>
        <w:t>项。该项指标分值为8分，按照相应量化计算得分</w:t>
      </w:r>
      <w:r>
        <w:rPr>
          <w:rFonts w:hint="eastAsia" w:eastAsia="方正仿宋_GBK"/>
          <w:sz w:val="32"/>
          <w:szCs w:val="32"/>
          <w:lang w:val="en-US" w:eastAsia="zh-CN"/>
        </w:rPr>
        <w:t>8</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8.在违规记录上，202</w:t>
      </w:r>
      <w:r>
        <w:rPr>
          <w:rFonts w:hint="eastAsia" w:eastAsia="方正仿宋_GBK"/>
          <w:sz w:val="32"/>
          <w:szCs w:val="32"/>
          <w:lang w:val="en-US" w:eastAsia="zh-CN"/>
        </w:rPr>
        <w:t>2</w:t>
      </w:r>
      <w:r>
        <w:rPr>
          <w:rFonts w:hint="eastAsia" w:eastAsia="方正仿宋_GBK"/>
          <w:sz w:val="32"/>
          <w:szCs w:val="32"/>
          <w:lang w:val="zh-CN"/>
        </w:rPr>
        <w:t>年没有出现部门预算管理方面违纪违规问题。该项指标分值为2分，自评得分2分。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rPr>
        <w:t>（二）</w:t>
      </w:r>
      <w:r>
        <w:rPr>
          <w:rFonts w:hint="eastAsia" w:eastAsia="方正仿宋_GBK"/>
          <w:sz w:val="32"/>
          <w:szCs w:val="32"/>
          <w:lang w:val="zh-CN"/>
        </w:rPr>
        <w:t>结果应用情况</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1.在“预算挂钩”方面，区纪委已出台全面实施预算绩效管理工作方案，细化考核内容，加强各业务</w:t>
      </w:r>
      <w:r>
        <w:rPr>
          <w:rFonts w:hint="eastAsia" w:eastAsia="方正仿宋_GBK"/>
          <w:sz w:val="32"/>
          <w:szCs w:val="32"/>
          <w:lang w:val="en-US" w:eastAsia="zh-CN"/>
        </w:rPr>
        <w:t>股</w:t>
      </w:r>
      <w:r>
        <w:rPr>
          <w:rFonts w:hint="eastAsia" w:eastAsia="方正仿宋_GBK"/>
          <w:sz w:val="32"/>
          <w:szCs w:val="32"/>
          <w:lang w:val="zh-CN"/>
        </w:rPr>
        <w:t>室与绩效管理工作的联系，明确考核及绩效结果与专项预算安排挂钩举措，推动绩效管理工作更好的实施。该项指标分值为4分，自评得分</w:t>
      </w:r>
      <w:r>
        <w:rPr>
          <w:rFonts w:hint="eastAsia" w:eastAsia="方正仿宋_GBK"/>
          <w:sz w:val="32"/>
          <w:szCs w:val="32"/>
          <w:lang w:val="en-US" w:eastAsia="zh-CN"/>
        </w:rPr>
        <w:t>4</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2.在“自评公开”方面，区纪委严格按照预决算编制要求编制绩效目标，填列绩效目标完成情况，开展绩效自评工作，并按要求将相关绩效信息随部门预算决一并在</w:t>
      </w:r>
      <w:r>
        <w:rPr>
          <w:rFonts w:hint="eastAsia" w:eastAsia="方正仿宋_GBK"/>
          <w:sz w:val="32"/>
          <w:szCs w:val="32"/>
          <w:lang w:val="zh-CN" w:eastAsia="zh-CN"/>
        </w:rPr>
        <w:t>政府</w:t>
      </w:r>
      <w:r>
        <w:rPr>
          <w:rFonts w:hint="eastAsia" w:eastAsia="方正仿宋_GBK"/>
          <w:sz w:val="32"/>
          <w:szCs w:val="32"/>
          <w:lang w:val="zh-CN"/>
        </w:rPr>
        <w:t>门户网站公开。该项指标分值为2分，自评得分</w:t>
      </w:r>
      <w:r>
        <w:rPr>
          <w:rFonts w:hint="eastAsia" w:eastAsia="方正仿宋_GBK"/>
          <w:sz w:val="32"/>
          <w:szCs w:val="32"/>
          <w:lang w:val="en-US" w:eastAsia="zh-CN"/>
        </w:rPr>
        <w:t>2</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3.在“问题整改”方面，结合部门预算项目实际情况，绩效目标设置要素完整也基本做到细化量化;对发现执行进度偏低的项目，要求各业务</w:t>
      </w:r>
      <w:r>
        <w:rPr>
          <w:rFonts w:hint="eastAsia" w:eastAsia="方正仿宋_GBK"/>
          <w:sz w:val="32"/>
          <w:szCs w:val="32"/>
          <w:lang w:val="en-US" w:eastAsia="zh-CN"/>
        </w:rPr>
        <w:t>股</w:t>
      </w:r>
      <w:r>
        <w:rPr>
          <w:rFonts w:hint="eastAsia" w:eastAsia="方正仿宋_GBK"/>
          <w:sz w:val="32"/>
          <w:szCs w:val="32"/>
          <w:lang w:val="zh-CN"/>
        </w:rPr>
        <w:t>室加快预算执行进度;针对我</w:t>
      </w:r>
      <w:r>
        <w:rPr>
          <w:rFonts w:hint="eastAsia" w:eastAsia="方正仿宋_GBK"/>
          <w:sz w:val="32"/>
          <w:szCs w:val="32"/>
          <w:lang w:val="en-US" w:eastAsia="zh-CN"/>
        </w:rPr>
        <w:t>部</w:t>
      </w:r>
      <w:r>
        <w:rPr>
          <w:rFonts w:hint="eastAsia" w:eastAsia="方正仿宋_GBK"/>
          <w:sz w:val="32"/>
          <w:szCs w:val="32"/>
          <w:lang w:val="zh-CN"/>
        </w:rPr>
        <w:t>原内部考核办法有关预算绩效考核的内容不够完善且难以量化考核的情况，及时完善了相关考核办法，细化考核指标。该项指标分值为2分，自评得分</w:t>
      </w:r>
      <w:r>
        <w:rPr>
          <w:rFonts w:hint="eastAsia" w:eastAsia="方正仿宋_GBK"/>
          <w:sz w:val="32"/>
          <w:szCs w:val="32"/>
          <w:lang w:val="en-US" w:eastAsia="zh-CN"/>
        </w:rPr>
        <w:t>2</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4.在应用反馈上，区纪委已按要求在规定时间内将预算绩效结果应用结果向财政反馈。该项指标分值为</w:t>
      </w:r>
      <w:r>
        <w:rPr>
          <w:rFonts w:hint="eastAsia" w:eastAsia="方正仿宋_GBK"/>
          <w:sz w:val="32"/>
          <w:szCs w:val="32"/>
          <w:lang w:val="en-US" w:eastAsia="zh-CN"/>
        </w:rPr>
        <w:t>2</w:t>
      </w:r>
      <w:r>
        <w:rPr>
          <w:rFonts w:hint="eastAsia" w:eastAsia="方正仿宋_GBK"/>
          <w:sz w:val="32"/>
          <w:szCs w:val="32"/>
          <w:lang w:val="zh-CN"/>
        </w:rPr>
        <w:t>分，自评得分</w:t>
      </w:r>
      <w:r>
        <w:rPr>
          <w:rFonts w:hint="eastAsia" w:eastAsia="方正仿宋_GBK"/>
          <w:sz w:val="32"/>
          <w:szCs w:val="32"/>
          <w:lang w:val="en-US" w:eastAsia="zh-CN"/>
        </w:rPr>
        <w:t>2</w:t>
      </w:r>
      <w:r>
        <w:rPr>
          <w:rFonts w:hint="eastAsia" w:eastAsia="方正仿宋_GBK"/>
          <w:sz w:val="32"/>
          <w:szCs w:val="32"/>
          <w:lang w:val="zh-CN"/>
        </w:rPr>
        <w:t>分。</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left="210" w:leftChars="100" w:right="0" w:rightChars="0" w:firstLine="480" w:firstLineChars="150"/>
        <w:textAlignment w:val="auto"/>
        <w:outlineLvl w:val="9"/>
        <w:rPr>
          <w:rFonts w:hint="eastAsia" w:eastAsia="方正仿宋_GBK"/>
          <w:sz w:val="32"/>
          <w:szCs w:val="32"/>
          <w:lang w:val="zh-CN"/>
        </w:rPr>
      </w:pPr>
      <w:r>
        <w:rPr>
          <w:rFonts w:hint="eastAsia" w:eastAsia="方正仿宋_GBK"/>
          <w:sz w:val="32"/>
          <w:szCs w:val="32"/>
          <w:lang w:val="zh-CN"/>
        </w:rPr>
        <w:t>(三)自评质量情况</w:t>
      </w:r>
    </w:p>
    <w:p>
      <w:pPr>
        <w:keepNext w:val="0"/>
        <w:keepLines w:val="0"/>
        <w:pageBreakBefore w:val="0"/>
        <w:tabs>
          <w:tab w:val="left" w:pos="540"/>
          <w:tab w:val="left" w:pos="900"/>
          <w:tab w:val="left" w:pos="1440"/>
          <w:tab w:val="left" w:pos="1620"/>
          <w:tab w:val="left" w:pos="1800"/>
          <w:tab w:val="left" w:pos="2520"/>
          <w:tab w:val="left" w:pos="2880"/>
        </w:tabs>
        <w:kinsoku/>
        <w:wordWrap/>
        <w:overflowPunct/>
        <w:topLinePunct w:val="0"/>
        <w:autoSpaceDE/>
        <w:autoSpaceDN/>
        <w:bidi w:val="0"/>
        <w:spacing w:line="578" w:lineRule="exact"/>
        <w:ind w:right="0" w:rightChars="0" w:firstLine="640" w:firstLineChars="200"/>
        <w:textAlignment w:val="auto"/>
        <w:outlineLvl w:val="9"/>
        <w:rPr>
          <w:rFonts w:hint="eastAsia" w:eastAsia="方正仿宋_GBK"/>
          <w:sz w:val="32"/>
          <w:szCs w:val="32"/>
          <w:lang w:val="en-US" w:eastAsia="zh-CN"/>
        </w:rPr>
      </w:pPr>
      <w:r>
        <w:rPr>
          <w:rFonts w:hint="eastAsia" w:eastAsia="方正仿宋_GBK"/>
          <w:sz w:val="32"/>
          <w:szCs w:val="32"/>
          <w:lang w:val="en-US" w:eastAsia="zh-CN"/>
        </w:rPr>
        <w:t>区纪委</w:t>
      </w:r>
      <w:r>
        <w:rPr>
          <w:rFonts w:hint="eastAsia" w:eastAsia="方正仿宋_GBK"/>
          <w:sz w:val="32"/>
          <w:szCs w:val="32"/>
          <w:lang w:val="zh-CN"/>
        </w:rPr>
        <w:t>整体支出自评准确率较高，</w:t>
      </w:r>
      <w:r>
        <w:rPr>
          <w:rFonts w:hint="eastAsia" w:eastAsia="方正仿宋_GBK"/>
          <w:sz w:val="32"/>
          <w:szCs w:val="32"/>
          <w:lang w:val="en-US" w:eastAsia="zh-CN"/>
        </w:rPr>
        <w:t>且全面开展自评</w:t>
      </w:r>
      <w:r>
        <w:rPr>
          <w:rFonts w:hint="eastAsia" w:eastAsia="方正仿宋_GBK"/>
          <w:sz w:val="32"/>
          <w:szCs w:val="32"/>
          <w:lang w:val="zh-CN"/>
        </w:rPr>
        <w:t>。</w:t>
      </w:r>
      <w:r>
        <w:rPr>
          <w:rFonts w:hint="eastAsia" w:eastAsia="方正仿宋_GBK"/>
          <w:sz w:val="32"/>
          <w:szCs w:val="32"/>
          <w:lang w:val="en-US" w:eastAsia="zh-CN"/>
        </w:rPr>
        <w:t>自评质量分值为10分，由主管部门、财政部门考评，单位自评实际总分为86分。</w:t>
      </w:r>
    </w:p>
    <w:p>
      <w:pPr>
        <w:keepNext w:val="0"/>
        <w:keepLines w:val="0"/>
        <w:pageBreakBefore w:val="0"/>
        <w:kinsoku/>
        <w:wordWrap/>
        <w:overflowPunct/>
        <w:topLinePunct w:val="0"/>
        <w:autoSpaceDE/>
        <w:autoSpaceDN/>
        <w:bidi w:val="0"/>
        <w:spacing w:line="550" w:lineRule="exact"/>
        <w:ind w:left="0" w:leftChars="0" w:right="0" w:rightChars="0" w:firstLine="604" w:firstLineChars="189"/>
        <w:textAlignment w:val="auto"/>
        <w:outlineLvl w:val="9"/>
        <w:rPr>
          <w:rFonts w:hint="eastAsia" w:ascii="方正黑体_GBK" w:eastAsia="方正黑体_GBK"/>
          <w:sz w:val="32"/>
          <w:szCs w:val="32"/>
        </w:rPr>
      </w:pPr>
      <w:r>
        <w:rPr>
          <w:rFonts w:hint="eastAsia" w:ascii="方正黑体_GBK" w:eastAsia="方正黑体_GBK"/>
          <w:sz w:val="32"/>
          <w:szCs w:val="32"/>
        </w:rPr>
        <w:t>四、评价结论及建议</w:t>
      </w:r>
    </w:p>
    <w:p>
      <w:pPr>
        <w:keepNext w:val="0"/>
        <w:keepLines w:val="0"/>
        <w:pageBreakBefore w:val="0"/>
        <w:kinsoku/>
        <w:wordWrap/>
        <w:overflowPunct/>
        <w:topLinePunct w:val="0"/>
        <w:autoSpaceDE/>
        <w:autoSpaceDN/>
        <w:bidi w:val="0"/>
        <w:spacing w:line="550" w:lineRule="exact"/>
        <w:ind w:left="0" w:leftChars="0" w:right="0" w:rightChars="0" w:firstLine="604" w:firstLineChars="189"/>
        <w:textAlignment w:val="auto"/>
        <w:outlineLvl w:val="9"/>
        <w:rPr>
          <w:rFonts w:ascii="方正楷体_GBK" w:eastAsia="方正楷体_GBK"/>
          <w:sz w:val="32"/>
          <w:szCs w:val="32"/>
        </w:rPr>
      </w:pPr>
      <w:r>
        <w:rPr>
          <w:rFonts w:ascii="方正楷体_GBK" w:eastAsia="方正楷体_GBK"/>
          <w:sz w:val="32"/>
          <w:szCs w:val="32"/>
        </w:rPr>
        <w:t>（一）评价结论</w:t>
      </w:r>
    </w:p>
    <w:p>
      <w:pPr>
        <w:keepNext w:val="0"/>
        <w:keepLines w:val="0"/>
        <w:pageBreakBefore w:val="0"/>
        <w:kinsoku/>
        <w:wordWrap/>
        <w:overflowPunct/>
        <w:topLinePunct w:val="0"/>
        <w:autoSpaceDE/>
        <w:autoSpaceDN/>
        <w:bidi w:val="0"/>
        <w:spacing w:line="550" w:lineRule="exact"/>
        <w:ind w:left="0" w:leftChars="0" w:right="0" w:rightChars="0" w:firstLine="640" w:firstLineChars="200"/>
        <w:textAlignment w:val="auto"/>
        <w:outlineLvl w:val="9"/>
        <w:rPr>
          <w:rFonts w:eastAsia="方正仿宋_GBK"/>
          <w:sz w:val="32"/>
          <w:szCs w:val="32"/>
          <w:lang w:val="zh-CN"/>
        </w:rPr>
      </w:pPr>
      <w:r>
        <w:rPr>
          <w:rFonts w:eastAsia="方正仿宋_GBK"/>
          <w:sz w:val="32"/>
          <w:szCs w:val="32"/>
          <w:lang w:val="zh-CN"/>
        </w:rPr>
        <w:t>总体看，我</w:t>
      </w:r>
      <w:r>
        <w:rPr>
          <w:rFonts w:hint="eastAsia" w:eastAsia="方正仿宋_GBK"/>
          <w:sz w:val="32"/>
          <w:szCs w:val="32"/>
          <w:lang w:val="zh-CN"/>
        </w:rPr>
        <w:t>委</w:t>
      </w:r>
      <w:r>
        <w:rPr>
          <w:rFonts w:eastAsia="方正仿宋_GBK"/>
          <w:sz w:val="32"/>
          <w:szCs w:val="32"/>
          <w:lang w:val="zh-CN"/>
        </w:rPr>
        <w:t>预算编制及执行决算较为准确，支出管理较为规范，财务管理</w:t>
      </w:r>
      <w:r>
        <w:rPr>
          <w:rFonts w:hint="eastAsia" w:eastAsia="方正仿宋_GBK"/>
          <w:sz w:val="32"/>
          <w:szCs w:val="32"/>
          <w:lang w:val="zh-CN" w:eastAsia="zh-CN"/>
        </w:rPr>
        <w:t>制度完善</w:t>
      </w:r>
      <w:r>
        <w:rPr>
          <w:rFonts w:eastAsia="方正仿宋_GBK"/>
          <w:sz w:val="32"/>
          <w:szCs w:val="32"/>
          <w:lang w:val="zh-CN"/>
        </w:rPr>
        <w:t>。</w:t>
      </w:r>
    </w:p>
    <w:p>
      <w:pPr>
        <w:keepNext w:val="0"/>
        <w:keepLines w:val="0"/>
        <w:pageBreakBefore w:val="0"/>
        <w:kinsoku/>
        <w:wordWrap/>
        <w:overflowPunct/>
        <w:topLinePunct w:val="0"/>
        <w:autoSpaceDE/>
        <w:autoSpaceDN/>
        <w:bidi w:val="0"/>
        <w:spacing w:line="550" w:lineRule="exact"/>
        <w:ind w:left="0" w:leftChars="0" w:right="0" w:rightChars="0" w:firstLine="604" w:firstLineChars="189"/>
        <w:textAlignment w:val="auto"/>
        <w:outlineLvl w:val="9"/>
        <w:rPr>
          <w:rFonts w:ascii="方正楷体_GBK" w:eastAsia="方正楷体_GBK"/>
          <w:sz w:val="32"/>
          <w:szCs w:val="32"/>
        </w:rPr>
      </w:pPr>
      <w:r>
        <w:rPr>
          <w:rFonts w:ascii="方正楷体_GBK" w:eastAsia="方正楷体_GBK"/>
          <w:sz w:val="32"/>
          <w:szCs w:val="32"/>
        </w:rPr>
        <w:t>（二）存在问题</w:t>
      </w:r>
    </w:p>
    <w:p>
      <w:pPr>
        <w:keepNext w:val="0"/>
        <w:keepLines w:val="0"/>
        <w:pageBreakBefore w:val="0"/>
        <w:widowControl/>
        <w:kinsoku/>
        <w:wordWrap/>
        <w:overflowPunct/>
        <w:topLinePunct w:val="0"/>
        <w:autoSpaceDE/>
        <w:autoSpaceDN/>
        <w:bidi w:val="0"/>
        <w:adjustRightInd w:val="0"/>
        <w:snapToGrid w:val="0"/>
        <w:spacing w:line="550" w:lineRule="exact"/>
        <w:ind w:left="0" w:leftChars="0" w:right="0" w:rightChars="0" w:firstLine="640" w:firstLineChars="200"/>
        <w:jc w:val="left"/>
        <w:textAlignment w:val="auto"/>
        <w:outlineLvl w:val="9"/>
        <w:rPr>
          <w:rFonts w:eastAsia="方正仿宋_GBK"/>
          <w:sz w:val="32"/>
          <w:szCs w:val="32"/>
          <w:lang w:val="zh-CN"/>
        </w:rPr>
      </w:pPr>
      <w:r>
        <w:rPr>
          <w:rFonts w:eastAsia="方正仿宋_GBK"/>
          <w:sz w:val="32"/>
          <w:szCs w:val="32"/>
          <w:lang w:val="zh-CN"/>
        </w:rPr>
        <w:t>1</w:t>
      </w:r>
      <w:r>
        <w:rPr>
          <w:rFonts w:eastAsia="方正仿宋_GBK"/>
          <w:color w:val="000000"/>
          <w:sz w:val="32"/>
          <w:szCs w:val="32"/>
        </w:rPr>
        <w:t>．</w:t>
      </w:r>
      <w:r>
        <w:rPr>
          <w:rFonts w:eastAsia="方正仿宋_GBK"/>
          <w:sz w:val="32"/>
          <w:szCs w:val="32"/>
          <w:lang w:val="zh-CN"/>
        </w:rPr>
        <w:t>预算安排准确性有待进一步提高。</w:t>
      </w:r>
    </w:p>
    <w:p>
      <w:pPr>
        <w:keepNext w:val="0"/>
        <w:keepLines w:val="0"/>
        <w:pageBreakBefore w:val="0"/>
        <w:kinsoku/>
        <w:wordWrap/>
        <w:overflowPunct/>
        <w:topLinePunct w:val="0"/>
        <w:autoSpaceDE/>
        <w:autoSpaceDN/>
        <w:bidi w:val="0"/>
        <w:spacing w:line="550" w:lineRule="exact"/>
        <w:ind w:left="0" w:leftChars="0" w:right="0" w:rightChars="0" w:firstLine="640" w:firstLineChars="200"/>
        <w:textAlignment w:val="auto"/>
        <w:outlineLvl w:val="9"/>
        <w:rPr>
          <w:rFonts w:eastAsia="方正仿宋_GBK"/>
          <w:sz w:val="32"/>
          <w:szCs w:val="32"/>
        </w:rPr>
      </w:pPr>
      <w:r>
        <w:rPr>
          <w:rFonts w:eastAsia="方正仿宋_GBK"/>
          <w:sz w:val="32"/>
          <w:szCs w:val="32"/>
          <w:lang w:val="zh-CN"/>
        </w:rPr>
        <w:t>2</w:t>
      </w:r>
      <w:r>
        <w:rPr>
          <w:rFonts w:eastAsia="方正仿宋_GBK"/>
          <w:color w:val="000000"/>
          <w:sz w:val="32"/>
          <w:szCs w:val="32"/>
        </w:rPr>
        <w:t>．</w:t>
      </w:r>
      <w:r>
        <w:rPr>
          <w:rFonts w:eastAsia="方正仿宋_GBK"/>
          <w:sz w:val="32"/>
          <w:szCs w:val="32"/>
          <w:lang w:val="zh-CN"/>
        </w:rPr>
        <w:t>财务管理及会计核算方面</w:t>
      </w:r>
      <w:r>
        <w:rPr>
          <w:rFonts w:hint="eastAsia" w:eastAsia="方正仿宋_GBK"/>
          <w:sz w:val="32"/>
          <w:szCs w:val="32"/>
          <w:lang w:val="zh-CN"/>
        </w:rPr>
        <w:t>，</w:t>
      </w:r>
      <w:r>
        <w:rPr>
          <w:rFonts w:eastAsia="方正仿宋_GBK"/>
          <w:sz w:val="32"/>
          <w:szCs w:val="32"/>
          <w:lang w:val="zh-CN"/>
        </w:rPr>
        <w:t>相关财务制度</w:t>
      </w:r>
      <w:r>
        <w:rPr>
          <w:rFonts w:eastAsia="方正仿宋_GBK"/>
          <w:sz w:val="32"/>
          <w:szCs w:val="32"/>
        </w:rPr>
        <w:t>需</w:t>
      </w:r>
      <w:r>
        <w:rPr>
          <w:rFonts w:eastAsia="方正仿宋_GBK"/>
          <w:sz w:val="32"/>
          <w:szCs w:val="32"/>
          <w:lang w:val="zh-CN"/>
        </w:rPr>
        <w:t>更健全细化，进一步加强项目前期管理，加快项目执行力度。</w:t>
      </w:r>
    </w:p>
    <w:p>
      <w:pPr>
        <w:keepNext w:val="0"/>
        <w:keepLines w:val="0"/>
        <w:pageBreakBefore w:val="0"/>
        <w:kinsoku/>
        <w:wordWrap/>
        <w:overflowPunct/>
        <w:topLinePunct w:val="0"/>
        <w:autoSpaceDE/>
        <w:autoSpaceDN/>
        <w:bidi w:val="0"/>
        <w:spacing w:line="550" w:lineRule="exact"/>
        <w:ind w:left="0" w:leftChars="0" w:right="0" w:rightChars="0" w:firstLine="604" w:firstLineChars="189"/>
        <w:textAlignment w:val="auto"/>
        <w:outlineLvl w:val="9"/>
        <w:rPr>
          <w:rFonts w:hint="eastAsia" w:ascii="方正楷体_GBK" w:eastAsia="方正楷体_GBK"/>
          <w:sz w:val="32"/>
          <w:szCs w:val="32"/>
        </w:rPr>
      </w:pPr>
      <w:r>
        <w:rPr>
          <w:rFonts w:hint="eastAsia" w:ascii="方正楷体_GBK" w:eastAsia="方正楷体_GBK"/>
          <w:sz w:val="32"/>
          <w:szCs w:val="32"/>
        </w:rPr>
        <w:t>（三）改进建议</w:t>
      </w:r>
    </w:p>
    <w:p>
      <w:pPr>
        <w:keepNext w:val="0"/>
        <w:keepLines w:val="0"/>
        <w:pageBreakBefore w:val="0"/>
        <w:widowControl/>
        <w:kinsoku/>
        <w:wordWrap/>
        <w:overflowPunct/>
        <w:topLinePunct w:val="0"/>
        <w:autoSpaceDE/>
        <w:autoSpaceDN/>
        <w:bidi w:val="0"/>
        <w:adjustRightInd w:val="0"/>
        <w:snapToGrid w:val="0"/>
        <w:spacing w:line="550" w:lineRule="exact"/>
        <w:ind w:left="0" w:leftChars="0" w:right="0" w:rightChars="0" w:firstLine="640" w:firstLineChars="200"/>
        <w:jc w:val="left"/>
        <w:textAlignment w:val="auto"/>
        <w:outlineLvl w:val="9"/>
        <w:rPr>
          <w:rFonts w:eastAsia="方正仿宋_GBK"/>
          <w:sz w:val="32"/>
          <w:szCs w:val="32"/>
        </w:rPr>
      </w:pPr>
      <w:r>
        <w:rPr>
          <w:rFonts w:eastAsia="方正仿宋_GBK"/>
          <w:sz w:val="32"/>
          <w:szCs w:val="32"/>
        </w:rPr>
        <w:t>1</w:t>
      </w:r>
      <w:r>
        <w:rPr>
          <w:rFonts w:eastAsia="方正仿宋_GBK"/>
          <w:color w:val="000000"/>
          <w:sz w:val="32"/>
          <w:szCs w:val="32"/>
        </w:rPr>
        <w:t>．</w:t>
      </w:r>
      <w:r>
        <w:rPr>
          <w:rFonts w:eastAsia="方正仿宋_GBK"/>
          <w:sz w:val="32"/>
          <w:szCs w:val="32"/>
        </w:rPr>
        <w:t>细化预算编制工作，认真做好预算的编制。进一步加强单位内部机构各股室的预算管理意识，严格按照预算编制的相关制度和要求进行预算编制。</w:t>
      </w:r>
    </w:p>
    <w:p>
      <w:pPr>
        <w:keepNext w:val="0"/>
        <w:keepLines w:val="0"/>
        <w:pageBreakBefore w:val="0"/>
        <w:kinsoku/>
        <w:wordWrap/>
        <w:overflowPunct/>
        <w:topLinePunct w:val="0"/>
        <w:autoSpaceDE/>
        <w:autoSpaceDN/>
        <w:bidi w:val="0"/>
        <w:spacing w:line="550" w:lineRule="exact"/>
        <w:ind w:left="0" w:leftChars="0" w:right="0" w:rightChars="0" w:firstLine="640" w:firstLineChars="200"/>
        <w:textAlignment w:val="auto"/>
        <w:outlineLvl w:val="9"/>
        <w:rPr>
          <w:rFonts w:eastAsia="方正仿宋_GBK"/>
          <w:sz w:val="32"/>
          <w:szCs w:val="32"/>
        </w:rPr>
      </w:pPr>
      <w:r>
        <w:rPr>
          <w:rFonts w:eastAsia="方正仿宋_GBK"/>
          <w:sz w:val="32"/>
          <w:szCs w:val="32"/>
        </w:rPr>
        <w:t>2</w:t>
      </w:r>
      <w:r>
        <w:rPr>
          <w:rFonts w:eastAsia="方正仿宋_GBK"/>
          <w:color w:val="000000"/>
          <w:sz w:val="32"/>
          <w:szCs w:val="32"/>
        </w:rPr>
        <w:t>．</w:t>
      </w:r>
      <w:r>
        <w:rPr>
          <w:rFonts w:eastAsia="方正仿宋_GBK"/>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按月编制用款计划，优先保工资保运转，严把资金支付审核关，严格检查入账发票的合理性和准确性，核实原始凭证的完整性。</w:t>
      </w:r>
    </w:p>
    <w:p>
      <w:pPr>
        <w:pStyle w:val="6"/>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tbl>
      <w:tblPr>
        <w:tblStyle w:val="5"/>
        <w:tblpPr w:leftFromText="180" w:rightFromText="180" w:vertAnchor="text" w:horzAnchor="page" w:tblpX="1256" w:tblpY="221"/>
        <w:tblOverlap w:val="neve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465"/>
        <w:gridCol w:w="1555"/>
        <w:gridCol w:w="1925"/>
        <w:gridCol w:w="1476"/>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2" w:hRule="atLeast"/>
        </w:trPr>
        <w:tc>
          <w:tcPr>
            <w:tcW w:w="9372"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（项目名称：监督检查项目）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实施单位</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中国共产党达州市达川区纪律检查委员会</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105001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center" w:pos="854"/>
              </w:tabs>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ab/>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完成情况</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预期目标</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9"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2022年区纪委监督检查经费预算200万元。用于区纪委在全区开展监督检查工作，</w:t>
            </w:r>
            <w:r>
              <w:rPr>
                <w:rFonts w:hint="eastAsia" w:ascii="宋体" w:hAnsi="宋体" w:eastAsia="宋体" w:cs="宋体"/>
                <w:i w:val="0"/>
                <w:color w:val="000000" w:themeColor="text1"/>
                <w:sz w:val="24"/>
                <w:szCs w:val="24"/>
                <w:highlight w:val="none"/>
                <w:u w:val="none"/>
                <w:lang w:val="zh-CN" w:eastAsia="zh-CN"/>
                <w14:textFill>
                  <w14:solidFill>
                    <w14:schemeClr w14:val="tx1"/>
                  </w14:solidFill>
                </w14:textFill>
              </w:rPr>
              <w:t>保障监督检查工作有序开展</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bookmarkStart w:id="0" w:name="_GoBack"/>
            <w:bookmarkEnd w:id="0"/>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w:t>
            </w:r>
            <w:r>
              <w:rPr>
                <w:rFonts w:hint="eastAsia"/>
                <w:sz w:val="24"/>
                <w:szCs w:val="24"/>
                <w:lang w:val="en-US" w:eastAsia="zh-CN"/>
              </w:rPr>
              <w:t>2022年区纪委</w:t>
            </w:r>
            <w:r>
              <w:rPr>
                <w:rFonts w:hint="default"/>
                <w:sz w:val="24"/>
                <w:szCs w:val="24"/>
                <w:lang w:val="en-US" w:eastAsia="zh-CN"/>
              </w:rPr>
              <w:t>统筹目标绩效办、巡察办、“四心”暨“三树三创”办力量，建立“四办合一”督查机制，围绕区委中心工作精准监督，督促整改问题1724个，通报曝光工作推进不力单位（部门）360个（次）</w:t>
            </w:r>
            <w:r>
              <w:rPr>
                <w:rFonts w:hint="eastAsia"/>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trPr>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年度绩效指标完成情况</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预期指标值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数量指标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ascii="宋体" w:hAnsi="宋体" w:eastAsia="宋体" w:cs="宋体"/>
                <w:sz w:val="24"/>
                <w:szCs w:val="24"/>
              </w:rPr>
              <w:t>每周对全区各单位及部门监督检查</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50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质量指标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提高群众知晓率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时效指标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ascii="宋体" w:hAnsi="宋体" w:eastAsia="宋体" w:cs="宋体"/>
                <w:sz w:val="24"/>
                <w:szCs w:val="24"/>
              </w:rPr>
              <w:t>年度完成率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2"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成本指标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年初部门预算控制数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200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可持续影响</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ascii="宋体" w:hAnsi="宋体" w:eastAsia="宋体" w:cs="宋体"/>
                <w:sz w:val="24"/>
                <w:szCs w:val="24"/>
              </w:rPr>
              <w:t>可</w:t>
            </w:r>
            <w:r>
              <w:rPr>
                <w:rFonts w:hint="eastAsia" w:ascii="宋体" w:hAnsi="宋体" w:eastAsia="宋体" w:cs="宋体"/>
                <w:sz w:val="24"/>
                <w:szCs w:val="24"/>
                <w:lang w:eastAsia="zh-CN"/>
              </w:rPr>
              <w:t>持</w:t>
            </w:r>
            <w:r>
              <w:rPr>
                <w:rFonts w:ascii="宋体" w:hAnsi="宋体" w:eastAsia="宋体" w:cs="宋体"/>
                <w:sz w:val="24"/>
                <w:szCs w:val="24"/>
              </w:rPr>
              <w:t>续率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党员干部群众满意率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bl>
    <w:p>
      <w:pPr>
        <w:pStyle w:val="7"/>
        <w:rPr>
          <w:rFonts w:eastAsia="方正仿宋_GBK"/>
          <w:sz w:val="32"/>
          <w:szCs w:val="32"/>
        </w:rPr>
      </w:pPr>
    </w:p>
    <w:p>
      <w:pPr>
        <w:pStyle w:val="7"/>
        <w:rPr>
          <w:rFonts w:eastAsia="方正仿宋_GBK"/>
          <w:sz w:val="32"/>
          <w:szCs w:val="32"/>
        </w:rPr>
      </w:pPr>
    </w:p>
    <w:tbl>
      <w:tblPr>
        <w:tblStyle w:val="5"/>
        <w:tblpPr w:leftFromText="180" w:rightFromText="180" w:vertAnchor="text" w:horzAnchor="page" w:tblpX="1256" w:tblpY="221"/>
        <w:tblOverlap w:val="neve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465"/>
        <w:gridCol w:w="1555"/>
        <w:gridCol w:w="1925"/>
        <w:gridCol w:w="1476"/>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2" w:hRule="atLeast"/>
        </w:trPr>
        <w:tc>
          <w:tcPr>
            <w:tcW w:w="9372"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（项目名称：大要案件查处项目）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实施单位</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中国共产党达州市达川区纪律检查委员会</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105001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center" w:pos="854"/>
              </w:tabs>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ab/>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完成情况</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预期目标</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9"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2022年区纪委大要案件查处经费预算200万元。用于区纪委在全区开展大要案件办理工作，</w:t>
            </w:r>
            <w:r>
              <w:rPr>
                <w:rFonts w:hint="eastAsia" w:ascii="宋体" w:hAnsi="宋体" w:eastAsia="宋体" w:cs="宋体"/>
                <w:i w:val="0"/>
                <w:color w:val="000000" w:themeColor="text1"/>
                <w:sz w:val="24"/>
                <w:szCs w:val="24"/>
                <w:highlight w:val="none"/>
                <w:u w:val="none"/>
                <w:lang w:val="zh-CN" w:eastAsia="zh-CN"/>
                <w14:textFill>
                  <w14:solidFill>
                    <w14:schemeClr w14:val="tx1"/>
                  </w14:solidFill>
                </w14:textFill>
              </w:rPr>
              <w:t>保障案件查办工作有序开展</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w:t>
            </w: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一体推进“三不”巩固反腐成效</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，强化办案引领惩贪治腐，2022年</w:t>
            </w: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立案281件320人</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党纪政务处分27</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trPr>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年度绩效指标完成情况</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预期指标值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数量指标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ascii="宋体" w:hAnsi="宋体" w:eastAsia="宋体" w:cs="宋体"/>
                <w:sz w:val="24"/>
                <w:szCs w:val="24"/>
              </w:rPr>
              <w:t>案件</w:t>
            </w:r>
            <w:r>
              <w:rPr>
                <w:rFonts w:hint="eastAsia" w:ascii="宋体" w:hAnsi="宋体" w:eastAsia="宋体" w:cs="宋体"/>
                <w:sz w:val="24"/>
                <w:szCs w:val="24"/>
                <w:lang w:eastAsia="zh-CN"/>
              </w:rPr>
              <w:t>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质量指标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增高案件质量率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时效指标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案件查处</w:t>
            </w:r>
            <w: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t>及时率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2"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成本指标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年初部门预算控制数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200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可持续影响</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ascii="宋体" w:hAnsi="宋体" w:eastAsia="宋体" w:cs="宋体"/>
                <w:sz w:val="24"/>
                <w:szCs w:val="24"/>
              </w:rPr>
              <w:t>案件可持续影响率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党员干部人群满意率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98%</w:t>
            </w:r>
          </w:p>
        </w:tc>
      </w:tr>
    </w:tbl>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tbl>
      <w:tblPr>
        <w:tblStyle w:val="5"/>
        <w:tblpPr w:leftFromText="180" w:rightFromText="180" w:vertAnchor="text" w:horzAnchor="page" w:tblpX="1256" w:tblpY="221"/>
        <w:tblOverlap w:val="neve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465"/>
        <w:gridCol w:w="1555"/>
        <w:gridCol w:w="1925"/>
        <w:gridCol w:w="1476"/>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2" w:hRule="atLeast"/>
        </w:trPr>
        <w:tc>
          <w:tcPr>
            <w:tcW w:w="9372"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（项目名称：党风廉政建设及反腐败项目）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实施单位</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中国共产党达州市达川区纪律检查委员会</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105001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center" w:pos="854"/>
              </w:tabs>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ab/>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完成情况</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预期目标</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9"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2022年区纪委党风廉政建设及反腐败经费预算100万元。用于区纪委在全区开展党风廉政建设和反腐败工作，</w:t>
            </w: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督促落实主体责任</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跟进监督“关键少数”落实全面从严治党、依规依法履职用权</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2022年区纪委有序开展党风廉政建设和反腐败工作，开展</w:t>
            </w: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约谈工作推进不力、满意度低于市区平均分值的乡镇（街道）党组织主要负责人23人次</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trPr>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年度绩效指标完成情况</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预期指标值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数量指标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ascii="宋体" w:hAnsi="宋体" w:eastAsia="宋体" w:cs="宋体"/>
                <w:sz w:val="24"/>
                <w:szCs w:val="24"/>
              </w:rPr>
              <w:t>廉政教育</w:t>
            </w:r>
            <w:r>
              <w:rPr>
                <w:rFonts w:hint="eastAsia" w:ascii="宋体" w:hAnsi="宋体" w:eastAsia="宋体" w:cs="宋体"/>
                <w:sz w:val="24"/>
                <w:szCs w:val="24"/>
                <w:lang w:eastAsia="zh-CN"/>
              </w:rPr>
              <w:t>次数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质量指标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党员干部的廉政教育</w:t>
            </w:r>
            <w:r>
              <w:rPr>
                <w:rFonts w:hint="eastAsia" w:ascii="宋体" w:hAnsi="宋体" w:eastAsia="宋体" w:cs="宋体"/>
                <w:sz w:val="24"/>
                <w:szCs w:val="24"/>
                <w:lang w:eastAsia="zh-CN"/>
              </w:rPr>
              <w:t>覆盖率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时效指标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ascii="宋体" w:hAnsi="宋体" w:eastAsia="宋体" w:cs="宋体"/>
                <w:sz w:val="24"/>
                <w:szCs w:val="24"/>
              </w:rPr>
              <w:t>年度任务</w:t>
            </w:r>
            <w:r>
              <w:rPr>
                <w:rFonts w:hint="eastAsia" w:ascii="宋体" w:hAnsi="宋体" w:eastAsia="宋体" w:cs="宋体"/>
                <w:sz w:val="24"/>
                <w:szCs w:val="24"/>
              </w:rPr>
              <w:t>及时率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2"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成本指标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年初部门预算控制数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全区党员干部作风提高</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好</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可持续影响</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t>推动改革促进发展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好</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服务对象满意度指标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bl>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tbl>
      <w:tblPr>
        <w:tblStyle w:val="5"/>
        <w:tblpPr w:leftFromText="180" w:rightFromText="180" w:vertAnchor="text" w:horzAnchor="page" w:tblpX="1256" w:tblpY="221"/>
        <w:tblOverlap w:val="neve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465"/>
        <w:gridCol w:w="1555"/>
        <w:gridCol w:w="1925"/>
        <w:gridCol w:w="1476"/>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9372"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p>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（项目名称：专网建设及维护维修项目）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实施单位</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中国共产党达州市达川区纪律检查委员会</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105001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center" w:pos="854"/>
              </w:tabs>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ab/>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30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30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完成情况</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预期目标</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9"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2022年区纪委专网建设及维护经费预算30万元。用于区纪委</w:t>
            </w:r>
            <w:r>
              <w:rPr>
                <w:rFonts w:hint="eastAsia" w:ascii="宋体" w:hAnsi="宋体" w:eastAsia="宋体" w:cs="宋体"/>
                <w:i w:val="0"/>
                <w:color w:val="000000" w:themeColor="text1"/>
                <w:sz w:val="24"/>
                <w:szCs w:val="24"/>
                <w:highlight w:val="none"/>
                <w:u w:val="none"/>
                <w:lang w:val="zh-CN" w:eastAsia="zh-CN"/>
                <w14:textFill>
                  <w14:solidFill>
                    <w14:schemeClr w14:val="tx1"/>
                  </w14:solidFill>
                </w14:textFill>
              </w:rPr>
              <w:t>组织开展</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专网建设及维护维修</w:t>
            </w:r>
            <w:r>
              <w:rPr>
                <w:rFonts w:hint="eastAsia" w:ascii="宋体" w:hAnsi="宋体" w:eastAsia="宋体" w:cs="宋体"/>
                <w:i w:val="0"/>
                <w:color w:val="000000" w:themeColor="text1"/>
                <w:sz w:val="24"/>
                <w:szCs w:val="24"/>
                <w:highlight w:val="none"/>
                <w:u w:val="none"/>
                <w:lang w:val="zh-CN" w:eastAsia="zh-CN"/>
                <w14:textFill>
                  <w14:solidFill>
                    <w14:schemeClr w14:val="tx1"/>
                  </w14:solidFill>
                </w14:textFill>
              </w:rPr>
              <w:t>工作，保证专网的稳定性</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2022年区纪委有序开展专网建设及维护工作，全年专网稳定率达到100%，保证了专网的正常使用。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trPr>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年度绩效指标完成情况</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预期指标值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数量指标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全年维护次数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12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质量指标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专网稳定</w:t>
            </w:r>
            <w:r>
              <w:rPr>
                <w:rFonts w:hint="eastAsia" w:ascii="宋体" w:hAnsi="宋体" w:eastAsia="宋体" w:cs="宋体"/>
                <w:sz w:val="24"/>
                <w:szCs w:val="24"/>
                <w:lang w:eastAsia="zh-CN"/>
              </w:rPr>
              <w:t>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时效指标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ascii="宋体" w:hAnsi="宋体" w:eastAsia="宋体" w:cs="宋体"/>
                <w:sz w:val="24"/>
                <w:szCs w:val="24"/>
              </w:rPr>
              <w:t>年度目标完成</w:t>
            </w:r>
            <w:r>
              <w:rPr>
                <w:rFonts w:hint="eastAsia" w:ascii="宋体" w:hAnsi="宋体" w:eastAsia="宋体" w:cs="宋体"/>
                <w:sz w:val="24"/>
                <w:szCs w:val="24"/>
              </w:rPr>
              <w:t>及时率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2"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成本指标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年初部门预算控制数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30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可持续影响</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监察网可持续影响率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监察网用户满意</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bl>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tbl>
      <w:tblPr>
        <w:tblStyle w:val="5"/>
        <w:tblpPr w:leftFromText="180" w:rightFromText="180" w:vertAnchor="text" w:horzAnchor="page" w:tblpX="1256" w:tblpY="221"/>
        <w:tblOverlap w:val="neve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465"/>
        <w:gridCol w:w="1555"/>
        <w:gridCol w:w="1925"/>
        <w:gridCol w:w="1476"/>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2" w:hRule="atLeast"/>
        </w:trPr>
        <w:tc>
          <w:tcPr>
            <w:tcW w:w="9372"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p>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（项目名称：派驻法院、检察院纪检组经费项目）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实施单位</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中国共产党达州市达川区纪律检查委员会</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105001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center" w:pos="854"/>
              </w:tabs>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ab/>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25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完成情况</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预期目标</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9"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2022年区纪委派驻法院、检察院纪检组经费预算40万元。用于派驻法院、检察院纪检组在部门开展日常工作，</w:t>
            </w:r>
            <w:r>
              <w:rPr>
                <w:rFonts w:hint="eastAsia" w:ascii="宋体" w:hAnsi="宋体" w:eastAsia="宋体" w:cs="宋体"/>
                <w:i w:val="0"/>
                <w:color w:val="000000" w:themeColor="text1"/>
                <w:sz w:val="24"/>
                <w:szCs w:val="24"/>
                <w:highlight w:val="none"/>
                <w:u w:val="none"/>
                <w:lang w:val="zh-CN" w:eastAsia="zh-CN"/>
                <w14:textFill>
                  <w14:solidFill>
                    <w14:schemeClr w14:val="tx1"/>
                  </w14:solidFill>
                </w14:textFill>
              </w:rPr>
              <w:t>更好的发挥派驻纪检组“探头”作用。</w:t>
            </w: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 xml:space="preserve"> 2022年派驻法院、检察院有序开展派驻机构工作，对驻在部门开展监督检查50余次，开展谈心谈话十余次，发</w:t>
            </w:r>
            <w:r>
              <w:rPr>
                <w:rFonts w:hint="eastAsia" w:ascii="宋体" w:hAnsi="宋体" w:eastAsia="宋体" w:cs="宋体"/>
                <w:i w:val="0"/>
                <w:color w:val="000000" w:themeColor="text1"/>
                <w:sz w:val="24"/>
                <w:szCs w:val="24"/>
                <w:highlight w:val="none"/>
                <w:u w:val="none"/>
                <w:lang w:val="zh-CN" w:eastAsia="zh-CN"/>
                <w14:textFill>
                  <w14:solidFill>
                    <w14:schemeClr w14:val="tx1"/>
                  </w14:solidFill>
                </w14:textFill>
              </w:rPr>
              <w:t>挥了派驻纪检组“探头”作用</w:t>
            </w: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trPr>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年度绩效指标完成情况</w:t>
            </w:r>
          </w:p>
        </w:tc>
        <w:tc>
          <w:tcPr>
            <w:tcW w:w="14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预期指标值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数量指标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全年维护次数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12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质量指标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专网稳定</w:t>
            </w:r>
            <w:r>
              <w:rPr>
                <w:rFonts w:hint="eastAsia" w:ascii="宋体" w:hAnsi="宋体" w:eastAsia="宋体" w:cs="宋体"/>
                <w:sz w:val="24"/>
                <w:szCs w:val="24"/>
                <w:lang w:eastAsia="zh-CN"/>
              </w:rPr>
              <w:t>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时效指标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ascii="宋体" w:hAnsi="宋体" w:eastAsia="宋体" w:cs="宋体"/>
                <w:sz w:val="24"/>
                <w:szCs w:val="24"/>
              </w:rPr>
              <w:t>年度目标完成</w:t>
            </w:r>
            <w:r>
              <w:rPr>
                <w:rFonts w:hint="eastAsia" w:ascii="宋体" w:hAnsi="宋体" w:eastAsia="宋体" w:cs="宋体"/>
                <w:sz w:val="24"/>
                <w:szCs w:val="24"/>
              </w:rPr>
              <w:t>及时率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2"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成本指标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年初部门预算控制数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30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可持续影响</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监察网可持续影响率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106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ascii="宋体" w:hAnsi="宋体" w:eastAsia="宋体" w:cs="宋体"/>
                <w:sz w:val="24"/>
                <w:szCs w:val="24"/>
              </w:rPr>
              <w:t>监察网用户满意</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kern w:val="2"/>
                <w:sz w:val="28"/>
                <w:szCs w:val="28"/>
                <w:highlight w:val="none"/>
                <w:u w:val="none"/>
                <w:lang w:val="en-US" w:eastAsia="zh-CN" w:bidi="ar-SA"/>
                <w14:textFill>
                  <w14:solidFill>
                    <w14:schemeClr w14:val="tx1"/>
                  </w14:solidFill>
                </w14:textFill>
              </w:rPr>
              <w:t>100%</w:t>
            </w:r>
          </w:p>
        </w:tc>
      </w:tr>
    </w:tbl>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p>
      <w:pPr>
        <w:pStyle w:val="7"/>
        <w:rPr>
          <w:rFonts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6387"/>
    <w:multiLevelType w:val="singleLevel"/>
    <w:tmpl w:val="6436638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5D15"/>
    <w:rsid w:val="11033284"/>
    <w:rsid w:val="12BF7BD0"/>
    <w:rsid w:val="19E30291"/>
    <w:rsid w:val="1D264B53"/>
    <w:rsid w:val="21B25EF9"/>
    <w:rsid w:val="228720F2"/>
    <w:rsid w:val="2324296B"/>
    <w:rsid w:val="296E4A3F"/>
    <w:rsid w:val="29791718"/>
    <w:rsid w:val="2FC67C62"/>
    <w:rsid w:val="32EE7F04"/>
    <w:rsid w:val="367F1F79"/>
    <w:rsid w:val="38B0565B"/>
    <w:rsid w:val="3DC81FA8"/>
    <w:rsid w:val="3FA90BD8"/>
    <w:rsid w:val="41997855"/>
    <w:rsid w:val="439F6415"/>
    <w:rsid w:val="467D281A"/>
    <w:rsid w:val="48F9633F"/>
    <w:rsid w:val="4A6A142F"/>
    <w:rsid w:val="4B2B41AE"/>
    <w:rsid w:val="553844E1"/>
    <w:rsid w:val="56F10976"/>
    <w:rsid w:val="580E1F94"/>
    <w:rsid w:val="598110D1"/>
    <w:rsid w:val="5AB67BAE"/>
    <w:rsid w:val="5B9C21BB"/>
    <w:rsid w:val="5DB81766"/>
    <w:rsid w:val="659B13DD"/>
    <w:rsid w:val="67997B73"/>
    <w:rsid w:val="68685AD1"/>
    <w:rsid w:val="6E731221"/>
    <w:rsid w:val="6F2251CA"/>
    <w:rsid w:val="74CD1504"/>
    <w:rsid w:val="79DD2F19"/>
    <w:rsid w:val="7E523249"/>
    <w:rsid w:val="7FC66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eastAsia="宋体"/>
      <w:sz w:val="18"/>
      <w:szCs w:val="18"/>
    </w:rPr>
  </w:style>
  <w:style w:type="character" w:styleId="4">
    <w:name w:val="Strong"/>
    <w:basedOn w:val="3"/>
    <w:qFormat/>
    <w:uiPriority w:val="0"/>
    <w:rPr>
      <w:rFonts w:cs="Times New Roman"/>
      <w:b/>
    </w:rPr>
  </w:style>
  <w:style w:type="paragraph" w:customStyle="1" w:styleId="6">
    <w:name w:val="图表目录1"/>
    <w:basedOn w:val="7"/>
    <w:next w:val="7"/>
    <w:qFormat/>
    <w:uiPriority w:val="0"/>
    <w:pPr>
      <w:ind w:left="200" w:leftChars="200" w:hanging="200" w:hangingChars="200"/>
    </w:pPr>
  </w:style>
  <w:style w:type="paragraph" w:customStyle="1" w:styleId="7">
    <w:name w:val="Normal New"/>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2023-04-14T03:51:48Z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