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kern w:val="64"/>
          <w:sz w:val="44"/>
          <w:szCs w:val="44"/>
          <w:shd w:val="clear" w:color="auto" w:fill="FFFFFF"/>
          <w:lang w:val="en-US" w:eastAsia="zh-CN"/>
        </w:rPr>
      </w:pPr>
      <w:r>
        <w:rPr>
          <w:rFonts w:hint="default" w:ascii="Times New Roman" w:hAnsi="Times New Roman" w:eastAsia="方正小标宋_GBK" w:cs="Times New Roman"/>
          <w:b w:val="0"/>
          <w:bCs/>
          <w:kern w:val="64"/>
          <w:sz w:val="44"/>
          <w:szCs w:val="44"/>
          <w:shd w:val="clear" w:color="auto" w:fill="FFFFFF"/>
          <w:lang w:val="en-US" w:eastAsia="zh-CN"/>
        </w:rPr>
        <w:t>达川区景市</w:t>
      </w:r>
      <w:r>
        <w:rPr>
          <w:rFonts w:hint="eastAsia" w:eastAsia="方正小标宋_GBK" w:cs="Times New Roman"/>
          <w:b w:val="0"/>
          <w:bCs/>
          <w:kern w:val="64"/>
          <w:sz w:val="44"/>
          <w:szCs w:val="44"/>
          <w:shd w:val="clear" w:color="auto" w:fill="FFFFFF"/>
          <w:lang w:val="en-US" w:eastAsia="zh-CN"/>
        </w:rPr>
        <w:t>初级中学</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kern w:val="64"/>
          <w:sz w:val="44"/>
          <w:szCs w:val="44"/>
          <w:shd w:val="clear" w:color="auto" w:fill="FFFFFF"/>
        </w:rPr>
      </w:pPr>
      <w:r>
        <w:rPr>
          <w:rFonts w:hint="default" w:ascii="Times New Roman" w:hAnsi="Times New Roman" w:eastAsia="方正小标宋_GBK" w:cs="Times New Roman"/>
          <w:b w:val="0"/>
          <w:bCs/>
          <w:kern w:val="64"/>
          <w:sz w:val="44"/>
          <w:szCs w:val="44"/>
          <w:shd w:val="clear" w:color="auto" w:fill="FFFFFF"/>
        </w:rPr>
        <w:t>2023年单位整体支出绩效评价报告</w:t>
      </w:r>
    </w:p>
    <w:p>
      <w:pPr>
        <w:tabs>
          <w:tab w:val="left" w:pos="3885"/>
        </w:tabs>
        <w:snapToGrid w:val="0"/>
        <w:spacing w:line="600" w:lineRule="exact"/>
        <w:rPr>
          <w:rFonts w:hint="default" w:ascii="Times New Roman" w:hAnsi="Times New Roman" w:eastAsia="仿宋" w:cs="Times New Roman"/>
          <w:kern w:val="0"/>
          <w:sz w:val="32"/>
          <w:szCs w:val="32"/>
          <w:lang w:val="en-US" w:eastAsia="zh-CN"/>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达州市达川区财政局：</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按照达州市达川区财政局《关于开展2023年单位、政策和项目支出绩效评价工作的通知》（达川财绩效〔2023〕9号）文件要求，现将本单位2023年开展单位整体支出绩效评价情况报告如下：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highlight w:val="none"/>
          <w:shd w:val="clear" w:color="auto" w:fill="FFFFFF"/>
          <w:lang w:val="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t>一、</w:t>
      </w:r>
      <w:r>
        <w:rPr>
          <w:rFonts w:hint="default" w:ascii="Times New Roman" w:hAnsi="Times New Roman" w:eastAsia="方正黑体_GBK" w:cs="Times New Roman"/>
          <w:color w:val="000000" w:themeColor="text1"/>
          <w:kern w:val="0"/>
          <w:sz w:val="32"/>
          <w:szCs w:val="32"/>
          <w:highlight w:val="none"/>
          <w:shd w:val="clear" w:color="auto" w:fill="FFFFFF"/>
          <w:lang w:val="zh-CN"/>
          <w14:textFill>
            <w14:solidFill>
              <w14:schemeClr w14:val="tx1"/>
            </w14:solidFill>
          </w14:textFill>
        </w:rPr>
        <w:t>单位概况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highlight w:val="none"/>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highlight w:val="none"/>
          <w:shd w:val="clear" w:color="auto" w:fill="FFFFFF"/>
          <w:lang w:val="zh-CN"/>
          <w14:textFill>
            <w14:solidFill>
              <w14:schemeClr w14:val="tx1"/>
            </w14:solidFill>
          </w14:textFill>
        </w:rPr>
        <w:t>（一）机构组成。</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eastAsia="zh-CN"/>
        </w:rPr>
        <w:t>达川区景市</w:t>
      </w:r>
      <w:r>
        <w:rPr>
          <w:rFonts w:hint="eastAsia" w:eastAsia="方正仿宋_GBK" w:cs="Times New Roman"/>
          <w:kern w:val="0"/>
          <w:sz w:val="32"/>
          <w:szCs w:val="32"/>
          <w:lang w:eastAsia="zh-CN"/>
        </w:rPr>
        <w:t>初级中学</w:t>
      </w:r>
      <w:r>
        <w:rPr>
          <w:rFonts w:hint="default" w:ascii="Times New Roman" w:hAnsi="Times New Roman" w:eastAsia="方正仿宋_GBK" w:cs="Times New Roman"/>
          <w:kern w:val="0"/>
          <w:sz w:val="32"/>
          <w:szCs w:val="32"/>
        </w:rPr>
        <w:t>是</w:t>
      </w:r>
      <w:r>
        <w:rPr>
          <w:rFonts w:hint="default" w:ascii="Times New Roman" w:hAnsi="Times New Roman" w:eastAsia="方正仿宋_GBK" w:cs="Times New Roman"/>
          <w:kern w:val="0"/>
          <w:sz w:val="32"/>
          <w:szCs w:val="32"/>
          <w:lang w:val="en-US" w:eastAsia="zh-CN"/>
        </w:rPr>
        <w:t>达川区二级预算单位。</w:t>
      </w:r>
      <w:bookmarkStart w:id="0" w:name="_Hlk109805662"/>
      <w:r>
        <w:rPr>
          <w:rFonts w:hint="default" w:ascii="Times New Roman" w:hAnsi="Times New Roman" w:eastAsia="方正仿宋_GBK" w:cs="Times New Roman"/>
          <w:kern w:val="0"/>
          <w:sz w:val="32"/>
          <w:szCs w:val="32"/>
          <w:lang w:val="en-US" w:eastAsia="zh-CN"/>
        </w:rPr>
        <w:t>隶属</w:t>
      </w:r>
      <w:r>
        <w:rPr>
          <w:rFonts w:hint="default" w:ascii="Times New Roman" w:hAnsi="Times New Roman" w:eastAsia="方正仿宋_GBK" w:cs="Times New Roman"/>
          <w:kern w:val="0"/>
          <w:szCs w:val="32"/>
        </w:rPr>
        <w:t>于达州市达川区教育局主管，属公益一类事业单位，</w:t>
      </w:r>
      <w:r>
        <w:rPr>
          <w:rFonts w:hint="default" w:ascii="Times New Roman" w:hAnsi="Times New Roman" w:eastAsia="方正仿宋_GBK" w:cs="Times New Roman"/>
          <w:kern w:val="0"/>
          <w:sz w:val="32"/>
          <w:szCs w:val="32"/>
        </w:rPr>
        <w:t>内设机构</w:t>
      </w:r>
      <w:r>
        <w:rPr>
          <w:rFonts w:hint="eastAsia"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个，分别是</w:t>
      </w:r>
      <w:r>
        <w:rPr>
          <w:rFonts w:hint="default" w:ascii="Times New Roman" w:hAnsi="Times New Roman" w:eastAsia="方正仿宋_GBK" w:cs="Times New Roman"/>
          <w:kern w:val="0"/>
          <w:sz w:val="32"/>
          <w:szCs w:val="32"/>
          <w:lang w:eastAsia="zh-CN"/>
        </w:rPr>
        <w:t>党建办、教务处、安全办、后勤处、体卫艺、政教处</w:t>
      </w:r>
      <w:r>
        <w:rPr>
          <w:rFonts w:hint="default" w:ascii="Times New Roman" w:hAnsi="Times New Roman" w:eastAsia="方正仿宋_GBK" w:cs="Times New Roman"/>
          <w:kern w:val="0"/>
          <w:sz w:val="32"/>
          <w:szCs w:val="32"/>
        </w:rPr>
        <w:t>。</w:t>
      </w:r>
    </w:p>
    <w:bookmarkEnd w:id="0"/>
    <w:p>
      <w:pPr>
        <w:keepNext w:val="0"/>
        <w:pageBreakBefore w:val="0"/>
        <w:widowControl/>
        <w:numPr>
          <w:ilvl w:val="0"/>
          <w:numId w:val="1"/>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机构职能。</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根据</w:t>
      </w:r>
      <w:r>
        <w:rPr>
          <w:rFonts w:hint="default" w:ascii="Times New Roman" w:hAnsi="Times New Roman" w:eastAsia="方正仿宋_GBK" w:cs="Times New Roman"/>
          <w:kern w:val="0"/>
          <w:sz w:val="32"/>
          <w:szCs w:val="32"/>
          <w:lang w:eastAsia="zh-CN"/>
        </w:rPr>
        <w:t>达川区</w:t>
      </w:r>
      <w:r>
        <w:rPr>
          <w:rFonts w:hint="eastAsia" w:ascii="Times New Roman" w:hAnsi="Times New Roman" w:eastAsia="方正仿宋_GBK" w:cs="Times New Roman"/>
          <w:kern w:val="0"/>
          <w:sz w:val="32"/>
          <w:szCs w:val="32"/>
          <w:lang w:eastAsia="zh-CN"/>
        </w:rPr>
        <w:t>景市初级中学</w:t>
      </w:r>
      <w:r>
        <w:rPr>
          <w:rFonts w:hint="default" w:ascii="Times New Roman" w:hAnsi="Times New Roman" w:eastAsia="方正仿宋_GBK" w:cs="Times New Roman"/>
          <w:kern w:val="0"/>
          <w:sz w:val="32"/>
          <w:szCs w:val="32"/>
          <w:lang w:val="en-US" w:eastAsia="zh-CN"/>
        </w:rPr>
        <w:t>三定方案，我</w:t>
      </w:r>
      <w:r>
        <w:rPr>
          <w:rFonts w:hint="default" w:ascii="Times New Roman" w:hAnsi="Times New Roman" w:eastAsia="方正仿宋_GBK" w:cs="Times New Roman"/>
          <w:kern w:val="0"/>
          <w:sz w:val="32"/>
          <w:szCs w:val="32"/>
          <w:lang w:val="zh-CN" w:eastAsia="zh-CN"/>
        </w:rPr>
        <w:t>单位</w:t>
      </w:r>
      <w:r>
        <w:rPr>
          <w:rFonts w:hint="default" w:ascii="Times New Roman" w:hAnsi="Times New Roman" w:eastAsia="方正仿宋_GBK" w:cs="Times New Roman"/>
          <w:kern w:val="0"/>
          <w:sz w:val="32"/>
          <w:szCs w:val="32"/>
          <w:lang w:val="en-US" w:eastAsia="zh-CN"/>
        </w:rPr>
        <w:t>的主要职能职责为：</w:t>
      </w:r>
      <w:r>
        <w:rPr>
          <w:rFonts w:hint="eastAsia" w:ascii="Times New Roman" w:hAnsi="Times New Roman" w:eastAsia="方正仿宋_GBK" w:cs="Times New Roman"/>
          <w:kern w:val="0"/>
          <w:sz w:val="32"/>
          <w:szCs w:val="32"/>
          <w:lang w:eastAsia="zh-CN"/>
        </w:rPr>
        <w:t>贯彻党的教育方针，坚持社会主义办学方向，对学生进行德育、智育、体育、美育、劳动教育等方面的教育。积极配合各级人民政府依法动员适龄儿童入学，严格控制学生辍学，依法保证适龄儿童的九年义务教育。同时维护广大师生的合法权益，科学管理使用学校的设施和经费，并积极筹措资金，改善办学条件等。</w:t>
      </w:r>
    </w:p>
    <w:p>
      <w:pPr>
        <w:keepNext w:val="0"/>
        <w:pageBreakBefore w:val="0"/>
        <w:widowControl/>
        <w:numPr>
          <w:ilvl w:val="0"/>
          <w:numId w:val="1"/>
        </w:numPr>
        <w:kinsoku/>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人员概况。</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根据人社局相关编制批复文件，核定我</w:t>
      </w:r>
      <w:r>
        <w:rPr>
          <w:rFonts w:hint="eastAsia" w:ascii="Times New Roman" w:hAnsi="Times New Roman" w:eastAsia="方正仿宋_GBK" w:cs="Times New Roman"/>
          <w:kern w:val="0"/>
          <w:sz w:val="32"/>
          <w:szCs w:val="32"/>
          <w:lang w:val="zh-CN" w:eastAsia="zh-CN"/>
        </w:rPr>
        <w:t>单位</w:t>
      </w:r>
      <w:r>
        <w:rPr>
          <w:rFonts w:hint="eastAsia" w:ascii="Times New Roman" w:hAnsi="Times New Roman" w:eastAsia="方正仿宋_GBK" w:cs="Times New Roman"/>
          <w:kern w:val="0"/>
          <w:sz w:val="32"/>
          <w:szCs w:val="32"/>
          <w:lang w:eastAsia="zh-CN"/>
        </w:rPr>
        <w:t>事业编制</w:t>
      </w:r>
      <w:r>
        <w:rPr>
          <w:rFonts w:hint="eastAsia" w:ascii="Times New Roman" w:hAnsi="Times New Roman" w:eastAsia="方正仿宋_GBK" w:cs="Times New Roman"/>
          <w:kern w:val="0"/>
          <w:sz w:val="32"/>
          <w:szCs w:val="32"/>
          <w:lang w:val="en-US" w:eastAsia="zh-CN"/>
        </w:rPr>
        <w:t>68</w:t>
      </w:r>
      <w:r>
        <w:rPr>
          <w:rFonts w:hint="eastAsia" w:ascii="Times New Roman" w:hAnsi="Times New Roman" w:eastAsia="方正仿宋_GBK" w:cs="Times New Roman"/>
          <w:kern w:val="0"/>
          <w:sz w:val="32"/>
          <w:szCs w:val="32"/>
          <w:lang w:eastAsia="zh-CN"/>
        </w:rPr>
        <w:t>名；</w:t>
      </w:r>
      <w:bookmarkStart w:id="1" w:name="_Hlk109807352"/>
      <w:r>
        <w:rPr>
          <w:rFonts w:hint="eastAsia" w:ascii="Times New Roman" w:hAnsi="Times New Roman" w:eastAsia="方正仿宋_GBK" w:cs="Times New Roman"/>
          <w:kern w:val="0"/>
          <w:sz w:val="32"/>
          <w:szCs w:val="32"/>
          <w:lang w:eastAsia="zh-CN"/>
        </w:rPr>
        <w:t>截至2022年年末实有在职人员</w:t>
      </w:r>
      <w:r>
        <w:rPr>
          <w:rFonts w:hint="eastAsia" w:ascii="Times New Roman" w:hAnsi="Times New Roman" w:eastAsia="方正仿宋_GBK" w:cs="Times New Roman"/>
          <w:kern w:val="0"/>
          <w:sz w:val="32"/>
          <w:szCs w:val="32"/>
          <w:lang w:val="en-US" w:eastAsia="zh-CN"/>
        </w:rPr>
        <w:t>68</w:t>
      </w:r>
      <w:r>
        <w:rPr>
          <w:rFonts w:hint="eastAsia" w:ascii="Times New Roman" w:hAnsi="Times New Roman" w:eastAsia="方正仿宋_GBK" w:cs="Times New Roman"/>
          <w:kern w:val="0"/>
          <w:sz w:val="32"/>
          <w:szCs w:val="32"/>
          <w:lang w:eastAsia="zh-CN"/>
        </w:rPr>
        <w:t>人，其中属于事业编制</w:t>
      </w:r>
      <w:r>
        <w:rPr>
          <w:rFonts w:hint="eastAsia" w:ascii="Times New Roman" w:hAnsi="Times New Roman" w:eastAsia="方正仿宋_GBK" w:cs="Times New Roman"/>
          <w:kern w:val="0"/>
          <w:sz w:val="32"/>
          <w:szCs w:val="32"/>
          <w:lang w:val="en-US" w:eastAsia="zh-CN"/>
        </w:rPr>
        <w:t>66人，特岗教师2人</w:t>
      </w:r>
      <w:r>
        <w:rPr>
          <w:rFonts w:hint="eastAsia" w:ascii="Times New Roman" w:hAnsi="Times New Roman" w:eastAsia="方正仿宋_GBK" w:cs="Times New Roman"/>
          <w:kern w:val="0"/>
          <w:sz w:val="32"/>
          <w:szCs w:val="32"/>
          <w:lang w:eastAsia="zh-CN"/>
        </w:rPr>
        <w:t>。</w:t>
      </w:r>
      <w:bookmarkEnd w:id="1"/>
      <w:r>
        <w:rPr>
          <w:rFonts w:hint="eastAsia" w:ascii="Times New Roman" w:hAnsi="Times New Roman" w:eastAsia="方正仿宋_GBK" w:cs="Times New Roman"/>
          <w:kern w:val="0"/>
          <w:sz w:val="32"/>
          <w:szCs w:val="32"/>
          <w:lang w:eastAsia="zh-CN"/>
        </w:rPr>
        <w:t>退休人员</w:t>
      </w:r>
      <w:r>
        <w:rPr>
          <w:rFonts w:hint="eastAsia" w:ascii="Times New Roman" w:hAnsi="Times New Roman" w:eastAsia="方正仿宋_GBK" w:cs="Times New Roman"/>
          <w:kern w:val="0"/>
          <w:sz w:val="32"/>
          <w:szCs w:val="32"/>
          <w:lang w:val="en-US" w:eastAsia="zh-CN"/>
        </w:rPr>
        <w:t>25</w:t>
      </w:r>
      <w:r>
        <w:rPr>
          <w:rFonts w:hint="eastAsia" w:ascii="Times New Roman" w:hAnsi="Times New Roman" w:eastAsia="方正仿宋_GBK" w:cs="Times New Roman"/>
          <w:kern w:val="0"/>
          <w:sz w:val="32"/>
          <w:szCs w:val="32"/>
          <w:lang w:eastAsia="zh-CN"/>
        </w:rPr>
        <w:t>人，学生总人数为</w:t>
      </w:r>
      <w:r>
        <w:rPr>
          <w:rFonts w:hint="eastAsia" w:ascii="Times New Roman" w:hAnsi="Times New Roman" w:eastAsia="方正仿宋_GBK" w:cs="Times New Roman"/>
          <w:kern w:val="0"/>
          <w:sz w:val="32"/>
          <w:szCs w:val="32"/>
          <w:lang w:val="en-US" w:eastAsia="zh-CN"/>
        </w:rPr>
        <w:t>572</w:t>
      </w:r>
      <w:r>
        <w:rPr>
          <w:rFonts w:hint="eastAsia" w:ascii="Times New Roman" w:hAnsi="Times New Roman" w:eastAsia="方正仿宋_GBK" w:cs="Times New Roman"/>
          <w:kern w:val="0"/>
          <w:sz w:val="32"/>
          <w:szCs w:val="32"/>
          <w:lang w:eastAsia="zh-CN"/>
        </w:rPr>
        <w:t>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t>二、部门财政资金收支情况</w:t>
      </w:r>
    </w:p>
    <w:p>
      <w:pPr>
        <w:keepNext w:val="0"/>
        <w:pageBreakBefore w:val="0"/>
        <w:tabs>
          <w:tab w:val="left" w:pos="3885"/>
        </w:tabs>
        <w:kinsoku/>
        <w:overflowPunct/>
        <w:topLinePunct w:val="0"/>
        <w:autoSpaceDE/>
        <w:autoSpaceDN/>
        <w:bidi w:val="0"/>
        <w:snapToGrid w:val="0"/>
        <w:spacing w:line="578" w:lineRule="exact"/>
        <w:ind w:firstLine="643" w:firstLineChars="200"/>
        <w:textAlignment w:val="auto"/>
        <w:rPr>
          <w:rFonts w:hint="eastAsia" w:ascii="Times New Roman" w:hAnsi="Times New Roman" w:eastAsia="方正仿宋_GBK" w:cs="Times New Roman"/>
          <w:b/>
          <w:bCs/>
          <w:kern w:val="0"/>
          <w:sz w:val="32"/>
          <w:szCs w:val="32"/>
          <w:lang w:eastAsia="zh-CN"/>
        </w:rPr>
      </w:pPr>
      <w:r>
        <w:rPr>
          <w:rFonts w:hint="eastAsia" w:ascii="Times New Roman" w:hAnsi="Times New Roman" w:eastAsia="方正仿宋_GBK" w:cs="Times New Roman"/>
          <w:b/>
          <w:bCs/>
          <w:kern w:val="0"/>
          <w:sz w:val="32"/>
          <w:szCs w:val="32"/>
          <w:lang w:eastAsia="zh-CN"/>
        </w:rPr>
        <w:t>（一）部门财政资金收入情况。</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2022年本单位财政资金收入为</w:t>
      </w:r>
      <w:r>
        <w:rPr>
          <w:rFonts w:hint="eastAsia" w:ascii="Times New Roman" w:hAnsi="Times New Roman" w:eastAsia="方正仿宋_GBK" w:cs="Times New Roman"/>
          <w:kern w:val="0"/>
          <w:sz w:val="32"/>
          <w:szCs w:val="32"/>
          <w:lang w:val="en-US" w:eastAsia="zh-CN"/>
        </w:rPr>
        <w:t>1039.53</w:t>
      </w:r>
      <w:r>
        <w:rPr>
          <w:rFonts w:hint="eastAsia" w:ascii="Times New Roman" w:hAnsi="Times New Roman" w:eastAsia="方正仿宋_GBK" w:cs="Times New Roman"/>
          <w:kern w:val="0"/>
          <w:sz w:val="32"/>
          <w:szCs w:val="32"/>
          <w:lang w:eastAsia="zh-CN"/>
        </w:rPr>
        <w:t>万元。</w:t>
      </w:r>
    </w:p>
    <w:p>
      <w:pPr>
        <w:keepNext w:val="0"/>
        <w:pageBreakBefore w:val="0"/>
        <w:tabs>
          <w:tab w:val="left" w:pos="3885"/>
        </w:tabs>
        <w:kinsoku/>
        <w:overflowPunct/>
        <w:topLinePunct w:val="0"/>
        <w:autoSpaceDE/>
        <w:autoSpaceDN/>
        <w:bidi w:val="0"/>
        <w:snapToGrid w:val="0"/>
        <w:spacing w:line="578" w:lineRule="exact"/>
        <w:ind w:firstLine="643" w:firstLineChars="200"/>
        <w:textAlignment w:val="auto"/>
        <w:rPr>
          <w:rFonts w:hint="eastAsia" w:ascii="Times New Roman" w:hAnsi="Times New Roman" w:eastAsia="方正仿宋_GBK" w:cs="Times New Roman"/>
          <w:b/>
          <w:bCs/>
          <w:kern w:val="0"/>
          <w:sz w:val="32"/>
          <w:szCs w:val="32"/>
          <w:lang w:eastAsia="zh-CN"/>
        </w:rPr>
      </w:pPr>
      <w:r>
        <w:rPr>
          <w:rFonts w:hint="eastAsia" w:ascii="Times New Roman" w:hAnsi="Times New Roman" w:eastAsia="方正仿宋_GBK" w:cs="Times New Roman"/>
          <w:b/>
          <w:bCs/>
          <w:kern w:val="0"/>
          <w:sz w:val="32"/>
          <w:szCs w:val="32"/>
          <w:lang w:eastAsia="zh-CN"/>
        </w:rPr>
        <w:t>（二）部门财政资金支出情况。</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2022年本单位财政资金支出</w:t>
      </w:r>
      <w:r>
        <w:rPr>
          <w:rFonts w:hint="eastAsia" w:ascii="Times New Roman" w:hAnsi="Times New Roman" w:eastAsia="方正仿宋_GBK" w:cs="Times New Roman"/>
          <w:kern w:val="0"/>
          <w:sz w:val="32"/>
          <w:szCs w:val="32"/>
          <w:lang w:val="en-US" w:eastAsia="zh-CN"/>
        </w:rPr>
        <w:t>1039.53</w:t>
      </w:r>
      <w:r>
        <w:rPr>
          <w:rFonts w:hint="eastAsia" w:ascii="Times New Roman" w:hAnsi="Times New Roman" w:eastAsia="方正仿宋_GBK" w:cs="Times New Roman"/>
          <w:kern w:val="0"/>
          <w:sz w:val="32"/>
          <w:szCs w:val="32"/>
          <w:lang w:eastAsia="zh-CN"/>
        </w:rPr>
        <w:t>万元，其中：基本支出</w:t>
      </w:r>
      <w:r>
        <w:rPr>
          <w:rFonts w:hint="eastAsia" w:ascii="Times New Roman" w:hAnsi="Times New Roman" w:eastAsia="方正仿宋_GBK" w:cs="Times New Roman"/>
          <w:kern w:val="0"/>
          <w:sz w:val="32"/>
          <w:szCs w:val="32"/>
          <w:lang w:val="en-US" w:eastAsia="zh-CN"/>
        </w:rPr>
        <w:t>834.76</w:t>
      </w:r>
      <w:r>
        <w:rPr>
          <w:rFonts w:hint="eastAsia" w:ascii="Times New Roman" w:hAnsi="Times New Roman" w:eastAsia="方正仿宋_GBK" w:cs="Times New Roman"/>
          <w:kern w:val="0"/>
          <w:sz w:val="32"/>
          <w:szCs w:val="32"/>
          <w:lang w:eastAsia="zh-CN"/>
        </w:rPr>
        <w:t>万元（人员经费</w:t>
      </w:r>
      <w:r>
        <w:rPr>
          <w:rFonts w:hint="eastAsia" w:ascii="Times New Roman" w:hAnsi="Times New Roman" w:eastAsia="方正仿宋_GBK" w:cs="Times New Roman"/>
          <w:kern w:val="0"/>
          <w:sz w:val="32"/>
          <w:szCs w:val="32"/>
          <w:lang w:val="en-US" w:eastAsia="zh-CN"/>
        </w:rPr>
        <w:t>958.51</w:t>
      </w:r>
      <w:r>
        <w:rPr>
          <w:rFonts w:hint="eastAsia" w:ascii="Times New Roman" w:hAnsi="Times New Roman" w:eastAsia="方正仿宋_GBK" w:cs="Times New Roman"/>
          <w:kern w:val="0"/>
          <w:sz w:val="32"/>
          <w:szCs w:val="32"/>
          <w:lang w:eastAsia="zh-CN"/>
        </w:rPr>
        <w:t>万元、日常公用经费</w:t>
      </w:r>
      <w:r>
        <w:rPr>
          <w:rFonts w:hint="eastAsia" w:ascii="Times New Roman" w:hAnsi="Times New Roman" w:eastAsia="方正仿宋_GBK" w:cs="Times New Roman"/>
          <w:kern w:val="0"/>
          <w:sz w:val="32"/>
          <w:szCs w:val="32"/>
          <w:lang w:val="en-US" w:eastAsia="zh-CN"/>
        </w:rPr>
        <w:t>81.02</w:t>
      </w:r>
      <w:r>
        <w:rPr>
          <w:rFonts w:hint="eastAsia" w:ascii="Times New Roman" w:hAnsi="Times New Roman" w:eastAsia="方正仿宋_GBK" w:cs="Times New Roman"/>
          <w:kern w:val="0"/>
          <w:sz w:val="32"/>
          <w:szCs w:val="32"/>
          <w:lang w:eastAsia="zh-CN"/>
        </w:rPr>
        <w:t>万元，项目支出</w:t>
      </w:r>
      <w:r>
        <w:rPr>
          <w:rFonts w:hint="eastAsia" w:ascii="Times New Roman" w:hAnsi="Times New Roman" w:eastAsia="方正仿宋_GBK" w:cs="Times New Roman"/>
          <w:kern w:val="0"/>
          <w:sz w:val="32"/>
          <w:szCs w:val="32"/>
          <w:lang w:val="en-US" w:eastAsia="zh-CN"/>
        </w:rPr>
        <w:t>0</w:t>
      </w:r>
      <w:r>
        <w:rPr>
          <w:rFonts w:hint="eastAsia" w:ascii="Times New Roman" w:hAnsi="Times New Roman" w:eastAsia="方正仿宋_GBK" w:cs="Times New Roman"/>
          <w:kern w:val="0"/>
          <w:sz w:val="32"/>
          <w:szCs w:val="32"/>
          <w:lang w:eastAsia="zh-CN"/>
        </w:rPr>
        <w:t>万元）。</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达川区景市初级中学无下属单位，2022年无下属单位支出。</w:t>
      </w:r>
    </w:p>
    <w:p>
      <w:pPr>
        <w:keepNext w:val="0"/>
        <w:pageBreakBefore w:val="0"/>
        <w:tabs>
          <w:tab w:val="left" w:pos="3885"/>
        </w:tabs>
        <w:kinsoku/>
        <w:overflowPunct/>
        <w:topLinePunct w:val="0"/>
        <w:autoSpaceDE/>
        <w:autoSpaceDN/>
        <w:bidi w:val="0"/>
        <w:snapToGrid w:val="0"/>
        <w:spacing w:line="578" w:lineRule="exact"/>
        <w:ind w:firstLine="643" w:firstLineChars="200"/>
        <w:textAlignment w:val="auto"/>
        <w:rPr>
          <w:rFonts w:hint="eastAsia" w:ascii="Times New Roman" w:hAnsi="Times New Roman" w:eastAsia="方正仿宋_GBK" w:cs="Times New Roman"/>
          <w:b/>
          <w:bCs/>
          <w:kern w:val="0"/>
          <w:sz w:val="32"/>
          <w:szCs w:val="32"/>
          <w:lang w:eastAsia="zh-CN"/>
        </w:rPr>
      </w:pPr>
      <w:r>
        <w:rPr>
          <w:rFonts w:hint="eastAsia" w:ascii="Times New Roman" w:hAnsi="Times New Roman" w:eastAsia="方正仿宋_GBK" w:cs="Times New Roman"/>
          <w:b/>
          <w:bCs/>
          <w:kern w:val="0"/>
          <w:sz w:val="32"/>
          <w:szCs w:val="32"/>
          <w:lang w:eastAsia="zh-CN"/>
        </w:rPr>
        <w:t>（三）部门财政收入结转结余情况。</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2021年本单位结转下年资金</w:t>
      </w:r>
      <w:r>
        <w:rPr>
          <w:rFonts w:hint="eastAsia" w:ascii="Times New Roman" w:hAnsi="Times New Roman" w:eastAsia="方正仿宋_GBK" w:cs="Times New Roman"/>
          <w:kern w:val="0"/>
          <w:sz w:val="32"/>
          <w:szCs w:val="32"/>
          <w:lang w:val="en-US" w:eastAsia="zh-CN"/>
        </w:rPr>
        <w:t>0</w:t>
      </w:r>
      <w:r>
        <w:rPr>
          <w:rFonts w:hint="eastAsia" w:ascii="Times New Roman" w:hAnsi="Times New Roman" w:eastAsia="方正仿宋_GBK" w:cs="Times New Roman"/>
          <w:kern w:val="0"/>
          <w:sz w:val="32"/>
          <w:szCs w:val="32"/>
          <w:lang w:eastAsia="zh-CN"/>
        </w:rPr>
        <w:t>万元。</w:t>
      </w:r>
    </w:p>
    <w:p>
      <w:pPr>
        <w:keepNext w:val="0"/>
        <w:pageBreakBefore w:val="0"/>
        <w:widowControl/>
        <w:numPr>
          <w:ilvl w:val="0"/>
          <w:numId w:val="2"/>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u w:val="none"/>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u w:val="none"/>
          <w:shd w:val="clear" w:color="auto" w:fill="FFFFFF"/>
          <w14:textFill>
            <w14:solidFill>
              <w14:schemeClr w14:val="tx1"/>
            </w14:solidFill>
          </w14:textFill>
        </w:rPr>
        <w:t>部门整体预算绩效管理情况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Cs w:val="32"/>
          <w:shd w:val="clear" w:color="auto" w:fill="FFFFFF"/>
          <w:lang w:val="zh-CN"/>
        </w:rPr>
      </w:pPr>
      <w:r>
        <w:rPr>
          <w:rFonts w:hint="default" w:ascii="Times New Roman" w:hAnsi="Times New Roman" w:eastAsia="方正楷体_GBK" w:cs="Times New Roman"/>
          <w:color w:val="auto"/>
          <w:kern w:val="0"/>
          <w:szCs w:val="32"/>
          <w:shd w:val="clear" w:color="auto" w:fill="FFFFFF"/>
          <w:lang w:val="zh-CN"/>
        </w:rPr>
        <w:t>(一)总体工作情况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Cs w:val="32"/>
          <w:shd w:val="clear" w:color="auto" w:fill="FFFFFF"/>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年，我单位设定的总体工作目标为：</w:t>
      </w:r>
      <w:r>
        <w:rPr>
          <w:rFonts w:hint="default" w:ascii="Times New Roman" w:hAnsi="Times New Roman" w:eastAsia="方正仿宋_GBK" w:cs="Times New Roman"/>
          <w:kern w:val="0"/>
          <w:szCs w:val="32"/>
          <w:shd w:val="clear" w:color="auto" w:fill="FFFFFF"/>
          <w:lang w:val="zh-CN"/>
        </w:rPr>
        <w:t>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default" w:ascii="Times New Roman" w:hAnsi="Times New Roman" w:eastAsia="方正仿宋_GBK" w:cs="Times New Roman"/>
          <w:kern w:val="0"/>
          <w:szCs w:val="32"/>
          <w:shd w:val="clear" w:color="auto" w:fill="FFFFFF"/>
        </w:rPr>
        <w:t>2022年年终各项工作任务均全面完成，完成质量较高。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Cs w:val="32"/>
          <w:shd w:val="clear" w:color="auto" w:fill="FFFFFF"/>
          <w:lang w:val="zh-CN"/>
        </w:rPr>
      </w:pPr>
      <w:r>
        <w:rPr>
          <w:rFonts w:hint="default" w:ascii="Times New Roman" w:hAnsi="Times New Roman" w:eastAsia="方正楷体_GBK" w:cs="Times New Roman"/>
          <w:color w:val="auto"/>
          <w:kern w:val="0"/>
          <w:szCs w:val="32"/>
          <w:shd w:val="clear" w:color="auto" w:fill="FFFFFF"/>
          <w:lang w:val="zh-CN"/>
        </w:rPr>
        <w:t>(二)部门预算管理情况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highlight w:val="yellow"/>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default" w:ascii="Times New Roman" w:hAnsi="Times New Roman" w:eastAsia="方正仿宋_GBK" w:cs="Times New Roman"/>
          <w:color w:val="auto"/>
          <w:kern w:val="0"/>
          <w:szCs w:val="32"/>
          <w:shd w:val="clear" w:color="auto" w:fill="FFFFFF"/>
          <w:lang w:val="en-US" w:eastAsia="zh-CN"/>
        </w:rPr>
        <w:t>5</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2.在“目标实现”方面，我单位202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年共</w:t>
      </w:r>
      <w:r>
        <w:rPr>
          <w:rFonts w:hint="eastAsia"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个部门预算项目，均属于特定目标类项目。部门所有纳入绩效目标管理的部门预算项目中涉及数量指标共计</w:t>
      </w:r>
      <w:r>
        <w:rPr>
          <w:rFonts w:hint="eastAsia"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个，已完成数量为</w:t>
      </w:r>
      <w:r>
        <w:rPr>
          <w:rFonts w:hint="eastAsia"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个。该项指标分值为10分，自评得分</w:t>
      </w:r>
      <w:r>
        <w:rPr>
          <w:rFonts w:hint="eastAsia" w:eastAsia="方正仿宋_GBK" w:cs="Times New Roman"/>
          <w:color w:val="auto"/>
          <w:kern w:val="0"/>
          <w:szCs w:val="32"/>
          <w:shd w:val="clear" w:color="auto" w:fill="FFFFFF"/>
          <w:lang w:val="en-US" w:eastAsia="zh-CN"/>
        </w:rPr>
        <w:t>8</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3.在“支出控制”方面，我单位202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年日常公用经费、项目支出中“办公费、印刷费、水费、电费、物业管理费”年初预算额</w:t>
      </w:r>
      <w:r>
        <w:rPr>
          <w:rFonts w:hint="eastAsia" w:eastAsia="方正仿宋_GBK" w:cs="Times New Roman"/>
          <w:color w:val="auto"/>
          <w:kern w:val="0"/>
          <w:szCs w:val="32"/>
          <w:shd w:val="clear" w:color="auto" w:fill="FFFFFF"/>
          <w:lang w:val="en-US" w:eastAsia="zh-CN"/>
        </w:rPr>
        <w:t>81.02</w:t>
      </w:r>
      <w:r>
        <w:rPr>
          <w:rFonts w:hint="default" w:ascii="Times New Roman" w:hAnsi="Times New Roman" w:eastAsia="方正仿宋_GBK" w:cs="Times New Roman"/>
          <w:color w:val="auto"/>
          <w:kern w:val="0"/>
          <w:szCs w:val="32"/>
          <w:shd w:val="clear" w:color="auto" w:fill="FFFFFF"/>
          <w:lang w:val="zh-CN"/>
        </w:rPr>
        <w:t>万元，年末决算数</w:t>
      </w:r>
      <w:r>
        <w:rPr>
          <w:rFonts w:hint="eastAsia" w:eastAsia="方正仿宋_GBK" w:cs="Times New Roman"/>
          <w:color w:val="auto"/>
          <w:kern w:val="0"/>
          <w:szCs w:val="32"/>
          <w:shd w:val="clear" w:color="auto" w:fill="FFFFFF"/>
          <w:lang w:val="en-US" w:eastAsia="zh-CN"/>
        </w:rPr>
        <w:t>81.02</w:t>
      </w:r>
      <w:r>
        <w:rPr>
          <w:rFonts w:hint="default" w:ascii="Times New Roman" w:hAnsi="Times New Roman" w:eastAsia="方正仿宋_GBK" w:cs="Times New Roman"/>
          <w:color w:val="auto"/>
          <w:kern w:val="0"/>
          <w:szCs w:val="32"/>
          <w:shd w:val="clear" w:color="auto" w:fill="FFFFFF"/>
          <w:lang w:val="zh-CN"/>
        </w:rPr>
        <w:t>万元，偏差度</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%。该项指标分值为</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分，指标自评得分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r>
        <w:rPr>
          <w:rFonts w:hint="default" w:ascii="Times New Roman" w:hAnsi="Times New Roman" w:eastAsia="方正仿宋_GBK" w:cs="Times New Roman"/>
          <w:color w:val="auto"/>
          <w:kern w:val="0"/>
          <w:szCs w:val="32"/>
          <w:shd w:val="clear" w:color="auto" w:fill="FFFFFF"/>
          <w:lang w:val="zh-CN" w:eastAsia="zh-CN"/>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4.在“及时处置”方面，当部门绩效监控调整取消额(</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万元)和结余注销额(</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万元)均不为零时，该项指标分值为4分，指标自评得分4分。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highlight w:val="none"/>
          <w:shd w:val="clear" w:color="auto" w:fill="FFFFFF"/>
          <w:lang w:val="zh-CN"/>
        </w:rPr>
      </w:pPr>
      <w:r>
        <w:rPr>
          <w:rFonts w:hint="default" w:ascii="Times New Roman" w:hAnsi="Times New Roman" w:eastAsia="方正仿宋_GBK" w:cs="Times New Roman"/>
          <w:color w:val="auto"/>
          <w:kern w:val="0"/>
          <w:szCs w:val="32"/>
          <w:highlight w:val="none"/>
          <w:shd w:val="clear" w:color="auto" w:fill="FFFFFF"/>
          <w:lang w:val="zh-CN"/>
        </w:rPr>
        <w:t>5.在“执行进度”方面，根据系统提取数据显示，我单位202</w:t>
      </w:r>
      <w:r>
        <w:rPr>
          <w:rFonts w:hint="default" w:ascii="Times New Roman" w:hAnsi="Times New Roman" w:eastAsia="方正仿宋_GBK" w:cs="Times New Roman"/>
          <w:color w:val="auto"/>
          <w:kern w:val="0"/>
          <w:szCs w:val="32"/>
          <w:highlight w:val="none"/>
          <w:shd w:val="clear" w:color="auto" w:fill="FFFFFF"/>
          <w:lang w:val="en-US" w:eastAsia="zh-CN"/>
        </w:rPr>
        <w:t>2</w:t>
      </w:r>
      <w:r>
        <w:rPr>
          <w:rFonts w:hint="default" w:ascii="Times New Roman" w:hAnsi="Times New Roman" w:eastAsia="方正仿宋_GBK" w:cs="Times New Roman"/>
          <w:color w:val="auto"/>
          <w:kern w:val="0"/>
          <w:szCs w:val="32"/>
          <w:highlight w:val="none"/>
          <w:shd w:val="clear" w:color="auto" w:fill="FFFFFF"/>
          <w:lang w:val="zh-CN"/>
        </w:rPr>
        <w:t>年6月、9月、11月执行进度分别为</w:t>
      </w:r>
      <w:r>
        <w:rPr>
          <w:rFonts w:hint="eastAsia" w:eastAsia="方正仿宋_GBK" w:cs="Times New Roman"/>
          <w:color w:val="auto"/>
          <w:kern w:val="0"/>
          <w:szCs w:val="32"/>
          <w:highlight w:val="none"/>
          <w:shd w:val="clear" w:color="auto" w:fill="FFFFFF"/>
          <w:lang w:val="en-US" w:eastAsia="zh-CN"/>
        </w:rPr>
        <w:t>46.92</w:t>
      </w:r>
      <w:r>
        <w:rPr>
          <w:rFonts w:hint="default" w:ascii="Times New Roman" w:hAnsi="Times New Roman" w:eastAsia="方正仿宋_GBK" w:cs="Times New Roman"/>
          <w:color w:val="auto"/>
          <w:kern w:val="0"/>
          <w:szCs w:val="32"/>
          <w:highlight w:val="none"/>
          <w:shd w:val="clear" w:color="auto" w:fill="FFFFFF"/>
          <w:lang w:val="zh-CN"/>
        </w:rPr>
        <w:t>%、</w:t>
      </w:r>
      <w:r>
        <w:rPr>
          <w:rFonts w:hint="eastAsia" w:eastAsia="方正仿宋_GBK" w:cs="Times New Roman"/>
          <w:color w:val="auto"/>
          <w:kern w:val="0"/>
          <w:szCs w:val="32"/>
          <w:highlight w:val="none"/>
          <w:shd w:val="clear" w:color="auto" w:fill="FFFFFF"/>
          <w:lang w:val="en-US" w:eastAsia="zh-CN"/>
        </w:rPr>
        <w:t>51.08</w:t>
      </w:r>
      <w:r>
        <w:rPr>
          <w:rFonts w:hint="default" w:ascii="Times New Roman" w:hAnsi="Times New Roman" w:eastAsia="方正仿宋_GBK" w:cs="Times New Roman"/>
          <w:color w:val="auto"/>
          <w:kern w:val="0"/>
          <w:szCs w:val="32"/>
          <w:highlight w:val="none"/>
          <w:shd w:val="clear" w:color="auto" w:fill="FFFFFF"/>
          <w:lang w:val="zh-CN"/>
        </w:rPr>
        <w:t xml:space="preserve">%、 </w:t>
      </w:r>
      <w:r>
        <w:rPr>
          <w:rFonts w:hint="eastAsia" w:eastAsia="方正仿宋_GBK" w:cs="Times New Roman"/>
          <w:color w:val="auto"/>
          <w:kern w:val="0"/>
          <w:szCs w:val="32"/>
          <w:highlight w:val="none"/>
          <w:shd w:val="clear" w:color="auto" w:fill="FFFFFF"/>
          <w:lang w:val="en-US" w:eastAsia="zh-CN"/>
        </w:rPr>
        <w:t>76.29</w:t>
      </w:r>
      <w:r>
        <w:rPr>
          <w:rFonts w:hint="default" w:ascii="Times New Roman" w:hAnsi="Times New Roman" w:eastAsia="方正仿宋_GBK" w:cs="Times New Roman"/>
          <w:color w:val="auto"/>
          <w:kern w:val="0"/>
          <w:szCs w:val="32"/>
          <w:highlight w:val="none"/>
          <w:shd w:val="clear" w:color="auto" w:fill="FFFFFF"/>
          <w:lang w:val="zh-CN"/>
        </w:rPr>
        <w:t>%</w:t>
      </w:r>
      <w:r>
        <w:rPr>
          <w:rFonts w:hint="eastAsia" w:eastAsia="方正仿宋_GBK" w:cs="Times New Roman"/>
          <w:color w:val="auto"/>
          <w:kern w:val="0"/>
          <w:szCs w:val="32"/>
          <w:highlight w:val="none"/>
          <w:shd w:val="clear" w:color="auto" w:fill="FFFFFF"/>
          <w:lang w:val="zh-CN"/>
        </w:rPr>
        <w:t>。</w:t>
      </w:r>
      <w:r>
        <w:rPr>
          <w:rFonts w:hint="default" w:ascii="Times New Roman" w:hAnsi="Times New Roman" w:eastAsia="方正仿宋_GBK" w:cs="Times New Roman"/>
          <w:color w:val="auto"/>
          <w:kern w:val="0"/>
          <w:szCs w:val="32"/>
          <w:highlight w:val="none"/>
          <w:shd w:val="clear" w:color="auto" w:fill="FFFFFF"/>
          <w:lang w:val="zh-CN"/>
        </w:rPr>
        <w:t xml:space="preserve"> 该项指标分值为4分，按其实际进度占目标进度的比重计算得分</w:t>
      </w:r>
      <w:r>
        <w:rPr>
          <w:rFonts w:hint="default" w:ascii="Times New Roman" w:hAnsi="Times New Roman" w:eastAsia="方正仿宋_GBK" w:cs="Times New Roman"/>
          <w:color w:val="auto"/>
          <w:kern w:val="0"/>
          <w:szCs w:val="32"/>
          <w:highlight w:val="none"/>
          <w:shd w:val="clear" w:color="auto" w:fill="FFFFFF"/>
          <w:lang w:val="en-US" w:eastAsia="zh-CN"/>
        </w:rPr>
        <w:t>2</w:t>
      </w:r>
      <w:r>
        <w:rPr>
          <w:rFonts w:hint="default" w:ascii="Times New Roman" w:hAnsi="Times New Roman" w:eastAsia="方正仿宋_GBK" w:cs="Times New Roman"/>
          <w:color w:val="auto"/>
          <w:kern w:val="0"/>
          <w:szCs w:val="32"/>
          <w:highlight w:val="none"/>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6.在“预算完成”方面，部门预算项目年末预算执行进度</w:t>
      </w:r>
      <w:r>
        <w:rPr>
          <w:rFonts w:hint="default" w:ascii="Times New Roman" w:hAnsi="Times New Roman" w:eastAsia="方正仿宋_GBK" w:cs="Times New Roman"/>
          <w:color w:val="auto"/>
          <w:kern w:val="0"/>
          <w:szCs w:val="32"/>
          <w:shd w:val="clear" w:color="auto" w:fill="FFFFFF"/>
          <w:lang w:val="en-US" w:eastAsia="zh-CN"/>
        </w:rPr>
        <w:t>100</w:t>
      </w:r>
      <w:r>
        <w:rPr>
          <w:rFonts w:hint="default" w:ascii="Times New Roman" w:hAnsi="Times New Roman" w:eastAsia="方正仿宋_GBK" w:cs="Times New Roman"/>
          <w:color w:val="auto"/>
          <w:kern w:val="0"/>
          <w:szCs w:val="32"/>
          <w:shd w:val="clear" w:color="auto" w:fill="FFFFFF"/>
          <w:lang w:val="zh-CN"/>
        </w:rPr>
        <w:t>%。该项指标分值为5分，按照实际进度量化计算得分</w:t>
      </w:r>
      <w:r>
        <w:rPr>
          <w:rFonts w:hint="eastAsia"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7.在“资金结余率”方面，我部门单位部门预算项目共</w:t>
      </w:r>
      <w:r>
        <w:rPr>
          <w:rFonts w:hint="eastAsia"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项，资金余率小于</w:t>
      </w:r>
      <w:r>
        <w:rPr>
          <w:rFonts w:hint="default" w:ascii="Times New Roman" w:hAnsi="Times New Roman" w:eastAsia="方正仿宋_GBK" w:cs="Times New Roman"/>
          <w:color w:val="auto"/>
          <w:kern w:val="0"/>
          <w:szCs w:val="32"/>
          <w:shd w:val="clear" w:color="auto" w:fill="FFFFFF"/>
          <w:lang w:val="en-US" w:eastAsia="zh-CN"/>
        </w:rPr>
        <w:t>0.1</w:t>
      </w:r>
      <w:r>
        <w:rPr>
          <w:rFonts w:hint="default" w:ascii="Times New Roman" w:hAnsi="Times New Roman" w:eastAsia="方正仿宋_GBK" w:cs="Times New Roman"/>
          <w:color w:val="auto"/>
          <w:kern w:val="0"/>
          <w:szCs w:val="32"/>
          <w:shd w:val="clear" w:color="auto" w:fill="FFFFFF"/>
          <w:lang w:val="zh-CN"/>
        </w:rPr>
        <w:t>的项目数</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项。该项指标分值为8分，按照相应量化计算得分</w:t>
      </w:r>
      <w:r>
        <w:rPr>
          <w:rFonts w:hint="eastAsia" w:eastAsia="方正仿宋_GBK" w:cs="Times New Roman"/>
          <w:color w:val="auto"/>
          <w:kern w:val="0"/>
          <w:szCs w:val="32"/>
          <w:shd w:val="clear" w:color="auto" w:fill="FFFFFF"/>
          <w:lang w:val="en-US" w:eastAsia="zh-CN"/>
        </w:rPr>
        <w:t>8</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8.在违规记录上，我单位202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年没有出现部门预算管理方面违纪违规问题。该项指标分值为2分，自评得分2分。</w:t>
      </w:r>
      <w:bookmarkStart w:id="2" w:name="_Toc110955069"/>
    </w:p>
    <w:p>
      <w:pPr>
        <w:keepNext w:val="0"/>
        <w:pageBreakBefore w:val="0"/>
        <w:kinsoku/>
        <w:overflowPunct/>
        <w:topLinePunct w:val="0"/>
        <w:autoSpaceDE/>
        <w:autoSpaceDN/>
        <w:bidi w:val="0"/>
        <w:spacing w:line="578" w:lineRule="exact"/>
        <w:ind w:firstLine="643" w:firstLineChars="200"/>
        <w:textAlignment w:val="auto"/>
        <w:outlineLvl w:val="2"/>
        <w:rPr>
          <w:rFonts w:hint="default" w:ascii="Times New Roman" w:hAnsi="Times New Roman" w:eastAsia="方正黑体_GBK" w:cs="Times New Roman"/>
          <w:b/>
          <w:bCs/>
          <w:kern w:val="0"/>
          <w:sz w:val="32"/>
          <w:szCs w:val="32"/>
          <w:highlight w:val="yellow"/>
          <w:lang w:val="en-US" w:eastAsia="zh-CN"/>
        </w:rPr>
      </w:pPr>
      <w:r>
        <w:rPr>
          <w:rFonts w:hint="default" w:ascii="Times New Roman" w:hAnsi="Times New Roman" w:eastAsia="方正黑体_GBK" w:cs="Times New Roman"/>
          <w:b/>
          <w:bCs/>
          <w:kern w:val="0"/>
          <w:sz w:val="32"/>
          <w:szCs w:val="32"/>
          <w:highlight w:val="none"/>
          <w:lang w:eastAsia="zh-CN"/>
        </w:rPr>
        <w:t>四、</w:t>
      </w:r>
      <w:r>
        <w:rPr>
          <w:rFonts w:hint="default" w:ascii="Times New Roman" w:hAnsi="Times New Roman" w:eastAsia="方正黑体_GBK" w:cs="Times New Roman"/>
          <w:b/>
          <w:bCs/>
          <w:kern w:val="0"/>
          <w:sz w:val="32"/>
          <w:szCs w:val="32"/>
          <w:highlight w:val="none"/>
        </w:rPr>
        <w:t>专项预算管理</w:t>
      </w:r>
      <w:bookmarkEnd w:id="2"/>
    </w:p>
    <w:p>
      <w:pPr>
        <w:keepNext w:val="0"/>
        <w:keepLines/>
        <w:pageBreakBefore w:val="0"/>
        <w:tabs>
          <w:tab w:val="left" w:pos="676"/>
        </w:tabs>
        <w:kinsoku/>
        <w:overflowPunct/>
        <w:topLinePunct w:val="0"/>
        <w:autoSpaceDE/>
        <w:autoSpaceDN/>
        <w:bidi w:val="0"/>
        <w:spacing w:line="578" w:lineRule="exact"/>
        <w:ind w:right="1120" w:firstLine="640" w:firstLineChars="200"/>
        <w:textAlignment w:val="auto"/>
        <w:rPr>
          <w:rFonts w:hint="default" w:ascii="Times New Roman" w:hAnsi="Times New Roman" w:eastAsia="方正楷体_GBK" w:cs="Times New Roman"/>
          <w:color w:val="000000"/>
          <w:sz w:val="32"/>
          <w:szCs w:val="32"/>
          <w:highlight w:val="none"/>
        </w:rPr>
      </w:pPr>
      <w:r>
        <w:rPr>
          <w:rFonts w:hint="default" w:ascii="Times New Roman" w:hAnsi="Times New Roman" w:eastAsia="方正楷体_GBK" w:cs="Times New Roman"/>
          <w:color w:val="000000"/>
          <w:sz w:val="32"/>
          <w:szCs w:val="32"/>
          <w:highlight w:val="none"/>
        </w:rPr>
        <w:t>1.专项绩效的预算情况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rPr>
      </w:pPr>
      <w:r>
        <w:rPr>
          <w:rFonts w:hint="default" w:ascii="Times New Roman" w:hAnsi="Times New Roman" w:eastAsia="方正仿宋_GBK" w:cs="Times New Roman"/>
          <w:bCs/>
          <w:kern w:val="0"/>
          <w:sz w:val="32"/>
          <w:szCs w:val="32"/>
          <w:highlight w:val="none"/>
        </w:rPr>
        <w:t>202</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年度共有</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个项目，主要专项绩效预算情况</w:t>
      </w:r>
      <w:r>
        <w:rPr>
          <w:rFonts w:hint="default" w:ascii="Times New Roman" w:hAnsi="Times New Roman" w:eastAsia="方正仿宋_GBK" w:cs="Times New Roman"/>
          <w:bCs/>
          <w:kern w:val="0"/>
          <w:sz w:val="32"/>
          <w:szCs w:val="32"/>
          <w:highlight w:val="none"/>
          <w:lang w:val="en-US" w:eastAsia="zh-CN"/>
        </w:rPr>
        <w:t>为</w:t>
      </w:r>
      <w:r>
        <w:rPr>
          <w:rFonts w:hint="default" w:ascii="Times New Roman" w:hAnsi="Times New Roman" w:eastAsia="方正仿宋_GBK" w:cs="Times New Roman"/>
          <w:bCs/>
          <w:kern w:val="0"/>
          <w:sz w:val="32"/>
          <w:szCs w:val="32"/>
          <w:highlight w:val="none"/>
        </w:rPr>
        <w:t>：</w:t>
      </w:r>
    </w:p>
    <w:p>
      <w:pPr>
        <w:keepNext w:val="0"/>
        <w:pageBreakBefore w:val="0"/>
        <w:numPr>
          <w:ilvl w:val="0"/>
          <w:numId w:val="0"/>
        </w:numPr>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Cs w:val="32"/>
        </w:rPr>
        <w:t>（1）</w:t>
      </w:r>
      <w:r>
        <w:rPr>
          <w:rFonts w:hint="default" w:ascii="Times New Roman" w:hAnsi="Times New Roman" w:eastAsia="方正仿宋_GBK" w:cs="Times New Roman"/>
          <w:bCs/>
          <w:kern w:val="0"/>
          <w:sz w:val="32"/>
          <w:szCs w:val="32"/>
          <w:highlight w:val="none"/>
          <w:lang w:eastAsia="zh-CN"/>
        </w:rPr>
        <w:t>学生营养餐项目</w:t>
      </w:r>
      <w:r>
        <w:rPr>
          <w:rFonts w:hint="eastAsia" w:eastAsia="方正仿宋_GBK" w:cs="Times New Roman"/>
          <w:bCs/>
          <w:kern w:val="0"/>
          <w:sz w:val="32"/>
          <w:szCs w:val="32"/>
          <w:highlight w:val="none"/>
          <w:lang w:val="en-US" w:eastAsia="zh-CN"/>
        </w:rPr>
        <w:t>72.2</w:t>
      </w:r>
      <w:r>
        <w:rPr>
          <w:rFonts w:hint="default" w:ascii="Times New Roman" w:hAnsi="Times New Roman" w:eastAsia="方正仿宋_GBK" w:cs="Times New Roman"/>
          <w:bCs/>
          <w:kern w:val="0"/>
          <w:sz w:val="32"/>
          <w:szCs w:val="32"/>
          <w:highlight w:val="none"/>
          <w:lang w:val="en-US" w:eastAsia="zh-CN"/>
        </w:rPr>
        <w:t>万元，</w:t>
      </w:r>
      <w:r>
        <w:rPr>
          <w:rFonts w:hint="default" w:ascii="Times New Roman" w:hAnsi="Times New Roman" w:eastAsia="方正仿宋_GBK" w:cs="Times New Roman"/>
          <w:bCs/>
          <w:kern w:val="0"/>
          <w:sz w:val="32"/>
          <w:szCs w:val="32"/>
          <w:highlight w:val="none"/>
          <w:lang w:eastAsia="zh-CN"/>
        </w:rPr>
        <w:t>全年目标</w:t>
      </w:r>
      <w:r>
        <w:rPr>
          <w:rFonts w:hint="default" w:ascii="Times New Roman" w:hAnsi="Times New Roman" w:eastAsia="方正仿宋_GBK" w:cs="Times New Roman"/>
          <w:bCs/>
          <w:kern w:val="0"/>
          <w:sz w:val="32"/>
          <w:szCs w:val="32"/>
          <w:highlight w:val="none"/>
          <w:lang w:val="en-US" w:eastAsia="zh-CN"/>
        </w:rPr>
        <w:t>为2022年内计划发放营养餐改善计划补助资金</w:t>
      </w:r>
      <w:r>
        <w:rPr>
          <w:rFonts w:hint="eastAsia" w:eastAsia="方正仿宋_GBK" w:cs="Times New Roman"/>
          <w:bCs/>
          <w:kern w:val="0"/>
          <w:sz w:val="32"/>
          <w:szCs w:val="32"/>
          <w:highlight w:val="none"/>
          <w:lang w:val="en-US" w:eastAsia="zh-CN"/>
        </w:rPr>
        <w:t>72.2</w:t>
      </w:r>
      <w:r>
        <w:rPr>
          <w:rFonts w:hint="default" w:ascii="Times New Roman" w:hAnsi="Times New Roman" w:eastAsia="方正仿宋_GBK" w:cs="Times New Roman"/>
          <w:bCs/>
          <w:kern w:val="0"/>
          <w:sz w:val="32"/>
          <w:szCs w:val="32"/>
          <w:highlight w:val="none"/>
          <w:lang w:val="en-US" w:eastAsia="zh-CN"/>
        </w:rPr>
        <w:t>万元，目的是改善农村义务教育学生的营养状况，提高农村义务教育学生的健康水平，促进城乡义务教育健康持续发展。2022年实际完成</w:t>
      </w:r>
      <w:r>
        <w:rPr>
          <w:rFonts w:hint="eastAsia" w:eastAsia="方正仿宋_GBK" w:cs="Times New Roman"/>
          <w:bCs/>
          <w:kern w:val="0"/>
          <w:sz w:val="32"/>
          <w:szCs w:val="32"/>
          <w:highlight w:val="none"/>
          <w:lang w:val="en-US" w:eastAsia="zh-CN"/>
        </w:rPr>
        <w:t>37.96</w:t>
      </w:r>
      <w:r>
        <w:rPr>
          <w:rFonts w:hint="default" w:ascii="Times New Roman" w:hAnsi="Times New Roman" w:eastAsia="方正仿宋_GBK" w:cs="Times New Roman"/>
          <w:bCs/>
          <w:kern w:val="0"/>
          <w:sz w:val="32"/>
          <w:szCs w:val="32"/>
          <w:highlight w:val="none"/>
          <w:lang w:val="en-US" w:eastAsia="zh-CN"/>
        </w:rPr>
        <w:t>万元工作任务，已完成</w:t>
      </w:r>
      <w:r>
        <w:rPr>
          <w:rFonts w:hint="eastAsia" w:eastAsia="方正仿宋_GBK" w:cs="Times New Roman"/>
          <w:bCs/>
          <w:kern w:val="0"/>
          <w:sz w:val="32"/>
          <w:szCs w:val="32"/>
          <w:highlight w:val="none"/>
          <w:lang w:val="en-US" w:eastAsia="zh-CN"/>
        </w:rPr>
        <w:t>52.58</w:t>
      </w:r>
      <w:r>
        <w:rPr>
          <w:rFonts w:hint="default" w:ascii="Times New Roman" w:hAnsi="Times New Roman" w:eastAsia="方正仿宋_GBK" w:cs="Times New Roman"/>
          <w:bCs/>
          <w:kern w:val="0"/>
          <w:sz w:val="32"/>
          <w:szCs w:val="32"/>
          <w:highlight w:val="none"/>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Cs w:val="32"/>
        </w:rPr>
        <w:t>（</w:t>
      </w:r>
      <w:r>
        <w:rPr>
          <w:rFonts w:hint="eastAsia" w:eastAsia="方正仿宋_GBK" w:cs="Times New Roman"/>
          <w:bCs/>
          <w:kern w:val="0"/>
          <w:szCs w:val="32"/>
          <w:lang w:val="en-US" w:eastAsia="zh-CN"/>
        </w:rPr>
        <w:t>2</w:t>
      </w:r>
      <w:r>
        <w:rPr>
          <w:rFonts w:hint="default" w:ascii="Times New Roman" w:hAnsi="Times New Roman" w:eastAsia="方正仿宋_GBK" w:cs="Times New Roman"/>
          <w:bCs/>
          <w:kern w:val="0"/>
          <w:szCs w:val="32"/>
        </w:rPr>
        <w:t>）购买安保服务专项项目</w:t>
      </w:r>
      <w:r>
        <w:rPr>
          <w:rFonts w:hint="eastAsia" w:eastAsia="方正仿宋_GBK" w:cs="Times New Roman"/>
          <w:bCs/>
          <w:kern w:val="0"/>
          <w:szCs w:val="32"/>
          <w:lang w:val="en-US" w:eastAsia="zh-CN"/>
        </w:rPr>
        <w:t>3</w:t>
      </w:r>
      <w:r>
        <w:rPr>
          <w:rFonts w:hint="default" w:ascii="Times New Roman" w:hAnsi="Times New Roman" w:eastAsia="方正仿宋_GBK" w:cs="Times New Roman"/>
          <w:bCs/>
          <w:kern w:val="0"/>
          <w:szCs w:val="32"/>
        </w:rPr>
        <w:t>万元，全年目标为2022年内计划发放学校物业管理服务费</w:t>
      </w:r>
      <w:r>
        <w:rPr>
          <w:rFonts w:hint="eastAsia" w:eastAsia="方正仿宋_GBK" w:cs="Times New Roman"/>
          <w:bCs/>
          <w:kern w:val="0"/>
          <w:szCs w:val="32"/>
          <w:lang w:val="en-US" w:eastAsia="zh-CN"/>
        </w:rPr>
        <w:t>3</w:t>
      </w:r>
      <w:r>
        <w:rPr>
          <w:rFonts w:hint="default" w:ascii="Times New Roman" w:hAnsi="Times New Roman" w:eastAsia="方正仿宋_GBK" w:cs="Times New Roman"/>
          <w:bCs/>
          <w:kern w:val="0"/>
          <w:szCs w:val="32"/>
        </w:rPr>
        <w:t>万元，目的是维护学校正常教育教学秩序，保障学校及师生的人身、财产安全。2022年实际完成</w:t>
      </w:r>
      <w:r>
        <w:rPr>
          <w:rFonts w:hint="eastAsia" w:eastAsia="方正仿宋_GBK" w:cs="Times New Roman"/>
          <w:bCs/>
          <w:kern w:val="0"/>
          <w:szCs w:val="32"/>
          <w:lang w:val="en-US" w:eastAsia="zh-CN"/>
        </w:rPr>
        <w:t>3</w:t>
      </w:r>
      <w:r>
        <w:rPr>
          <w:rFonts w:hint="default" w:ascii="Times New Roman" w:hAnsi="Times New Roman" w:eastAsia="方正仿宋_GBK" w:cs="Times New Roman"/>
          <w:bCs/>
          <w:kern w:val="0"/>
          <w:szCs w:val="32"/>
        </w:rPr>
        <w:t>万元工作任务，已完成</w:t>
      </w:r>
      <w:r>
        <w:rPr>
          <w:rFonts w:hint="eastAsia" w:eastAsia="方正仿宋_GBK" w:cs="Times New Roman"/>
          <w:bCs/>
          <w:kern w:val="0"/>
          <w:szCs w:val="32"/>
          <w:lang w:val="en-US" w:eastAsia="zh-CN"/>
        </w:rPr>
        <w:t>100</w:t>
      </w:r>
      <w:r>
        <w:rPr>
          <w:rFonts w:hint="default" w:ascii="Times New Roman" w:hAnsi="Times New Roman" w:eastAsia="方正仿宋_GBK" w:cs="Times New Roman"/>
          <w:bCs/>
          <w:kern w:val="0"/>
          <w:szCs w:val="32"/>
        </w:rPr>
        <w:t>%；</w:t>
      </w: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default" w:ascii="Times New Roman" w:hAnsi="Times New Roman" w:eastAsia="方正楷体_GBK" w:cs="Times New Roman"/>
          <w:bCs/>
          <w:kern w:val="0"/>
          <w:sz w:val="32"/>
          <w:szCs w:val="32"/>
          <w:highlight w:val="none"/>
          <w:lang w:val="en-US" w:eastAsia="zh-CN"/>
        </w:rPr>
      </w:pPr>
      <w:r>
        <w:rPr>
          <w:rFonts w:hint="default" w:ascii="Times New Roman" w:hAnsi="Times New Roman" w:eastAsia="方正楷体_GBK" w:cs="Times New Roman"/>
          <w:bCs/>
          <w:kern w:val="0"/>
          <w:sz w:val="32"/>
          <w:szCs w:val="32"/>
          <w:highlight w:val="none"/>
          <w:lang w:val="en-US" w:eastAsia="zh-CN"/>
        </w:rPr>
        <w:t>2.专项绩效的执行情况</w:t>
      </w:r>
    </w:p>
    <w:p>
      <w:pPr>
        <w:keepNext w:val="0"/>
        <w:pageBreakBefore w:val="0"/>
        <w:kinsoku/>
        <w:overflowPunct/>
        <w:topLinePunct w:val="0"/>
        <w:autoSpaceDE/>
        <w:autoSpaceDN/>
        <w:bidi w:val="0"/>
        <w:spacing w:line="578" w:lineRule="exact"/>
        <w:ind w:firstLine="800" w:firstLineChars="250"/>
        <w:textAlignment w:val="auto"/>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 w:val="32"/>
          <w:szCs w:val="32"/>
          <w:highlight w:val="none"/>
          <w:lang w:val="en-US" w:eastAsia="zh-CN"/>
        </w:rPr>
        <w:t>绩效目标项目年初有</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个，开展绩效评价项目</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个，开展自评项目数</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个，完成绩效评价数</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个；应填报绩效目标的项目数</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w:t>
      </w:r>
      <w:r>
        <w:rPr>
          <w:rFonts w:hint="eastAsia" w:eastAsia="方正仿宋_GBK" w:cs="Times New Roman"/>
          <w:bCs/>
          <w:kern w:val="0"/>
          <w:sz w:val="32"/>
          <w:szCs w:val="32"/>
          <w:highlight w:val="none"/>
          <w:lang w:val="en-US" w:eastAsia="zh-CN"/>
        </w:rPr>
        <w:t>，</w:t>
      </w:r>
      <w:r>
        <w:rPr>
          <w:rFonts w:hint="default" w:ascii="Times New Roman" w:hAnsi="Times New Roman" w:eastAsia="方正仿宋_GBK" w:cs="Times New Roman"/>
          <w:bCs/>
          <w:kern w:val="0"/>
          <w:sz w:val="32"/>
          <w:szCs w:val="32"/>
          <w:highlight w:val="none"/>
          <w:lang w:val="en-US" w:eastAsia="zh-CN"/>
        </w:rPr>
        <w:t>应开展绩效监控的项目0个和应开展绩效自评项目</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个，应完成绩效工作数为</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w:t>
      </w:r>
      <w:r>
        <w:rPr>
          <w:rFonts w:hint="default" w:ascii="Times New Roman" w:hAnsi="Times New Roman" w:eastAsia="方正仿宋_GBK" w:cs="Times New Roman"/>
          <w:bCs/>
          <w:kern w:val="0"/>
          <w:szCs w:val="32"/>
        </w:rPr>
        <w:t>项目执行达100%以上的项目</w:t>
      </w:r>
      <w:r>
        <w:rPr>
          <w:rFonts w:hint="eastAsia" w:eastAsia="方正仿宋_GBK" w:cs="Times New Roman"/>
          <w:bCs/>
          <w:kern w:val="0"/>
          <w:szCs w:val="32"/>
          <w:lang w:val="en-US" w:eastAsia="zh-CN"/>
        </w:rPr>
        <w:t>2</w:t>
      </w:r>
      <w:r>
        <w:rPr>
          <w:rFonts w:hint="default" w:ascii="Times New Roman" w:hAnsi="Times New Roman" w:eastAsia="方正仿宋_GBK" w:cs="Times New Roman"/>
          <w:bCs/>
          <w:kern w:val="0"/>
          <w:szCs w:val="32"/>
          <w:lang w:eastAsia="zh-CN"/>
        </w:rPr>
        <w:t>个</w:t>
      </w:r>
      <w:r>
        <w:rPr>
          <w:rFonts w:hint="default" w:ascii="Times New Roman" w:hAnsi="Times New Roman" w:eastAsia="方正仿宋_GBK" w:cs="Times New Roman"/>
          <w:bCs/>
          <w:kern w:val="0"/>
          <w:szCs w:val="32"/>
        </w:rPr>
        <w:t>，项目综合完成率为</w:t>
      </w:r>
      <w:r>
        <w:rPr>
          <w:rFonts w:hint="eastAsia" w:eastAsia="方正仿宋_GBK" w:cs="Times New Roman"/>
          <w:bCs/>
          <w:kern w:val="0"/>
          <w:szCs w:val="32"/>
          <w:lang w:val="en-US" w:eastAsia="zh-CN"/>
        </w:rPr>
        <w:t>100</w:t>
      </w:r>
      <w:r>
        <w:rPr>
          <w:rFonts w:hint="default" w:ascii="Times New Roman" w:hAnsi="Times New Roman" w:eastAsia="方正仿宋_GBK" w:cs="Times New Roman"/>
          <w:bCs/>
          <w:kern w:val="0"/>
          <w:szCs w:val="32"/>
        </w:rPr>
        <w:t>%。</w:t>
      </w:r>
    </w:p>
    <w:p>
      <w:pPr>
        <w:keepNext w:val="0"/>
        <w:pageBreakBefore w:val="0"/>
        <w:kinsoku/>
        <w:overflowPunct/>
        <w:topLinePunct w:val="0"/>
        <w:autoSpaceDE/>
        <w:autoSpaceDN/>
        <w:bidi w:val="0"/>
        <w:spacing w:line="578" w:lineRule="exact"/>
        <w:ind w:firstLine="480" w:firstLineChars="150"/>
        <w:textAlignment w:val="auto"/>
        <w:rPr>
          <w:rFonts w:hint="default" w:ascii="Times New Roman" w:hAnsi="Times New Roman" w:eastAsia="仿宋" w:cs="Times New Roman"/>
          <w:bCs/>
          <w:kern w:val="0"/>
          <w:sz w:val="32"/>
          <w:szCs w:val="32"/>
          <w:highlight w:val="none"/>
          <w:lang w:val="en-US" w:eastAsia="zh-CN"/>
        </w:rPr>
      </w:pPr>
      <w:r>
        <w:rPr>
          <w:rFonts w:hint="default" w:ascii="Times New Roman" w:hAnsi="Times New Roman" w:eastAsia="方正仿宋_GBK" w:cs="Times New Roman"/>
          <w:bCs/>
          <w:kern w:val="0"/>
          <w:szCs w:val="32"/>
        </w:rPr>
        <w:t>专项预算管理分值为40分，自评得分为</w:t>
      </w:r>
      <w:r>
        <w:rPr>
          <w:rFonts w:hint="default" w:ascii="Times New Roman" w:hAnsi="Times New Roman" w:eastAsia="方正仿宋_GBK" w:cs="Times New Roman"/>
          <w:bCs/>
          <w:kern w:val="0"/>
          <w:szCs w:val="32"/>
          <w:lang w:val="en-US" w:eastAsia="zh-CN"/>
        </w:rPr>
        <w:t>40</w:t>
      </w:r>
      <w:r>
        <w:rPr>
          <w:rFonts w:hint="default" w:ascii="Times New Roman" w:hAnsi="Times New Roman" w:eastAsia="方正仿宋_GBK" w:cs="Times New Roman"/>
          <w:bCs/>
          <w:kern w:val="0"/>
          <w:szCs w:val="32"/>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Cs w:val="32"/>
          <w:highlight w:val="none"/>
          <w:shd w:val="clear" w:color="auto" w:fill="FFFFFF"/>
          <w:lang w:val="zh-CN"/>
        </w:rPr>
      </w:pPr>
      <w:r>
        <w:rPr>
          <w:rFonts w:hint="default" w:ascii="Times New Roman" w:hAnsi="Times New Roman" w:eastAsia="方正黑体_GBK" w:cs="Times New Roman"/>
          <w:color w:val="auto"/>
          <w:kern w:val="0"/>
          <w:szCs w:val="32"/>
          <w:highlight w:val="none"/>
          <w:shd w:val="clear" w:color="auto" w:fill="FFFFFF"/>
          <w:lang w:val="zh-CN"/>
        </w:rPr>
        <w:t>五、结果应用情况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1.在“预算挂钩”方面，我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已出台全面实施预算绩效管理工作方案，细化考核内容，加强各业务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室与绩效管理工作的联系，明确考核及绩效结果与专项预算安排挂钩举措，推动绩效管理工作更好的实施。该项指标分值为4分，自评得分</w:t>
      </w:r>
      <w:r>
        <w:rPr>
          <w:rFonts w:hint="default" w:ascii="Times New Roman" w:hAnsi="Times New Roman" w:eastAsia="方正仿宋_GBK" w:cs="Times New Roman"/>
          <w:color w:val="auto"/>
          <w:kern w:val="0"/>
          <w:sz w:val="32"/>
          <w:szCs w:val="32"/>
          <w:shd w:val="clear" w:color="auto" w:fill="FFFFFF"/>
          <w:lang w:val="en-US" w:eastAsia="zh-CN"/>
        </w:rPr>
        <w:t>4</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2.在“自评公开”方面，我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3.在“问题整改”方面，结合部门预算项目实际情况，绩效目标设置要素完整也基本做到细化量化;对发现执行进度偏低的项目，要求各业务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室加快预算执行进度;针对我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4.在应用反馈上，我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已按要求在规定时间内将预算绩效结果应用结果向财政反馈。该项指标分值为</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 w:val="32"/>
          <w:szCs w:val="32"/>
          <w:shd w:val="clear" w:color="auto" w:fill="FFFFFF"/>
          <w:lang w:val="zh-CN"/>
        </w:rPr>
      </w:pPr>
      <w:r>
        <w:rPr>
          <w:rFonts w:hint="default" w:ascii="Times New Roman" w:hAnsi="Times New Roman" w:eastAsia="方正黑体_GBK" w:cs="Times New Roman"/>
          <w:color w:val="auto"/>
          <w:kern w:val="0"/>
          <w:sz w:val="32"/>
          <w:szCs w:val="32"/>
          <w:shd w:val="clear" w:color="auto" w:fill="FFFFFF"/>
          <w:lang w:val="zh-CN"/>
        </w:rPr>
        <w:t>六、自评质量情况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整体支出自评准确率较高，</w:t>
      </w:r>
      <w:r>
        <w:rPr>
          <w:rFonts w:hint="default" w:ascii="Times New Roman" w:hAnsi="Times New Roman" w:eastAsia="方正仿宋_GBK" w:cs="Times New Roman"/>
          <w:color w:val="auto"/>
          <w:kern w:val="0"/>
          <w:sz w:val="32"/>
          <w:szCs w:val="32"/>
          <w:shd w:val="clear" w:color="auto" w:fill="FFFFFF"/>
          <w:lang w:val="en-US" w:eastAsia="zh-CN"/>
        </w:rPr>
        <w:t>且全面开展自评</w:t>
      </w:r>
      <w:r>
        <w:rPr>
          <w:rFonts w:hint="default" w:ascii="Times New Roman" w:hAnsi="Times New Roman" w:eastAsia="方正仿宋_GBK" w:cs="Times New Roman"/>
          <w:color w:val="auto"/>
          <w:kern w:val="0"/>
          <w:sz w:val="32"/>
          <w:szCs w:val="32"/>
          <w:shd w:val="clear" w:color="auto" w:fill="FFFFFF"/>
          <w:lang w:val="zh-CN"/>
        </w:rPr>
        <w:t>。</w:t>
      </w:r>
      <w:r>
        <w:rPr>
          <w:rFonts w:hint="default" w:ascii="Times New Roman" w:hAnsi="Times New Roman" w:eastAsia="方正仿宋_GBK" w:cs="Times New Roman"/>
          <w:color w:val="auto"/>
          <w:kern w:val="0"/>
          <w:sz w:val="32"/>
          <w:szCs w:val="32"/>
          <w:shd w:val="clear" w:color="auto" w:fill="FFFFFF"/>
          <w:lang w:val="en-US" w:eastAsia="zh-CN"/>
        </w:rPr>
        <w:t>自评质量分值为10分，由主管部门、财政部门考评，单位自评实际总分为90分。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zh-CN"/>
        </w:rPr>
        <w:t>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w:t>
      </w: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整体支出绩效自评得分</w:t>
      </w:r>
      <w:r>
        <w:rPr>
          <w:rFonts w:hint="default" w:ascii="Times New Roman" w:hAnsi="Times New Roman" w:eastAsia="方正仿宋_GBK" w:cs="Times New Roman"/>
          <w:color w:val="auto"/>
          <w:kern w:val="0"/>
          <w:sz w:val="32"/>
          <w:szCs w:val="32"/>
          <w:shd w:val="clear" w:color="auto" w:fill="FFFFFF"/>
          <w:lang w:val="en-US" w:eastAsia="zh-CN"/>
        </w:rPr>
        <w:t>实际为8</w:t>
      </w:r>
      <w:r>
        <w:rPr>
          <w:rFonts w:hint="eastAsia" w:eastAsia="方正仿宋_GBK" w:cs="Times New Roman"/>
          <w:color w:val="auto"/>
          <w:kern w:val="0"/>
          <w:sz w:val="32"/>
          <w:szCs w:val="32"/>
          <w:shd w:val="clear" w:color="auto" w:fill="FFFFFF"/>
          <w:lang w:val="en-US" w:eastAsia="zh-CN"/>
        </w:rPr>
        <w:t>4</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 w:val="32"/>
          <w:szCs w:val="32"/>
          <w:shd w:val="clear" w:color="auto" w:fill="FFFFFF"/>
          <w:lang w:val="zh-CN"/>
        </w:rPr>
      </w:pPr>
      <w:r>
        <w:rPr>
          <w:rFonts w:hint="default" w:ascii="Times New Roman" w:hAnsi="Times New Roman" w:eastAsia="方正黑体_GBK" w:cs="Times New Roman"/>
          <w:color w:val="auto"/>
          <w:kern w:val="0"/>
          <w:sz w:val="32"/>
          <w:szCs w:val="32"/>
          <w:shd w:val="clear" w:color="auto" w:fill="FFFFFF"/>
          <w:lang w:val="zh-CN"/>
        </w:rPr>
        <w:t>七、评价结论及建议</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(一)评价结论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按照202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年度</w:t>
      </w:r>
      <w:r>
        <w:rPr>
          <w:rFonts w:hint="default" w:ascii="Times New Roman" w:hAnsi="Times New Roman" w:eastAsia="方正仿宋_GBK" w:cs="Times New Roman"/>
          <w:color w:val="auto"/>
          <w:kern w:val="0"/>
          <w:sz w:val="32"/>
          <w:szCs w:val="32"/>
          <w:shd w:val="clear" w:color="auto" w:fill="FFFFFF"/>
          <w:lang w:val="en-US" w:eastAsia="zh-CN"/>
        </w:rPr>
        <w:t>区</w:t>
      </w:r>
      <w:r>
        <w:rPr>
          <w:rFonts w:hint="default" w:ascii="Times New Roman" w:hAnsi="Times New Roman" w:eastAsia="方正仿宋_GBK" w:cs="Times New Roman"/>
          <w:color w:val="auto"/>
          <w:kern w:val="0"/>
          <w:sz w:val="32"/>
          <w:szCs w:val="32"/>
          <w:shd w:val="clear" w:color="auto" w:fill="FFFFFF"/>
          <w:lang w:val="zh-CN"/>
        </w:rPr>
        <w:t>级部门整体支出绩效评价指标体系，绩效评价总分</w:t>
      </w:r>
      <w:r>
        <w:rPr>
          <w:rFonts w:hint="default" w:ascii="Times New Roman" w:hAnsi="Times New Roman" w:eastAsia="方正仿宋_GBK" w:cs="Times New Roman"/>
          <w:color w:val="auto"/>
          <w:kern w:val="0"/>
          <w:sz w:val="32"/>
          <w:szCs w:val="32"/>
          <w:shd w:val="clear" w:color="auto" w:fill="FFFFFF"/>
          <w:lang w:val="en-US" w:eastAsia="zh-CN"/>
        </w:rPr>
        <w:t>90</w:t>
      </w:r>
      <w:r>
        <w:rPr>
          <w:rFonts w:hint="default" w:ascii="Times New Roman" w:hAnsi="Times New Roman" w:eastAsia="方正仿宋_GBK" w:cs="Times New Roman"/>
          <w:color w:val="auto"/>
          <w:kern w:val="0"/>
          <w:sz w:val="32"/>
          <w:szCs w:val="32"/>
          <w:shd w:val="clear" w:color="auto" w:fill="FFFFFF"/>
          <w:lang w:val="zh-CN"/>
        </w:rPr>
        <w:t>分，我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得分</w:t>
      </w:r>
      <w:r>
        <w:rPr>
          <w:rFonts w:hint="eastAsia" w:eastAsia="方正仿宋_GBK" w:cs="Times New Roman"/>
          <w:color w:val="auto"/>
          <w:kern w:val="0"/>
          <w:sz w:val="32"/>
          <w:szCs w:val="32"/>
          <w:shd w:val="clear" w:color="auto" w:fill="FFFFFF"/>
          <w:lang w:val="en-US" w:eastAsia="zh-CN"/>
        </w:rPr>
        <w:t>84</w:t>
      </w:r>
      <w:r>
        <w:rPr>
          <w:rFonts w:hint="default" w:ascii="Times New Roman" w:hAnsi="Times New Roman" w:eastAsia="方正仿宋_GBK" w:cs="Times New Roman"/>
          <w:color w:val="auto"/>
          <w:kern w:val="0"/>
          <w:sz w:val="32"/>
          <w:szCs w:val="32"/>
          <w:shd w:val="clear" w:color="auto" w:fill="FFFFFF"/>
          <w:lang w:val="zh-CN"/>
        </w:rPr>
        <w:t>分（</w:t>
      </w:r>
      <w:r>
        <w:rPr>
          <w:rFonts w:hint="default" w:ascii="Times New Roman" w:hAnsi="Times New Roman" w:eastAsia="方正仿宋_GBK" w:cs="Times New Roman"/>
          <w:color w:val="auto"/>
          <w:kern w:val="0"/>
          <w:sz w:val="32"/>
          <w:szCs w:val="32"/>
          <w:shd w:val="clear" w:color="auto" w:fill="FFFFFF"/>
          <w:lang w:val="en-US" w:eastAsia="zh-CN"/>
        </w:rPr>
        <w:t>详见《2023年整体支出绩效评价指标体系表》）。</w:t>
      </w:r>
      <w:r>
        <w:rPr>
          <w:rFonts w:hint="default" w:ascii="Times New Roman" w:hAnsi="Times New Roman" w:eastAsia="方正仿宋_GBK" w:cs="Times New Roman"/>
          <w:color w:val="auto"/>
          <w:kern w:val="0"/>
          <w:sz w:val="32"/>
          <w:szCs w:val="32"/>
          <w:shd w:val="clear" w:color="auto" w:fill="FFFFFF"/>
          <w:lang w:val="zh-CN"/>
        </w:rPr>
        <w:t>基本完成了年度预算绩效管理目标，扣分项主要涉及预算调整金额偏大和个别时间节点预算执行进度不高。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(二)存在问题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color w:val="auto"/>
          <w:kern w:val="0"/>
          <w:sz w:val="32"/>
          <w:szCs w:val="32"/>
          <w:shd w:val="clear" w:color="auto" w:fill="FFFFFF"/>
          <w:lang w:val="zh-CN"/>
        </w:rPr>
        <w:t>二是预算执行力度不强，预算执行进度偏慢。</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(三)改进措施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lang w:val="zh-CN"/>
        </w:rPr>
      </w:pPr>
      <w:r>
        <w:rPr>
          <w:rFonts w:hint="default" w:ascii="Times New Roman" w:hAnsi="Times New Roman" w:eastAsia="方正仿宋_GBK" w:cs="Times New Roman"/>
          <w:lang w:val="zh-CN"/>
        </w:rPr>
        <w:t>202</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lang w:val="zh-CN"/>
        </w:rPr>
        <w:t>年，我</w:t>
      </w:r>
      <w:r>
        <w:rPr>
          <w:rFonts w:hint="default" w:ascii="Times New Roman" w:hAnsi="Times New Roman" w:eastAsia="方正仿宋_GBK" w:cs="Times New Roman"/>
          <w:lang w:val="en-US" w:eastAsia="zh-CN"/>
        </w:rPr>
        <w:t>单位</w:t>
      </w:r>
      <w:r>
        <w:rPr>
          <w:rFonts w:hint="default" w:ascii="Times New Roman" w:hAnsi="Times New Roman" w:eastAsia="方正仿宋_GBK" w:cs="Times New Roman"/>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二是继续加强预算统筹调控，把握工作重点，加强沟通协调，按照“统筹兼顾、突出重点、厉行节约、讲求效益”的原则统筹预算，保障单位正常运转和履行各项职能开支需要，力争202</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lang w:val="zh-CN"/>
        </w:rPr>
        <w:t>年预算执行进度在202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三是提高预算绩效管理工作意识，按照预算绩效管理工作方案要求，明确职责分工，压实主体责任，强化各具体项目承办.</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附件：</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1.2022年特定目标类部门预算项目绩效目标自评（项目名称：学生营养餐专项）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eastAsia" w:eastAsia="方正仿宋_GBK" w:cs="Times New Roman"/>
          <w:kern w:val="0"/>
          <w:sz w:val="32"/>
          <w:szCs w:val="32"/>
          <w:shd w:val="clear" w:color="auto" w:fill="FFFFFF"/>
          <w:lang w:val="en-US" w:eastAsia="zh-CN"/>
        </w:rPr>
        <w:t>2.</w:t>
      </w:r>
      <w:r>
        <w:rPr>
          <w:rFonts w:hint="default" w:ascii="Times New Roman" w:hAnsi="Times New Roman" w:eastAsia="方正仿宋_GBK" w:cs="Times New Roman"/>
          <w:kern w:val="0"/>
          <w:sz w:val="32"/>
          <w:szCs w:val="32"/>
          <w:shd w:val="clear" w:color="auto" w:fill="FFFFFF"/>
        </w:rPr>
        <w:t>2022年特定目标类部门预算项目绩效目标自评（项目名称：购买</w:t>
      </w:r>
      <w:r>
        <w:rPr>
          <w:rFonts w:hint="eastAsia" w:eastAsia="方正仿宋_GBK" w:cs="Times New Roman"/>
          <w:kern w:val="0"/>
          <w:sz w:val="32"/>
          <w:szCs w:val="32"/>
          <w:shd w:val="clear" w:color="auto" w:fill="FFFFFF"/>
          <w:lang w:eastAsia="zh-CN"/>
        </w:rPr>
        <w:t>安保</w:t>
      </w:r>
      <w:r>
        <w:rPr>
          <w:rFonts w:hint="default" w:ascii="Times New Roman" w:hAnsi="Times New Roman" w:eastAsia="方正仿宋_GBK" w:cs="Times New Roman"/>
          <w:kern w:val="0"/>
          <w:sz w:val="32"/>
          <w:szCs w:val="32"/>
          <w:shd w:val="clear" w:color="auto" w:fill="FFFFFF"/>
        </w:rPr>
        <w:t>服务专项）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eastAsia"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kern w:val="0"/>
          <w:sz w:val="32"/>
          <w:szCs w:val="32"/>
          <w:shd w:val="clear" w:color="auto" w:fill="FFFFFF"/>
          <w:lang w:eastAsia="zh-CN"/>
        </w:rPr>
        <w:t>达川区景市</w:t>
      </w:r>
      <w:r>
        <w:rPr>
          <w:rFonts w:hint="eastAsia" w:eastAsia="方正仿宋_GBK" w:cs="Times New Roman"/>
          <w:kern w:val="0"/>
          <w:sz w:val="32"/>
          <w:szCs w:val="32"/>
          <w:shd w:val="clear" w:color="auto" w:fill="FFFFFF"/>
          <w:lang w:eastAsia="zh-CN"/>
        </w:rPr>
        <w:t>初级中学</w:t>
      </w:r>
      <w:r>
        <w:rPr>
          <w:rFonts w:hint="default" w:ascii="Times New Roman" w:hAnsi="Times New Roman" w:eastAsia="方正仿宋_GBK" w:cs="Times New Roman"/>
          <w:kern w:val="0"/>
          <w:sz w:val="32"/>
          <w:szCs w:val="32"/>
          <w:shd w:val="clear" w:color="auto" w:fill="FFFFFF"/>
        </w:rPr>
        <w:t>2023年整体支出绩效评价指标体系表</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contextualSpacing/>
        <w:jc w:val="both"/>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 xml:space="preserve">                          达川区景市</w:t>
      </w:r>
      <w:r>
        <w:rPr>
          <w:rFonts w:hint="eastAsia" w:eastAsia="方正仿宋_GBK" w:cs="Times New Roman"/>
          <w:color w:val="auto"/>
          <w:kern w:val="0"/>
          <w:szCs w:val="32"/>
          <w:shd w:val="clear" w:color="auto" w:fill="FFFFFF"/>
          <w:lang w:val="en-US" w:eastAsia="zh-CN"/>
        </w:rPr>
        <w:t>初级中学</w:t>
      </w:r>
      <w:r>
        <w:rPr>
          <w:rFonts w:hint="default" w:ascii="Times New Roman" w:hAnsi="Times New Roman" w:eastAsia="方正仿宋_GBK" w:cs="Times New Roman"/>
          <w:color w:val="auto"/>
          <w:kern w:val="0"/>
          <w:szCs w:val="32"/>
          <w:shd w:val="clear" w:color="auto" w:fill="FFFFFF"/>
          <w:lang w:val="en-US" w:eastAsia="zh-CN"/>
        </w:rPr>
        <w:t xml:space="preserve"> </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 xml:space="preserve">                             2023年4月</w:t>
      </w:r>
      <w:r>
        <w:rPr>
          <w:rFonts w:hint="eastAsia" w:eastAsia="方正仿宋_GBK" w:cs="Times New Roman"/>
          <w:color w:val="auto"/>
          <w:kern w:val="0"/>
          <w:szCs w:val="32"/>
          <w:shd w:val="clear" w:color="auto" w:fill="FFFFFF"/>
          <w:lang w:val="en-US" w:eastAsia="zh-CN"/>
        </w:rPr>
        <w:t>8</w:t>
      </w:r>
      <w:r>
        <w:rPr>
          <w:rFonts w:hint="default" w:ascii="Times New Roman" w:hAnsi="Times New Roman" w:eastAsia="方正仿宋_GBK" w:cs="Times New Roman"/>
          <w:color w:val="auto"/>
          <w:kern w:val="0"/>
          <w:szCs w:val="32"/>
          <w:shd w:val="clear" w:color="auto" w:fill="FFFFFF"/>
          <w:lang w:val="en-US" w:eastAsia="zh-CN"/>
        </w:rPr>
        <w:t xml:space="preserve">日    </w:t>
      </w:r>
    </w:p>
    <w:p>
      <w:pPr>
        <w:pStyle w:val="2"/>
        <w:rPr>
          <w:rFonts w:hint="default" w:ascii="Times New Roman" w:hAnsi="Times New Roman" w:eastAsia="方正仿宋_GBK" w:cs="Times New Roman"/>
          <w:color w:val="auto"/>
          <w:kern w:val="0"/>
          <w:szCs w:val="32"/>
          <w:shd w:val="clear" w:color="auto" w:fill="FFFFFF"/>
          <w:lang w:val="en-US" w:eastAsia="zh-CN"/>
        </w:rPr>
      </w:pPr>
    </w:p>
    <w:p>
      <w:pPr>
        <w:rPr>
          <w:rFonts w:hint="default" w:ascii="Times New Roman" w:hAnsi="Times New Roman" w:eastAsia="方正仿宋_GBK" w:cs="Times New Roman"/>
          <w:color w:val="auto"/>
          <w:kern w:val="0"/>
          <w:szCs w:val="32"/>
          <w:shd w:val="clear" w:color="auto" w:fill="FFFFFF"/>
          <w:lang w:val="en-US" w:eastAsia="zh-CN"/>
        </w:rPr>
      </w:pPr>
    </w:p>
    <w:p>
      <w:pPr>
        <w:pStyle w:val="2"/>
        <w:rPr>
          <w:rFonts w:hint="default" w:ascii="Times New Roman" w:hAnsi="Times New Roman" w:eastAsia="方正仿宋_GBK" w:cs="Times New Roman"/>
          <w:color w:val="auto"/>
          <w:kern w:val="0"/>
          <w:szCs w:val="32"/>
          <w:shd w:val="clear" w:color="auto" w:fill="FFFFFF"/>
          <w:lang w:val="en-US" w:eastAsia="zh-CN"/>
        </w:rPr>
      </w:pPr>
    </w:p>
    <w:p>
      <w:pPr>
        <w:pStyle w:val="2"/>
        <w:rPr>
          <w:rFonts w:hint="default" w:ascii="Times New Roman" w:hAnsi="Times New Roman" w:eastAsia="方正仿宋_GBK" w:cs="Times New Roman"/>
          <w:color w:val="auto"/>
          <w:kern w:val="0"/>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r>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t>附表</w:t>
      </w:r>
      <w:r>
        <w:rPr>
          <w:rFonts w:hint="default" w:ascii="Times New Roman" w:hAnsi="Times New Roman" w:cs="Times New Roman"/>
          <w:b w:val="0"/>
          <w:bCs w:val="0"/>
          <w:color w:val="000000" w:themeColor="text1"/>
          <w:kern w:val="0"/>
          <w:szCs w:val="32"/>
          <w:shd w:val="clear" w:color="auto" w:fill="FFFFFF"/>
          <w:lang w:val="en-US" w:eastAsia="zh-CN"/>
          <w14:textFill>
            <w14:solidFill>
              <w14:schemeClr w14:val="tx1"/>
            </w14:solidFill>
          </w14:textFill>
        </w:rPr>
        <w:t>1</w:t>
      </w:r>
      <w:r>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t>：</w:t>
      </w:r>
    </w:p>
    <w:tbl>
      <w:tblPr>
        <w:tblStyle w:val="5"/>
        <w:tblpPr w:leftFromText="180" w:rightFromText="180" w:vertAnchor="text" w:horzAnchor="page" w:tblpX="1256" w:tblpY="221"/>
        <w:tblOverlap w:val="never"/>
        <w:tblW w:w="4999" w:type="pct"/>
        <w:tblInd w:w="0" w:type="dxa"/>
        <w:tblLayout w:type="autofit"/>
        <w:tblCellMar>
          <w:top w:w="0" w:type="dxa"/>
          <w:left w:w="108" w:type="dxa"/>
          <w:bottom w:w="0" w:type="dxa"/>
          <w:right w:w="108" w:type="dxa"/>
        </w:tblCellMar>
      </w:tblPr>
      <w:tblGrid>
        <w:gridCol w:w="1012"/>
        <w:gridCol w:w="580"/>
        <w:gridCol w:w="140"/>
        <w:gridCol w:w="1790"/>
        <w:gridCol w:w="314"/>
        <w:gridCol w:w="901"/>
        <w:gridCol w:w="964"/>
        <w:gridCol w:w="680"/>
        <w:gridCol w:w="669"/>
        <w:gridCol w:w="549"/>
        <w:gridCol w:w="1232"/>
        <w:gridCol w:w="228"/>
      </w:tblGrid>
      <w:tr>
        <w:tblPrEx>
          <w:tblCellMar>
            <w:top w:w="0" w:type="dxa"/>
            <w:left w:w="108" w:type="dxa"/>
            <w:bottom w:w="0" w:type="dxa"/>
            <w:right w:w="108" w:type="dxa"/>
          </w:tblCellMar>
        </w:tblPrEx>
        <w:trPr>
          <w:trHeight w:val="675" w:hRule="atLeast"/>
        </w:trPr>
        <w:tc>
          <w:tcPr>
            <w:tcW w:w="4873"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（项目名称：学生营养餐专项）</w:t>
            </w:r>
          </w:p>
        </w:tc>
        <w:tc>
          <w:tcPr>
            <w:tcW w:w="126"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26"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eastAsia="zh-CN" w:bidi="ar"/>
              </w:rPr>
              <w:t>达川区景市</w:t>
            </w:r>
            <w:r>
              <w:rPr>
                <w:rFonts w:hint="eastAsia" w:cs="Times New Roman"/>
                <w:color w:val="000000"/>
                <w:kern w:val="0"/>
                <w:sz w:val="22"/>
                <w:szCs w:val="22"/>
                <w:lang w:eastAsia="zh-CN" w:bidi="ar"/>
              </w:rPr>
              <w:t>初级中学</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bidi="ar"/>
              </w:rPr>
              <w:t>项目预算</w:t>
            </w:r>
          </w:p>
          <w:p>
            <w:pPr>
              <w:widowControl/>
              <w:spacing w:line="320" w:lineRule="exact"/>
              <w:jc w:val="center"/>
              <w:textAlignment w:val="bottom"/>
              <w:rPr>
                <w:rFonts w:hint="eastAsia"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bidi="ar"/>
              </w:rPr>
              <w:t>执行情况</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（万元）</w:t>
            </w: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72.2</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37.96</w:t>
            </w:r>
          </w:p>
        </w:tc>
      </w:tr>
      <w:tr>
        <w:tblPrEx>
          <w:tblCellMar>
            <w:top w:w="0" w:type="dxa"/>
            <w:left w:w="108" w:type="dxa"/>
            <w:bottom w:w="0" w:type="dxa"/>
            <w:right w:w="108" w:type="dxa"/>
          </w:tblCellMar>
        </w:tblPrEx>
        <w:trPr>
          <w:gridAfter w:val="1"/>
          <w:wAfter w:w="126"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37.96</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37.96</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26" w:type="pct"/>
          <w:trHeight w:val="217" w:hRule="atLeast"/>
        </w:trPr>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26" w:type="pct"/>
          <w:trHeight w:val="1297" w:hRule="atLeast"/>
        </w:trPr>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55"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2022年内计划发放营养餐改善计划补助资金</w:t>
            </w:r>
            <w:r>
              <w:rPr>
                <w:rFonts w:hint="eastAsia" w:cs="Times New Roman"/>
                <w:color w:val="000000"/>
                <w:kern w:val="0"/>
                <w:sz w:val="22"/>
                <w:szCs w:val="22"/>
                <w:lang w:val="en-US" w:eastAsia="zh-CN" w:bidi="ar"/>
              </w:rPr>
              <w:t>72.2</w:t>
            </w:r>
            <w:r>
              <w:rPr>
                <w:rFonts w:hint="default" w:ascii="Times New Roman" w:hAnsi="Times New Roman" w:cs="Times New Roman"/>
                <w:color w:val="000000"/>
                <w:kern w:val="0"/>
                <w:sz w:val="22"/>
                <w:szCs w:val="22"/>
                <w:lang w:bidi="ar"/>
              </w:rPr>
              <w:t>万元，涉及补助学生人数</w:t>
            </w:r>
            <w:r>
              <w:rPr>
                <w:rFonts w:hint="eastAsia" w:cs="Times New Roman"/>
                <w:color w:val="000000"/>
                <w:kern w:val="0"/>
                <w:sz w:val="22"/>
                <w:szCs w:val="22"/>
                <w:lang w:val="en-US" w:eastAsia="zh-CN" w:bidi="ar"/>
              </w:rPr>
              <w:t>760</w:t>
            </w:r>
            <w:r>
              <w:rPr>
                <w:rFonts w:hint="default" w:ascii="Times New Roman" w:hAnsi="Times New Roman" w:cs="Times New Roman"/>
                <w:color w:val="000000"/>
                <w:kern w:val="0"/>
                <w:sz w:val="22"/>
                <w:szCs w:val="22"/>
                <w:lang w:bidi="ar"/>
              </w:rPr>
              <w:t>名，目的是改善农村义务教育学生的营养状况，提高农村义务教育学生的健康水平，促进城乡义务教育健康持续发展。</w:t>
            </w:r>
          </w:p>
        </w:tc>
        <w:tc>
          <w:tcPr>
            <w:tcW w:w="2258"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2022年内实际发放营养餐改善计划补助资金</w:t>
            </w:r>
            <w:r>
              <w:rPr>
                <w:rFonts w:hint="eastAsia" w:cs="Times New Roman"/>
                <w:color w:val="000000"/>
                <w:kern w:val="0"/>
                <w:sz w:val="22"/>
                <w:szCs w:val="22"/>
                <w:lang w:val="en-US" w:eastAsia="zh-CN" w:bidi="ar"/>
              </w:rPr>
              <w:t>37.96</w:t>
            </w:r>
            <w:r>
              <w:rPr>
                <w:rFonts w:hint="default" w:ascii="Times New Roman" w:hAnsi="Times New Roman" w:cs="Times New Roman"/>
                <w:color w:val="000000"/>
                <w:kern w:val="0"/>
                <w:sz w:val="22"/>
                <w:szCs w:val="22"/>
                <w:lang w:bidi="ar"/>
              </w:rPr>
              <w:t>万元，涉及补助学生人数</w:t>
            </w:r>
            <w:r>
              <w:rPr>
                <w:rFonts w:hint="eastAsia" w:cs="Times New Roman"/>
                <w:color w:val="000000"/>
                <w:kern w:val="0"/>
                <w:sz w:val="22"/>
                <w:szCs w:val="22"/>
                <w:lang w:val="en-US" w:eastAsia="zh-CN" w:bidi="ar"/>
              </w:rPr>
              <w:t>760</w:t>
            </w:r>
            <w:r>
              <w:rPr>
                <w:rFonts w:hint="default" w:ascii="Times New Roman" w:hAnsi="Times New Roman" w:cs="Times New Roman"/>
                <w:color w:val="000000"/>
                <w:kern w:val="0"/>
                <w:sz w:val="22"/>
                <w:szCs w:val="22"/>
                <w:lang w:bidi="ar"/>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26" w:type="pct"/>
          <w:trHeight w:val="738" w:hRule="atLeast"/>
        </w:trPr>
        <w:tc>
          <w:tcPr>
            <w:tcW w:w="559"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年度绩效指标完成情况</w:t>
            </w:r>
          </w:p>
        </w:tc>
        <w:tc>
          <w:tcPr>
            <w:tcW w:w="397"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预期指标值</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实际完成指标值</w:t>
            </w:r>
          </w:p>
        </w:tc>
      </w:tr>
      <w:tr>
        <w:tblPrEx>
          <w:tblCellMar>
            <w:top w:w="0" w:type="dxa"/>
            <w:left w:w="108" w:type="dxa"/>
            <w:bottom w:w="0" w:type="dxa"/>
            <w:right w:w="108" w:type="dxa"/>
          </w:tblCellMar>
        </w:tblPrEx>
        <w:trPr>
          <w:gridAfter w:val="1"/>
          <w:wAfter w:w="126" w:type="pct"/>
          <w:trHeight w:val="525"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w:t>
            </w:r>
          </w:p>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营养餐补助达标率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99"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营养餐质量合格率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成本指标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补助标准</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950</w:t>
            </w:r>
            <w:r>
              <w:rPr>
                <w:rFonts w:hint="default" w:ascii="Times New Roman" w:hAnsi="Times New Roman" w:cs="Times New Roman"/>
                <w:sz w:val="21"/>
                <w:szCs w:val="21"/>
              </w:rPr>
              <w:t>元/人年</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950</w:t>
            </w:r>
            <w:r>
              <w:rPr>
                <w:rFonts w:hint="default" w:ascii="Times New Roman" w:hAnsi="Times New Roman" w:cs="Times New Roman"/>
                <w:sz w:val="21"/>
                <w:szCs w:val="21"/>
              </w:rPr>
              <w:t>元/人年</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营养餐补助发放准确率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数量指标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营养餐改善计划补助学生人数</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760</w:t>
            </w:r>
            <w:r>
              <w:rPr>
                <w:rFonts w:hint="default" w:ascii="Times New Roman" w:hAnsi="Times New Roman" w:cs="Times New Roman"/>
                <w:sz w:val="21"/>
                <w:szCs w:val="21"/>
              </w:rPr>
              <w:t>人</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760</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26" w:type="pct"/>
          <w:trHeight w:val="40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时效指标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营养餐（蛋、奶等）发放及时率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效益指标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改善学生营养状况</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优</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营养餐应吃尽吃率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可持续影响指标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学生营养膳食补助政策健全性</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优</w:t>
            </w:r>
          </w:p>
        </w:tc>
      </w:tr>
      <w:tr>
        <w:tblPrEx>
          <w:tblCellMar>
            <w:top w:w="0" w:type="dxa"/>
            <w:left w:w="108" w:type="dxa"/>
            <w:bottom w:w="0" w:type="dxa"/>
            <w:right w:w="108" w:type="dxa"/>
          </w:tblCellMar>
        </w:tblPrEx>
        <w:trPr>
          <w:gridAfter w:val="1"/>
          <w:wAfter w:w="126" w:type="pct"/>
          <w:trHeight w:val="20" w:hRule="atLeast"/>
        </w:trPr>
        <w:tc>
          <w:tcPr>
            <w:tcW w:w="559"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满意度指标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2"/>
                <w:szCs w:val="22"/>
              </w:rPr>
            </w:pPr>
            <w:r>
              <w:rPr>
                <w:rFonts w:hint="default" w:ascii="Times New Roman" w:hAnsi="Times New Roman" w:cs="Times New Roman"/>
                <w:sz w:val="21"/>
                <w:szCs w:val="21"/>
              </w:rPr>
              <w:t>满意度指标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受惠学生满意度</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w:t>
            </w:r>
            <w:r>
              <w:rPr>
                <w:rFonts w:hint="eastAsia" w:cs="Times New Roman"/>
                <w:color w:val="000000"/>
                <w:sz w:val="22"/>
                <w:szCs w:val="22"/>
                <w:lang w:val="en-US" w:eastAsia="zh-CN"/>
              </w:rPr>
              <w:t>8</w:t>
            </w:r>
            <w:r>
              <w:rPr>
                <w:rFonts w:hint="default" w:ascii="Times New Roman" w:hAnsi="Times New Roman" w:cs="Times New Roman"/>
                <w:color w:val="000000"/>
                <w:sz w:val="22"/>
                <w:szCs w:val="22"/>
              </w:rPr>
              <w:t>%</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bl>
    <w:p>
      <w:pPr>
        <w:pStyle w:val="2"/>
        <w:rPr>
          <w:rFonts w:hint="default" w:ascii="Times New Roman" w:hAnsi="Times New Roman" w:cs="Times New Roman"/>
          <w:lang w:val="zh-CN"/>
        </w:rPr>
      </w:pPr>
    </w:p>
    <w:p>
      <w:pPr>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附表2：</w:t>
      </w:r>
    </w:p>
    <w:tbl>
      <w:tblPr>
        <w:tblStyle w:val="5"/>
        <w:tblpPr w:leftFromText="180" w:rightFromText="180" w:vertAnchor="text" w:horzAnchor="page" w:tblpX="1256" w:tblpY="221"/>
        <w:tblOverlap w:val="never"/>
        <w:tblW w:w="4994" w:type="pct"/>
        <w:tblInd w:w="0" w:type="dxa"/>
        <w:tblLayout w:type="autofit"/>
        <w:tblCellMar>
          <w:top w:w="0" w:type="dxa"/>
          <w:left w:w="108" w:type="dxa"/>
          <w:bottom w:w="0" w:type="dxa"/>
          <w:right w:w="108" w:type="dxa"/>
        </w:tblCellMar>
      </w:tblPr>
      <w:tblGrid>
        <w:gridCol w:w="1004"/>
        <w:gridCol w:w="582"/>
        <w:gridCol w:w="147"/>
        <w:gridCol w:w="1784"/>
        <w:gridCol w:w="318"/>
        <w:gridCol w:w="908"/>
        <w:gridCol w:w="957"/>
        <w:gridCol w:w="683"/>
        <w:gridCol w:w="665"/>
        <w:gridCol w:w="568"/>
        <w:gridCol w:w="1211"/>
        <w:gridCol w:w="223"/>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eastAsia="zh-CN" w:bidi="ar"/>
              </w:rPr>
              <w:t>达川区景市</w:t>
            </w:r>
            <w:r>
              <w:rPr>
                <w:rFonts w:hint="eastAsia" w:cs="Times New Roman"/>
                <w:color w:val="000000"/>
                <w:kern w:val="0"/>
                <w:sz w:val="22"/>
                <w:szCs w:val="22"/>
                <w:lang w:eastAsia="zh-CN" w:bidi="ar"/>
              </w:rPr>
              <w:t>初级中学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bidi="ar"/>
              </w:rPr>
              <w:t>项目预算</w:t>
            </w:r>
          </w:p>
          <w:p>
            <w:pPr>
              <w:widowControl/>
              <w:spacing w:line="320" w:lineRule="exact"/>
              <w:jc w:val="center"/>
              <w:textAlignment w:val="bottom"/>
              <w:rPr>
                <w:rFonts w:hint="eastAsia"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bidi="ar"/>
              </w:rPr>
              <w:t>执行情况</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（万元）</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cs="Times New Roman"/>
                <w:color w:val="000000"/>
                <w:kern w:val="0"/>
                <w:sz w:val="22"/>
                <w:szCs w:val="22"/>
                <w:lang w:val="en-US" w:eastAsia="zh-CN" w:bidi="ar"/>
              </w:rPr>
              <w:t>3</w:t>
            </w:r>
            <w:r>
              <w:rPr>
                <w:rFonts w:hint="default" w:ascii="Times New Roman" w:hAnsi="Times New Roman" w:cs="Times New Roman"/>
                <w:color w:val="000000"/>
                <w:kern w:val="0"/>
                <w:sz w:val="22"/>
                <w:szCs w:val="22"/>
                <w:lang w:eastAsia="zh-CN" w:bidi="ar"/>
              </w:rPr>
              <w:t>.</w:t>
            </w:r>
            <w:r>
              <w:rPr>
                <w:rFonts w:hint="eastAsia" w:cs="Times New Roman"/>
                <w:color w:val="000000"/>
                <w:kern w:val="0"/>
                <w:sz w:val="22"/>
                <w:szCs w:val="22"/>
                <w:lang w:val="en-US" w:eastAsia="zh-CN" w:bidi="ar"/>
              </w:rPr>
              <w:t>00</w:t>
            </w:r>
          </w:p>
        </w:tc>
      </w:tr>
      <w:tr>
        <w:tblPrEx>
          <w:tblCellMar>
            <w:top w:w="0" w:type="dxa"/>
            <w:left w:w="108" w:type="dxa"/>
            <w:bottom w:w="0" w:type="dxa"/>
            <w:right w:w="108" w:type="dxa"/>
          </w:tblCellMar>
        </w:tblPrEx>
        <w:trPr>
          <w:gridAfter w:val="1"/>
          <w:wAfter w:w="118" w:type="pct"/>
          <w:trHeight w:val="275"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cs="Times New Roman"/>
                <w:color w:val="000000"/>
                <w:kern w:val="0"/>
                <w:sz w:val="22"/>
                <w:szCs w:val="22"/>
                <w:lang w:val="en-US" w:eastAsia="zh-CN" w:bidi="ar"/>
              </w:rPr>
              <w:t>3.</w:t>
            </w:r>
            <w:r>
              <w:rPr>
                <w:rFonts w:hint="eastAsia" w:cs="Times New Roman"/>
                <w:color w:val="000000"/>
                <w:kern w:val="0"/>
                <w:sz w:val="22"/>
                <w:szCs w:val="22"/>
                <w:lang w:val="en-US" w:eastAsia="zh-CN" w:bidi="ar"/>
              </w:rPr>
              <w:t>00</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18" w:type="pct"/>
          <w:trHeight w:val="217"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68"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2022年内计划发放学校物业管理服务费</w:t>
            </w:r>
            <w:r>
              <w:rPr>
                <w:rFonts w:hint="eastAsia" w:cs="Times New Roman"/>
                <w:color w:val="000000"/>
                <w:kern w:val="0"/>
                <w:sz w:val="22"/>
                <w:szCs w:val="22"/>
                <w:lang w:val="en-US" w:eastAsia="zh-CN" w:bidi="ar"/>
              </w:rPr>
              <w:t>3</w:t>
            </w:r>
            <w:r>
              <w:rPr>
                <w:rFonts w:hint="default" w:ascii="Times New Roman" w:hAnsi="Times New Roman" w:cs="Times New Roman"/>
                <w:color w:val="000000"/>
                <w:kern w:val="0"/>
                <w:sz w:val="22"/>
                <w:szCs w:val="22"/>
                <w:lang w:bidi="ar"/>
              </w:rPr>
              <w:t>万元，涉及补贴对象数量</w:t>
            </w:r>
            <w:r>
              <w:rPr>
                <w:rFonts w:hint="eastAsia" w:cs="Times New Roman"/>
                <w:color w:val="000000"/>
                <w:kern w:val="0"/>
                <w:sz w:val="22"/>
                <w:szCs w:val="22"/>
                <w:lang w:val="en-US" w:eastAsia="zh-CN" w:bidi="ar"/>
              </w:rPr>
              <w:t>2</w:t>
            </w:r>
            <w:r>
              <w:rPr>
                <w:rFonts w:hint="default" w:ascii="Times New Roman" w:hAnsi="Times New Roman" w:cs="Times New Roman"/>
                <w:color w:val="000000"/>
                <w:kern w:val="0"/>
                <w:sz w:val="22"/>
                <w:szCs w:val="22"/>
                <w:lang w:bidi="ar"/>
              </w:rPr>
              <w:t>人，目的是维护学校正常教育教学秩序，保障学校及师生的人身、财产安全。</w:t>
            </w:r>
          </w:p>
        </w:tc>
        <w:tc>
          <w:tcPr>
            <w:tcW w:w="2257"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2022年实际发放学校物业管理服务费</w:t>
            </w:r>
            <w:r>
              <w:rPr>
                <w:rFonts w:hint="default" w:ascii="Times New Roman" w:hAnsi="Times New Roman" w:cs="Times New Roman"/>
                <w:color w:val="000000"/>
                <w:kern w:val="0"/>
                <w:sz w:val="22"/>
                <w:szCs w:val="22"/>
                <w:lang w:val="en-US" w:eastAsia="zh-CN" w:bidi="ar"/>
              </w:rPr>
              <w:t>3</w:t>
            </w:r>
            <w:r>
              <w:rPr>
                <w:rFonts w:hint="default" w:ascii="Times New Roman" w:hAnsi="Times New Roman" w:cs="Times New Roman"/>
                <w:color w:val="000000"/>
                <w:kern w:val="0"/>
                <w:sz w:val="22"/>
                <w:szCs w:val="22"/>
                <w:lang w:bidi="ar"/>
              </w:rPr>
              <w:t>万元，涉及补贴对象数量</w:t>
            </w:r>
            <w:r>
              <w:rPr>
                <w:rFonts w:hint="eastAsia" w:cs="Times New Roman"/>
                <w:color w:val="000000"/>
                <w:kern w:val="0"/>
                <w:sz w:val="22"/>
                <w:szCs w:val="22"/>
                <w:lang w:val="en-US" w:eastAsia="zh-CN" w:bidi="ar"/>
              </w:rPr>
              <w:t>2</w:t>
            </w:r>
            <w:r>
              <w:rPr>
                <w:rFonts w:hint="default" w:ascii="Times New Roman" w:hAnsi="Times New Roman" w:cs="Times New Roman"/>
                <w:color w:val="000000"/>
                <w:kern w:val="0"/>
                <w:sz w:val="22"/>
                <w:szCs w:val="22"/>
                <w:lang w:bidi="ar"/>
              </w:rPr>
              <w:t>人，维护了学校正常教育教学秩序，保障了学校及师生的人身、财产安全。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年度绩效指标完成情况</w:t>
            </w:r>
          </w:p>
        </w:tc>
        <w:tc>
          <w:tcPr>
            <w:tcW w:w="404"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预期指标值</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完成</w:t>
            </w:r>
          </w:p>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数量指标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专职保安人员聘请数量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人</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18" w:type="pct"/>
          <w:trHeight w:val="499"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保安人员正常到岗率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成本指标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项目成本控制数</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万元/人年</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万元/人年</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专职保安人员工资发放准确率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时效指标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专职保安人员工资发放及时率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0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保安人员资质符合率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保障学师生人身财产安全</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维护学校正常教育教学秩序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可持续影响指标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物业管理服务制度健全性</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20" w:hRule="atLeast"/>
        </w:trPr>
        <w:tc>
          <w:tcPr>
            <w:tcW w:w="555"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满意度指标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师生满意度</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w:t>
            </w:r>
            <w:r>
              <w:rPr>
                <w:rFonts w:hint="eastAsia" w:cs="Times New Roman"/>
                <w:color w:val="000000"/>
                <w:sz w:val="21"/>
                <w:szCs w:val="21"/>
                <w:lang w:val="en-US" w:eastAsia="zh-CN"/>
              </w:rPr>
              <w:t>6</w:t>
            </w:r>
            <w:r>
              <w:rPr>
                <w:rFonts w:hint="default" w:ascii="Times New Roman" w:hAnsi="Times New Roman" w:cs="Times New Roman"/>
                <w:color w:val="000000"/>
                <w:sz w:val="21"/>
                <w:szCs w:val="21"/>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w:t>
            </w:r>
          </w:p>
        </w:tc>
      </w:tr>
    </w:tbl>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highlight w:val="red"/>
          <w:lang w:val="en-US" w:eastAsia="zh-CN"/>
        </w:rPr>
        <w:sectPr>
          <w:headerReference r:id="rId3" w:type="default"/>
          <w:pgSz w:w="11906" w:h="16838"/>
          <w:pgMar w:top="1701" w:right="1474" w:bottom="1134" w:left="1587" w:header="851" w:footer="992" w:gutter="0"/>
          <w:pgNumType w:fmt="numberInDash" w:start="16"/>
          <w:cols w:space="0" w:num="1"/>
          <w:rtlGutter w:val="0"/>
          <w:docGrid w:type="lines" w:linePitch="437" w:charSpace="0"/>
        </w:sectPr>
      </w:pPr>
    </w:p>
    <w:tbl>
      <w:tblPr>
        <w:tblStyle w:val="5"/>
        <w:tblW w:w="4993" w:type="pct"/>
        <w:tblInd w:w="0" w:type="dxa"/>
        <w:tblLayout w:type="autofit"/>
        <w:tblCellMar>
          <w:top w:w="0" w:type="dxa"/>
          <w:left w:w="108" w:type="dxa"/>
          <w:bottom w:w="0" w:type="dxa"/>
          <w:right w:w="108" w:type="dxa"/>
        </w:tblCellMar>
      </w:tblPr>
      <w:tblGrid>
        <w:gridCol w:w="995"/>
        <w:gridCol w:w="837"/>
        <w:gridCol w:w="706"/>
        <w:gridCol w:w="611"/>
        <w:gridCol w:w="587"/>
        <w:gridCol w:w="2334"/>
        <w:gridCol w:w="5566"/>
        <w:gridCol w:w="718"/>
        <w:gridCol w:w="718"/>
        <w:gridCol w:w="718"/>
        <w:gridCol w:w="718"/>
        <w:gridCol w:w="767"/>
      </w:tblGrid>
      <w:tr>
        <w:tblPrEx>
          <w:tblCellMar>
            <w:top w:w="0" w:type="dxa"/>
            <w:left w:w="108" w:type="dxa"/>
            <w:bottom w:w="0" w:type="dxa"/>
            <w:right w:w="108" w:type="dxa"/>
          </w:tblCellMar>
        </w:tblPrEx>
        <w:trPr>
          <w:trHeight w:val="594" w:hRule="atLeast"/>
        </w:trPr>
        <w:tc>
          <w:tcPr>
            <w:tcW w:w="600" w:type="pct"/>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hint="default" w:ascii="Times New Roman" w:hAnsi="Times New Roman" w:eastAsia="仿宋_GB2312" w:cs="Times New Roman"/>
                <w:b/>
                <w:bCs/>
                <w:color w:val="000000"/>
                <w:sz w:val="24"/>
                <w:lang w:val="en-US" w:eastAsia="zh-CN"/>
              </w:rPr>
            </w:pPr>
            <w:r>
              <w:rPr>
                <w:rFonts w:hint="default" w:ascii="Times New Roman" w:hAnsi="Times New Roman" w:cs="Times New Roman"/>
                <w:color w:val="000000"/>
                <w:kern w:val="0"/>
                <w:szCs w:val="32"/>
                <w:shd w:val="clear" w:color="auto" w:fill="FFFFFF"/>
                <w:lang w:val="zh-CN"/>
              </w:rPr>
              <w:t>附件</w:t>
            </w:r>
            <w:r>
              <w:rPr>
                <w:rFonts w:hint="eastAsia" w:cs="Times New Roman"/>
                <w:color w:val="000000"/>
                <w:kern w:val="0"/>
                <w:szCs w:val="32"/>
                <w:shd w:val="clear" w:color="auto" w:fill="FFFFFF"/>
                <w:lang w:val="en-US" w:eastAsia="zh-CN"/>
              </w:rPr>
              <w:t>3</w:t>
            </w:r>
            <w:r>
              <w:rPr>
                <w:rFonts w:hint="default" w:ascii="Times New Roman" w:hAnsi="Times New Roman" w:cs="Times New Roman"/>
                <w:color w:val="000000"/>
                <w:kern w:val="0"/>
                <w:szCs w:val="32"/>
                <w:shd w:val="clear" w:color="auto" w:fill="FFFFFF"/>
                <w:lang w:val="en-US" w:eastAsia="zh-CN"/>
              </w:rPr>
              <w:t>：</w:t>
            </w:r>
          </w:p>
        </w:tc>
        <w:tc>
          <w:tcPr>
            <w:tcW w:w="231"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200"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192"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764" w:type="pct"/>
            <w:tcBorders>
              <w:top w:val="nil"/>
              <w:left w:val="nil"/>
              <w:bottom w:val="nil"/>
              <w:right w:val="nil"/>
            </w:tcBorders>
            <w:shd w:val="clear" w:color="auto" w:fill="auto"/>
            <w:vAlign w:val="center"/>
          </w:tcPr>
          <w:p>
            <w:pPr>
              <w:jc w:val="left"/>
              <w:rPr>
                <w:rFonts w:hint="default" w:ascii="Times New Roman" w:hAnsi="Times New Roman" w:eastAsia="宋体" w:cs="Times New Roman"/>
                <w:color w:val="000000"/>
                <w:sz w:val="24"/>
              </w:rPr>
            </w:pPr>
          </w:p>
        </w:tc>
        <w:tc>
          <w:tcPr>
            <w:tcW w:w="1820"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24"/>
              </w:rPr>
            </w:pPr>
          </w:p>
        </w:tc>
        <w:tc>
          <w:tcPr>
            <w:tcW w:w="250"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24"/>
              </w:rPr>
            </w:pPr>
          </w:p>
        </w:tc>
      </w:tr>
      <w:tr>
        <w:tblPrEx>
          <w:tblCellMar>
            <w:top w:w="0" w:type="dxa"/>
            <w:left w:w="108" w:type="dxa"/>
            <w:bottom w:w="0" w:type="dxa"/>
            <w:right w:w="108" w:type="dxa"/>
          </w:tblCellMar>
        </w:tblPrEx>
        <w:trPr>
          <w:trHeight w:val="1187" w:hRule="atLeast"/>
        </w:trPr>
        <w:tc>
          <w:tcPr>
            <w:tcW w:w="5000" w:type="pct"/>
            <w:gridSpan w:val="12"/>
            <w:tcBorders>
              <w:top w:val="nil"/>
              <w:left w:val="nil"/>
              <w:bottom w:val="single" w:color="000000" w:sz="4" w:space="0"/>
              <w:right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32"/>
              </w:rPr>
            </w:pPr>
            <w:r>
              <w:rPr>
                <w:rFonts w:hint="default" w:ascii="Times New Roman" w:hAnsi="Times New Roman" w:eastAsia="宋体" w:cs="Times New Roman"/>
                <w:b/>
                <w:bCs/>
                <w:color w:val="000000"/>
                <w:kern w:val="0"/>
                <w:szCs w:val="32"/>
                <w:lang w:eastAsia="zh-CN" w:bidi="ar"/>
              </w:rPr>
              <w:t>达川区景市</w:t>
            </w:r>
            <w:r>
              <w:rPr>
                <w:rFonts w:hint="eastAsia" w:eastAsia="宋体" w:cs="Times New Roman"/>
                <w:b/>
                <w:bCs/>
                <w:color w:val="000000"/>
                <w:kern w:val="0"/>
                <w:szCs w:val="32"/>
                <w:lang w:eastAsia="zh-CN" w:bidi="ar"/>
              </w:rPr>
              <w:t>初级中学</w:t>
            </w:r>
            <w:r>
              <w:rPr>
                <w:rFonts w:hint="default" w:ascii="Times New Roman" w:hAnsi="Times New Roman" w:eastAsia="宋体" w:cs="Times New Roman"/>
                <w:b/>
                <w:bCs/>
                <w:color w:val="000000"/>
                <w:kern w:val="0"/>
                <w:szCs w:val="32"/>
                <w:lang w:bidi="ar"/>
              </w:rPr>
              <w:t>2023年整体支出绩效评价</w:t>
            </w:r>
          </w:p>
        </w:tc>
      </w:tr>
      <w:tr>
        <w:tblPrEx>
          <w:tblCellMar>
            <w:top w:w="0" w:type="dxa"/>
            <w:left w:w="108" w:type="dxa"/>
            <w:bottom w:w="0" w:type="dxa"/>
            <w:right w:w="108" w:type="dxa"/>
          </w:tblCellMar>
        </w:tblPrEx>
        <w:trPr>
          <w:trHeight w:val="362"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绩效指标</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指标分值</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评价得分</w:t>
            </w:r>
          </w:p>
        </w:tc>
        <w:tc>
          <w:tcPr>
            <w:tcW w:w="7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指标解释</w:t>
            </w:r>
          </w:p>
        </w:tc>
        <w:tc>
          <w:tcPr>
            <w:tcW w:w="18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计分标准</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评价方式</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评价属性</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备注</w:t>
            </w:r>
          </w:p>
        </w:tc>
      </w:tr>
      <w:tr>
        <w:tblPrEx>
          <w:tblCellMar>
            <w:top w:w="0" w:type="dxa"/>
            <w:left w:w="108" w:type="dxa"/>
            <w:bottom w:w="0" w:type="dxa"/>
            <w:right w:w="108" w:type="dxa"/>
          </w:tblCellMar>
        </w:tblPrEx>
        <w:trPr>
          <w:trHeight w:val="100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一级指标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二级指标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三级指标</w:t>
            </w: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7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18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整体评价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样本评价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定性评价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定量评价</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362"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得分合计</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lang w:val="en-US" w:eastAsia="zh-CN"/>
              </w:rPr>
            </w:pPr>
            <w:r>
              <w:rPr>
                <w:rFonts w:hint="eastAsia" w:eastAsia="宋体" w:cs="Times New Roman"/>
                <w:b/>
                <w:bCs/>
                <w:color w:val="000000"/>
                <w:sz w:val="18"/>
                <w:szCs w:val="18"/>
                <w:lang w:val="en-US" w:eastAsia="zh-CN"/>
              </w:rPr>
              <w:t>84</w:t>
            </w:r>
          </w:p>
        </w:tc>
        <w:tc>
          <w:tcPr>
            <w:tcW w:w="2778" w:type="pct"/>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1999"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部门预算项目绩效管理（40分）</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目标管理（15分）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目标制定</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评价部门绩效目标是否要素完整、细化量化并集体决策。</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98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目标实现</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Times New Roman" w:hAnsi="Times New Roman" w:eastAsia="宋体" w:cs="Times New Roman"/>
                <w:color w:val="000000"/>
                <w:sz w:val="20"/>
                <w:szCs w:val="20"/>
                <w:lang w:eastAsia="zh-CN"/>
              </w:rPr>
            </w:pPr>
            <w:r>
              <w:rPr>
                <w:rFonts w:hint="eastAsia" w:eastAsia="宋体" w:cs="Times New Roman"/>
                <w:color w:val="000000"/>
                <w:sz w:val="20"/>
                <w:szCs w:val="20"/>
                <w:lang w:val="en-US" w:eastAsia="zh-CN"/>
              </w:rPr>
              <w:t>8</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评价部门绩效目标实际实现程度与预期目标的偏离度。</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部门</w:t>
            </w:r>
            <w:r>
              <w:rPr>
                <w:rFonts w:hint="default" w:ascii="Times New Roman" w:hAnsi="Times New Roman" w:eastAsia="宋体" w:cs="Times New Roman"/>
                <w:kern w:val="0"/>
                <w:sz w:val="16"/>
                <w:szCs w:val="16"/>
                <w:lang w:bidi="ar"/>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动态调整（10分）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支出控制</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部门公用经费及非定额公用支出控制情况。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325"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及时处置</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评价部门开展绩效运行监控后，将绩效监控结果应用到预算调整的情况。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205"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执行进度</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评价部门在6、9、11月的预算执行情况。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部门预算执行进度在6、9、11月应达到序时进度的80%、90%、</w:t>
            </w:r>
            <w:r>
              <w:rPr>
                <w:rFonts w:hint="default" w:ascii="Times New Roman" w:hAnsi="Times New Roman" w:eastAsia="宋体" w:cs="Times New Roman"/>
                <w:color w:val="FF0000"/>
                <w:kern w:val="0"/>
                <w:sz w:val="20"/>
                <w:szCs w:val="20"/>
                <w:lang w:bidi="ar"/>
              </w:rPr>
              <w:t>95%</w:t>
            </w:r>
            <w:r>
              <w:rPr>
                <w:rFonts w:hint="default" w:ascii="Times New Roman" w:hAnsi="Times New Roman" w:eastAsia="宋体" w:cs="Times New Roman"/>
                <w:color w:val="000000"/>
                <w:kern w:val="0"/>
                <w:sz w:val="20"/>
                <w:szCs w:val="20"/>
                <w:lang w:bidi="ar"/>
              </w:rPr>
              <w:t>，即实际支出进度分别达到</w:t>
            </w:r>
            <w:r>
              <w:rPr>
                <w:rFonts w:hint="eastAsia" w:ascii="Times New Roman" w:hAnsi="Times New Roman" w:eastAsia="宋体" w:cs="Times New Roman"/>
                <w:color w:val="000000"/>
                <w:kern w:val="0"/>
                <w:sz w:val="20"/>
                <w:szCs w:val="20"/>
                <w:lang w:val="en-US" w:eastAsia="zh-CN" w:bidi="ar"/>
              </w:rPr>
              <w:t>46.92</w:t>
            </w:r>
            <w:r>
              <w:rPr>
                <w:rFonts w:hint="default" w:ascii="Times New Roman" w:hAnsi="Times New Roman" w:eastAsia="宋体" w:cs="Times New Roman"/>
                <w:color w:val="000000"/>
                <w:kern w:val="0"/>
                <w:sz w:val="20"/>
                <w:szCs w:val="20"/>
                <w:lang w:val="zh-CN" w:bidi="ar"/>
              </w:rPr>
              <w:t>%、</w:t>
            </w:r>
            <w:r>
              <w:rPr>
                <w:rFonts w:hint="eastAsia" w:ascii="Times New Roman" w:hAnsi="Times New Roman" w:eastAsia="宋体" w:cs="Times New Roman"/>
                <w:color w:val="000000"/>
                <w:kern w:val="0"/>
                <w:sz w:val="20"/>
                <w:szCs w:val="20"/>
                <w:lang w:val="en-US" w:eastAsia="zh-CN" w:bidi="ar"/>
              </w:rPr>
              <w:t>51.08</w:t>
            </w:r>
            <w:r>
              <w:rPr>
                <w:rFonts w:hint="default" w:ascii="Times New Roman" w:hAnsi="Times New Roman" w:eastAsia="宋体" w:cs="Times New Roman"/>
                <w:color w:val="000000"/>
                <w:kern w:val="0"/>
                <w:sz w:val="20"/>
                <w:szCs w:val="20"/>
                <w:lang w:val="zh-CN" w:bidi="ar"/>
              </w:rPr>
              <w:t xml:space="preserve">%、 </w:t>
            </w:r>
            <w:r>
              <w:rPr>
                <w:rFonts w:hint="eastAsia" w:ascii="Times New Roman" w:hAnsi="Times New Roman" w:eastAsia="宋体" w:cs="Times New Roman"/>
                <w:color w:val="000000"/>
                <w:kern w:val="0"/>
                <w:sz w:val="20"/>
                <w:szCs w:val="20"/>
                <w:lang w:val="en-US" w:eastAsia="zh-CN" w:bidi="ar"/>
              </w:rPr>
              <w:t>76.29</w:t>
            </w:r>
            <w:r>
              <w:rPr>
                <w:rFonts w:hint="default" w:ascii="Times New Roman" w:hAnsi="Times New Roman" w:eastAsia="宋体" w:cs="Times New Roman"/>
                <w:color w:val="000000"/>
                <w:kern w:val="0"/>
                <w:sz w:val="20"/>
                <w:szCs w:val="20"/>
                <w:lang w:val="zh-CN" w:bidi="ar"/>
              </w:rPr>
              <w:t>%</w:t>
            </w:r>
            <w:r>
              <w:rPr>
                <w:rFonts w:hint="eastAsia" w:ascii="Times New Roman" w:hAnsi="Times New Roman" w:eastAsia="宋体" w:cs="Times New Roman"/>
                <w:color w:val="000000"/>
                <w:kern w:val="0"/>
                <w:sz w:val="20"/>
                <w:szCs w:val="20"/>
                <w:lang w:val="zh-CN" w:bidi="ar"/>
              </w:rPr>
              <w:t>。</w:t>
            </w:r>
            <w:r>
              <w:rPr>
                <w:rFonts w:hint="default" w:ascii="Times New Roman" w:hAnsi="Times New Roman" w:eastAsia="宋体" w:cs="Times New Roman"/>
                <w:color w:val="000000"/>
                <w:kern w:val="0"/>
                <w:sz w:val="20"/>
                <w:szCs w:val="20"/>
                <w:lang w:bidi="ar"/>
              </w:rPr>
              <w:t xml:space="preserve">                                                   6、9、11月部门预算执行进度达到量化指标的分别得1分、1分、2分，未达到目标进度的按其实际进度占目标进度的比重计算得分。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完成效率（15分）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预算完成</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eastAsia="zh-CN"/>
              </w:rPr>
            </w:pPr>
            <w:r>
              <w:rPr>
                <w:rFonts w:hint="eastAsia" w:eastAsia="宋体" w:cs="Times New Roman"/>
                <w:color w:val="000000"/>
                <w:sz w:val="20"/>
                <w:szCs w:val="20"/>
                <w:lang w:val="en-US" w:eastAsia="zh-CN"/>
              </w:rPr>
              <w:t>3</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评价部门预算项目年终预算执行情况。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部门预算项目12月预算执行进度达到100%的，得5分，未达100%的，按照实际进度量化计算得分。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资金结余率</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val="en-US" w:eastAsia="zh-CN"/>
              </w:rPr>
            </w:pPr>
            <w:r>
              <w:rPr>
                <w:rFonts w:hint="eastAsia" w:eastAsia="宋体" w:cs="Times New Roman"/>
                <w:color w:val="000000"/>
                <w:sz w:val="20"/>
                <w:szCs w:val="20"/>
                <w:lang w:val="en-US" w:eastAsia="zh-CN"/>
              </w:rPr>
              <w:t>8</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评价部门预算项目年终资金结余情况。                 </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部门预算项目资金结余率小于0.1的项目数/部门预算项目总数*8。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（低效无效率）</w:t>
            </w: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违规记录</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根据审计监督、财政检查等结果反映部门上一年度部门预算管理是否合规。</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依据评价年度审计监督、财政检查结果，出现部门预算管理方面违纪违规问题的，每个问题扣0.2</w:t>
            </w:r>
            <w:bookmarkStart w:id="3" w:name="_GoBack"/>
            <w:bookmarkEnd w:id="3"/>
            <w:r>
              <w:rPr>
                <w:rFonts w:hint="default" w:ascii="Times New Roman" w:hAnsi="Times New Roman" w:eastAsia="宋体" w:cs="Times New Roman"/>
                <w:color w:val="000000"/>
                <w:kern w:val="0"/>
                <w:sz w:val="20"/>
                <w:szCs w:val="20"/>
                <w:lang w:bidi="ar"/>
              </w:rPr>
              <w:t>分，直至扣完。</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专项预算项目绩效管理（40分）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专项预算项目绩效管理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项目个数（*个)</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40</w:t>
            </w:r>
          </w:p>
        </w:tc>
        <w:tc>
          <w:tcPr>
            <w:tcW w:w="377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绩效结果应用（10分）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内部应用（4分）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预算挂钩</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部门内部绩效结果与预算挂钩情况。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将内设机构和下属单位绩效自评纳入考核体系，建立对内设机构和下属单位预算与绩效挂钩机制的，得4分，否则酌情扣分。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信息公开（2分）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自评公开</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评价部门是否按要求将部门整体绩效自评情况和自行组织的评价情况向社会公开。</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按要求将相关绩效信息随同决算公开的，得2分，否则不得分。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整改反馈（4分）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问题整改</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评价部门根据绩效管理结果整改问题、完善政策、改进管理的情况。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针对绩效管理过程中（包括绩效目标核查、绩效监控核查和重点绩效评价）提出的问题进行整改，得2分，否则酌情扣分。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应用反馈</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评价部门按要求及时向财政部门反馈结果应用情况。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部门在规定时间内向财政部门反馈应用绩效结果报告的，得2分，否则不得分。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评价部门整体支出自评准确率。</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50"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扣分项（10分）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被评价单位配合评价工作情况。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bl>
    <w:p>
      <w:pPr>
        <w:pStyle w:val="2"/>
        <w:rPr>
          <w:rFonts w:hint="default" w:ascii="Times New Roman" w:hAnsi="Times New Roman" w:cs="Times New Roman"/>
          <w:sz w:val="18"/>
          <w:szCs w:val="18"/>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08E5AD64-B668-4FD9-B709-4FE1F22C6D75}"/>
  </w:font>
  <w:font w:name="方正小标宋_GBK">
    <w:panose1 w:val="03000509000000000000"/>
    <w:charset w:val="86"/>
    <w:family w:val="auto"/>
    <w:pitch w:val="default"/>
    <w:sig w:usb0="00000001" w:usb1="080E0000" w:usb2="00000000" w:usb3="00000000" w:csb0="00040000" w:csb1="00000000"/>
    <w:embedRegular r:id="rId2" w:fontKey="{EB2C6B85-201B-4183-B4AF-75E778CC1945}"/>
  </w:font>
  <w:font w:name="仿宋">
    <w:panose1 w:val="02010609060101010101"/>
    <w:charset w:val="86"/>
    <w:family w:val="modern"/>
    <w:pitch w:val="default"/>
    <w:sig w:usb0="800002BF" w:usb1="38CF7CFA" w:usb2="00000016" w:usb3="00000000" w:csb0="00040001" w:csb1="00000000"/>
    <w:embedRegular r:id="rId3" w:fontKey="{26493BD3-211E-423F-873F-E3C1934DA634}"/>
  </w:font>
  <w:font w:name="方正仿宋_GBK">
    <w:panose1 w:val="03000509000000000000"/>
    <w:charset w:val="86"/>
    <w:family w:val="auto"/>
    <w:pitch w:val="default"/>
    <w:sig w:usb0="00000001" w:usb1="080E0000" w:usb2="00000000" w:usb3="00000000" w:csb0="00040000" w:csb1="00000000"/>
    <w:embedRegular r:id="rId4" w:fontKey="{BD8910E8-2C5C-4F94-A8AB-BC7377CD6A1D}"/>
  </w:font>
  <w:font w:name="方正黑体_GBK">
    <w:panose1 w:val="03000509000000000000"/>
    <w:charset w:val="86"/>
    <w:family w:val="auto"/>
    <w:pitch w:val="default"/>
    <w:sig w:usb0="00000001" w:usb1="080E0000" w:usb2="00000000" w:usb3="00000000" w:csb0="00040000" w:csb1="00000000"/>
    <w:embedRegular r:id="rId5" w:fontKey="{1EB61DE3-AB50-462F-A5CD-6A20BEA721C5}"/>
  </w:font>
  <w:font w:name="方正楷体_GBK">
    <w:panose1 w:val="03000509000000000000"/>
    <w:charset w:val="86"/>
    <w:family w:val="auto"/>
    <w:pitch w:val="default"/>
    <w:sig w:usb0="00000001" w:usb1="080E0000" w:usb2="00000000" w:usb3="00000000" w:csb0="00040000" w:csb1="00000000"/>
    <w:embedRegular r:id="rId6" w:fontKey="{A120D55D-E96B-48DC-BEF2-E1837238C5A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E5Mzc2YjQyYjkyOTE3NDY0Yjg4ZjFkNDJiNWYifQ=="/>
  </w:docVars>
  <w:rsids>
    <w:rsidRoot w:val="24DD0D9F"/>
    <w:rsid w:val="004E502D"/>
    <w:rsid w:val="00667963"/>
    <w:rsid w:val="008F4A47"/>
    <w:rsid w:val="00C77B0F"/>
    <w:rsid w:val="02546A72"/>
    <w:rsid w:val="02675F92"/>
    <w:rsid w:val="030777EC"/>
    <w:rsid w:val="0329668A"/>
    <w:rsid w:val="0345351B"/>
    <w:rsid w:val="038B7230"/>
    <w:rsid w:val="03EE05AA"/>
    <w:rsid w:val="03F2150D"/>
    <w:rsid w:val="03F34AF1"/>
    <w:rsid w:val="03F93B1B"/>
    <w:rsid w:val="046D40D6"/>
    <w:rsid w:val="04A80415"/>
    <w:rsid w:val="05160BC6"/>
    <w:rsid w:val="053553CA"/>
    <w:rsid w:val="05485DF6"/>
    <w:rsid w:val="056B1570"/>
    <w:rsid w:val="05CD4745"/>
    <w:rsid w:val="06302C4A"/>
    <w:rsid w:val="06A0572A"/>
    <w:rsid w:val="06F86E33"/>
    <w:rsid w:val="07157053"/>
    <w:rsid w:val="077F41EF"/>
    <w:rsid w:val="07A56FBB"/>
    <w:rsid w:val="084D5D0C"/>
    <w:rsid w:val="089B1C05"/>
    <w:rsid w:val="09217675"/>
    <w:rsid w:val="09522E19"/>
    <w:rsid w:val="09DA0859"/>
    <w:rsid w:val="0A824068"/>
    <w:rsid w:val="0AB91D87"/>
    <w:rsid w:val="0B086CFB"/>
    <w:rsid w:val="0B2D6FBF"/>
    <w:rsid w:val="0B4B5C4A"/>
    <w:rsid w:val="0B9B77C4"/>
    <w:rsid w:val="0BB10187"/>
    <w:rsid w:val="0C462CA8"/>
    <w:rsid w:val="0C7137EE"/>
    <w:rsid w:val="0CBD6908"/>
    <w:rsid w:val="0CF602B9"/>
    <w:rsid w:val="0D3C32AC"/>
    <w:rsid w:val="0DAE673D"/>
    <w:rsid w:val="0DB67576"/>
    <w:rsid w:val="0E06609E"/>
    <w:rsid w:val="0E1B2033"/>
    <w:rsid w:val="0E462918"/>
    <w:rsid w:val="0E6D3530"/>
    <w:rsid w:val="0ECD60CB"/>
    <w:rsid w:val="0ED35B18"/>
    <w:rsid w:val="0EE05570"/>
    <w:rsid w:val="0EEA0603"/>
    <w:rsid w:val="0F7C0A5E"/>
    <w:rsid w:val="10347C6B"/>
    <w:rsid w:val="105113E1"/>
    <w:rsid w:val="10F35A79"/>
    <w:rsid w:val="11340302"/>
    <w:rsid w:val="113B273E"/>
    <w:rsid w:val="1176045B"/>
    <w:rsid w:val="118B5F8A"/>
    <w:rsid w:val="120D5781"/>
    <w:rsid w:val="12420353"/>
    <w:rsid w:val="12B66520"/>
    <w:rsid w:val="13276A0E"/>
    <w:rsid w:val="133F5EF7"/>
    <w:rsid w:val="134F385E"/>
    <w:rsid w:val="13702C49"/>
    <w:rsid w:val="137D6C5D"/>
    <w:rsid w:val="13844C50"/>
    <w:rsid w:val="1446715C"/>
    <w:rsid w:val="145D29CB"/>
    <w:rsid w:val="14863F75"/>
    <w:rsid w:val="14F56125"/>
    <w:rsid w:val="157B583E"/>
    <w:rsid w:val="15D023E1"/>
    <w:rsid w:val="16126DDA"/>
    <w:rsid w:val="16CB091A"/>
    <w:rsid w:val="17DE1C8C"/>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9D4633"/>
    <w:rsid w:val="1DA3266E"/>
    <w:rsid w:val="1DD71937"/>
    <w:rsid w:val="1DD71A40"/>
    <w:rsid w:val="1E4525F0"/>
    <w:rsid w:val="1E800ECE"/>
    <w:rsid w:val="1E811F2D"/>
    <w:rsid w:val="1EAA14DD"/>
    <w:rsid w:val="1EAF0002"/>
    <w:rsid w:val="1ED41261"/>
    <w:rsid w:val="1F051986"/>
    <w:rsid w:val="1FAB7F38"/>
    <w:rsid w:val="1FBF7AA1"/>
    <w:rsid w:val="20292739"/>
    <w:rsid w:val="205F1DDC"/>
    <w:rsid w:val="206300A8"/>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75D2D"/>
    <w:rsid w:val="281007E5"/>
    <w:rsid w:val="284819FF"/>
    <w:rsid w:val="28EF5908"/>
    <w:rsid w:val="28FB3842"/>
    <w:rsid w:val="29A72857"/>
    <w:rsid w:val="29BB2FBA"/>
    <w:rsid w:val="29D64754"/>
    <w:rsid w:val="2A3B4896"/>
    <w:rsid w:val="2A6D3322"/>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54655"/>
    <w:rsid w:val="30460994"/>
    <w:rsid w:val="30851846"/>
    <w:rsid w:val="30E254B1"/>
    <w:rsid w:val="31950B3C"/>
    <w:rsid w:val="32350E38"/>
    <w:rsid w:val="325E210A"/>
    <w:rsid w:val="328C4682"/>
    <w:rsid w:val="32AB3878"/>
    <w:rsid w:val="32E34FD8"/>
    <w:rsid w:val="331E668C"/>
    <w:rsid w:val="341A67FB"/>
    <w:rsid w:val="352F19CD"/>
    <w:rsid w:val="36316C35"/>
    <w:rsid w:val="36AD0CC0"/>
    <w:rsid w:val="36E9371D"/>
    <w:rsid w:val="37881557"/>
    <w:rsid w:val="37896841"/>
    <w:rsid w:val="37E64902"/>
    <w:rsid w:val="38120B24"/>
    <w:rsid w:val="381F2580"/>
    <w:rsid w:val="384E46DC"/>
    <w:rsid w:val="38EF5871"/>
    <w:rsid w:val="39083E3F"/>
    <w:rsid w:val="39523466"/>
    <w:rsid w:val="3A176A0C"/>
    <w:rsid w:val="3B4E1B66"/>
    <w:rsid w:val="3B626996"/>
    <w:rsid w:val="3B927FC0"/>
    <w:rsid w:val="3B973F04"/>
    <w:rsid w:val="3BA1661B"/>
    <w:rsid w:val="3BD322AF"/>
    <w:rsid w:val="3C0D76D7"/>
    <w:rsid w:val="3C4168BF"/>
    <w:rsid w:val="3C6C1155"/>
    <w:rsid w:val="3D1141CF"/>
    <w:rsid w:val="3D3B070D"/>
    <w:rsid w:val="3E1F3026"/>
    <w:rsid w:val="3E581A30"/>
    <w:rsid w:val="3EC531C0"/>
    <w:rsid w:val="3EF436BA"/>
    <w:rsid w:val="3EF43A7A"/>
    <w:rsid w:val="3F1B51C8"/>
    <w:rsid w:val="3F864857"/>
    <w:rsid w:val="3FA64212"/>
    <w:rsid w:val="3FB34286"/>
    <w:rsid w:val="3FCA10BA"/>
    <w:rsid w:val="403B4E5B"/>
    <w:rsid w:val="407D1676"/>
    <w:rsid w:val="40C9514D"/>
    <w:rsid w:val="41574677"/>
    <w:rsid w:val="419925E5"/>
    <w:rsid w:val="430B26BB"/>
    <w:rsid w:val="430F052D"/>
    <w:rsid w:val="432711BB"/>
    <w:rsid w:val="437F29F8"/>
    <w:rsid w:val="43A833B4"/>
    <w:rsid w:val="44EB4583"/>
    <w:rsid w:val="453E5ADB"/>
    <w:rsid w:val="459221AF"/>
    <w:rsid w:val="45A0681F"/>
    <w:rsid w:val="45AA1447"/>
    <w:rsid w:val="45AF44B1"/>
    <w:rsid w:val="467A2B43"/>
    <w:rsid w:val="46B64F68"/>
    <w:rsid w:val="471E3036"/>
    <w:rsid w:val="475447B9"/>
    <w:rsid w:val="47B553DC"/>
    <w:rsid w:val="47C812FA"/>
    <w:rsid w:val="481212DA"/>
    <w:rsid w:val="48344F93"/>
    <w:rsid w:val="48CA6540"/>
    <w:rsid w:val="492E25E8"/>
    <w:rsid w:val="494D5B12"/>
    <w:rsid w:val="4A294BF0"/>
    <w:rsid w:val="4ABB6F11"/>
    <w:rsid w:val="4ADE6B3E"/>
    <w:rsid w:val="4B0F5DBD"/>
    <w:rsid w:val="4BC46433"/>
    <w:rsid w:val="4C0C2FE0"/>
    <w:rsid w:val="4CD77D18"/>
    <w:rsid w:val="4CE52F83"/>
    <w:rsid w:val="4CF345BD"/>
    <w:rsid w:val="4DCF02B9"/>
    <w:rsid w:val="4DD35A19"/>
    <w:rsid w:val="4DDA5C4B"/>
    <w:rsid w:val="4DDF644F"/>
    <w:rsid w:val="4E541BE3"/>
    <w:rsid w:val="4EBA0A2E"/>
    <w:rsid w:val="4F7638BE"/>
    <w:rsid w:val="4F895663"/>
    <w:rsid w:val="4FAF3CEF"/>
    <w:rsid w:val="4FF0236A"/>
    <w:rsid w:val="504F4E23"/>
    <w:rsid w:val="50787D2F"/>
    <w:rsid w:val="51506CEE"/>
    <w:rsid w:val="515676A3"/>
    <w:rsid w:val="51846FF5"/>
    <w:rsid w:val="51F85989"/>
    <w:rsid w:val="52982042"/>
    <w:rsid w:val="52F67C97"/>
    <w:rsid w:val="53320008"/>
    <w:rsid w:val="533C0767"/>
    <w:rsid w:val="538B71AA"/>
    <w:rsid w:val="53E53868"/>
    <w:rsid w:val="53F457AC"/>
    <w:rsid w:val="54011CBD"/>
    <w:rsid w:val="54E60E9E"/>
    <w:rsid w:val="54EB3797"/>
    <w:rsid w:val="55256529"/>
    <w:rsid w:val="55E01770"/>
    <w:rsid w:val="56765354"/>
    <w:rsid w:val="57C1696A"/>
    <w:rsid w:val="57D16367"/>
    <w:rsid w:val="57D42222"/>
    <w:rsid w:val="57F468E6"/>
    <w:rsid w:val="58DC4DC9"/>
    <w:rsid w:val="598D7122"/>
    <w:rsid w:val="59AC533B"/>
    <w:rsid w:val="5A5773F1"/>
    <w:rsid w:val="5A9C7A2D"/>
    <w:rsid w:val="5AA67CE7"/>
    <w:rsid w:val="5ACA788E"/>
    <w:rsid w:val="5B570375"/>
    <w:rsid w:val="5B5D1179"/>
    <w:rsid w:val="5B650361"/>
    <w:rsid w:val="5BAC74A6"/>
    <w:rsid w:val="5BB112D2"/>
    <w:rsid w:val="5CC4297D"/>
    <w:rsid w:val="5CCA7E92"/>
    <w:rsid w:val="5D2E44D2"/>
    <w:rsid w:val="5D303DA6"/>
    <w:rsid w:val="5E2C6599"/>
    <w:rsid w:val="5E8B00E2"/>
    <w:rsid w:val="5EA72CF2"/>
    <w:rsid w:val="5F1836CD"/>
    <w:rsid w:val="5F497AD2"/>
    <w:rsid w:val="5F5844DC"/>
    <w:rsid w:val="5F6B47FF"/>
    <w:rsid w:val="5F734876"/>
    <w:rsid w:val="5F7B095B"/>
    <w:rsid w:val="5FC45888"/>
    <w:rsid w:val="607B3DA1"/>
    <w:rsid w:val="60BF0CD2"/>
    <w:rsid w:val="60F24CDB"/>
    <w:rsid w:val="6187621A"/>
    <w:rsid w:val="62C70D09"/>
    <w:rsid w:val="62EB24D6"/>
    <w:rsid w:val="63690766"/>
    <w:rsid w:val="63A83743"/>
    <w:rsid w:val="63EC1FDA"/>
    <w:rsid w:val="64D84A58"/>
    <w:rsid w:val="651833E8"/>
    <w:rsid w:val="65836EA5"/>
    <w:rsid w:val="65FF0204"/>
    <w:rsid w:val="66633E6E"/>
    <w:rsid w:val="66703465"/>
    <w:rsid w:val="66931727"/>
    <w:rsid w:val="66D912C0"/>
    <w:rsid w:val="67570EB1"/>
    <w:rsid w:val="67647781"/>
    <w:rsid w:val="68AC7BC9"/>
    <w:rsid w:val="68EF6D3E"/>
    <w:rsid w:val="693D23AB"/>
    <w:rsid w:val="694A02F2"/>
    <w:rsid w:val="69CF799B"/>
    <w:rsid w:val="6A542C1F"/>
    <w:rsid w:val="6A87412E"/>
    <w:rsid w:val="6B731339"/>
    <w:rsid w:val="6B995F45"/>
    <w:rsid w:val="6C940E00"/>
    <w:rsid w:val="6D1241A0"/>
    <w:rsid w:val="6E406318"/>
    <w:rsid w:val="6F2359CE"/>
    <w:rsid w:val="6F6C2DCC"/>
    <w:rsid w:val="707B3132"/>
    <w:rsid w:val="70B054D2"/>
    <w:rsid w:val="70BE708F"/>
    <w:rsid w:val="71982220"/>
    <w:rsid w:val="71E35433"/>
    <w:rsid w:val="71FE401B"/>
    <w:rsid w:val="72352623"/>
    <w:rsid w:val="723E4C29"/>
    <w:rsid w:val="72C8211B"/>
    <w:rsid w:val="735B0C23"/>
    <w:rsid w:val="73BD1ADF"/>
    <w:rsid w:val="73E9130F"/>
    <w:rsid w:val="746A213F"/>
    <w:rsid w:val="75E635B5"/>
    <w:rsid w:val="76BD44A5"/>
    <w:rsid w:val="77185FAF"/>
    <w:rsid w:val="77636A64"/>
    <w:rsid w:val="778E46D4"/>
    <w:rsid w:val="77C6261E"/>
    <w:rsid w:val="77EA25B1"/>
    <w:rsid w:val="787D7EFC"/>
    <w:rsid w:val="790243F1"/>
    <w:rsid w:val="796A35B7"/>
    <w:rsid w:val="79710303"/>
    <w:rsid w:val="7A3E4ED4"/>
    <w:rsid w:val="7A802674"/>
    <w:rsid w:val="7AB06959"/>
    <w:rsid w:val="7B0001E5"/>
    <w:rsid w:val="7B4729C1"/>
    <w:rsid w:val="7B89704B"/>
    <w:rsid w:val="7BF62539"/>
    <w:rsid w:val="7C305C04"/>
    <w:rsid w:val="7D007E4C"/>
    <w:rsid w:val="7DD5361A"/>
    <w:rsid w:val="7E8807F6"/>
    <w:rsid w:val="7E9F6E46"/>
    <w:rsid w:val="7ECE188F"/>
    <w:rsid w:val="7EDE1DB6"/>
    <w:rsid w:val="7EDE20FC"/>
    <w:rsid w:val="7EE5009B"/>
    <w:rsid w:val="7F430977"/>
    <w:rsid w:val="7F72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6138</Words>
  <Characters>6581</Characters>
  <Lines>0</Lines>
  <Paragraphs>0</Paragraphs>
  <TotalTime>8</TotalTime>
  <ScaleCrop>false</ScaleCrop>
  <LinksUpToDate>false</LinksUpToDate>
  <CharactersWithSpaces>7222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蓝色永恒</cp:lastModifiedBy>
  <dcterms:modified xsi:type="dcterms:W3CDTF">2023-04-24T02:15:19Z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6F1F3D7C88A94590895FF34E6A4AD2A1</vt:lpwstr>
  </property>
</Properties>
</file>