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72"/>
          <w:szCs w:val="72"/>
        </w:rPr>
      </w:pPr>
      <w:bookmarkStart w:id="1" w:name="_Toc15306268"/>
      <w:bookmarkStart w:id="2" w:name="_Toc15377194"/>
      <w:bookmarkStart w:id="3" w:name="_Toc15377426"/>
      <w:bookmarkStart w:id="4" w:name="_Toc15378442"/>
      <w:bookmarkStart w:id="5" w:name="_Toc15396476"/>
      <w:bookmarkStart w:id="6" w:name="_Toc15396598"/>
      <w:r>
        <w:rPr>
          <w:rFonts w:hint="eastAsia" w:ascii="方正小标宋简体" w:hAnsi="宋体" w:eastAsia="方正小标宋简体"/>
          <w:sz w:val="72"/>
          <w:szCs w:val="72"/>
        </w:rPr>
        <w:t>达川区陈家乡中心学校</w:t>
      </w:r>
      <w:bookmarkStart w:id="7" w:name="_Toc15378441"/>
      <w:bookmarkStart w:id="8" w:name="_Toc15377425"/>
      <w:bookmarkStart w:id="9" w:name="_Toc15396597"/>
      <w:bookmarkStart w:id="10" w:name="_Toc15396475"/>
      <w:bookmarkStart w:id="11" w:name="_Toc15377193"/>
      <w:r>
        <w:rPr>
          <w:rFonts w:ascii="黑体" w:hAnsi="黑体" w:eastAsia="黑体"/>
          <w:sz w:val="72"/>
          <w:szCs w:val="72"/>
        </w:rPr>
        <w:t>201</w:t>
      </w:r>
      <w:r>
        <w:rPr>
          <w:rFonts w:hint="eastAsia" w:ascii="黑体" w:hAnsi="黑体" w:eastAsia="黑体"/>
          <w:sz w:val="72"/>
          <w:szCs w:val="72"/>
        </w:rPr>
        <w:t>8</w:t>
      </w:r>
      <w:r>
        <w:rPr>
          <w:rFonts w:hint="eastAsia" w:ascii="方正小标宋简体" w:hAnsi="宋体" w:eastAsia="方正小标宋简体"/>
          <w:sz w:val="72"/>
          <w:szCs w:val="72"/>
        </w:rPr>
        <w:t>年度</w:t>
      </w:r>
      <w:bookmarkEnd w:id="7"/>
      <w:bookmarkEnd w:id="8"/>
      <w:bookmarkEnd w:id="9"/>
      <w:bookmarkEnd w:id="10"/>
      <w:bookmarkEnd w:id="11"/>
      <w:r>
        <w:rPr>
          <w:rFonts w:hint="eastAsia" w:ascii="方正小标宋简体" w:hAnsi="宋体" w:eastAsia="方正小标宋简体"/>
          <w:sz w:val="72"/>
          <w:szCs w:val="72"/>
        </w:rPr>
        <w:t xml:space="preserve">             部门决算</w:t>
      </w:r>
      <w:bookmarkEnd w:id="1"/>
      <w:bookmarkEnd w:id="2"/>
      <w:bookmarkEnd w:id="3"/>
      <w:bookmarkEnd w:id="4"/>
      <w:bookmarkEnd w:id="5"/>
      <w:bookmarkEnd w:id="6"/>
      <w:r>
        <w:rPr>
          <w:rFonts w:hint="eastAsia" w:ascii="方正小标宋简体" w:hAnsi="宋体" w:eastAsia="方正小标宋简体"/>
          <w:sz w:val="72"/>
          <w:szCs w:val="72"/>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2018</w:t>
      </w:r>
      <w:r>
        <w:rPr>
          <w:rStyle w:val="16"/>
          <w:rFonts w:hint="eastAsia"/>
          <w:color w:val="auto"/>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fldChar w:fldCharType="begin"/>
      </w:r>
      <w:r>
        <w:instrText xml:space="preserve"> PAGEREF _Toc15396613 \h </w:instrText>
      </w:r>
      <w:r>
        <w:fldChar w:fldCharType="separate"/>
      </w:r>
      <w:r>
        <w:t>18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fldChar w:fldCharType="begin"/>
      </w:r>
      <w:r>
        <w:instrText xml:space="preserve"> PAGEREF _Toc15396618 \h </w:instrText>
      </w:r>
      <w:r>
        <w:fldChar w:fldCharType="separate"/>
      </w:r>
      <w:r>
        <w:t>1</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8年重点工作完成情况。</w:t>
      </w:r>
      <w:bookmarkEnd w:id="18"/>
      <w:bookmarkEnd w:id="19"/>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我校属达川区教育和科学技术局下属二级预算事业单位。单位性质属全额拨款事业单位。</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rPr>
        <w:t>第二部分</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2018年度收、支总计1718.88万元。与2017年相比，收、支总计各增加1397.87万元，增长435.46</w:t>
      </w:r>
      <w:r>
        <w:rPr>
          <w:rFonts w:ascii="仿宋" w:hAnsi="仿宋" w:eastAsia="仿宋"/>
          <w:sz w:val="32"/>
          <w:szCs w:val="32"/>
        </w:rPr>
        <w:t>%</w:t>
      </w:r>
      <w:r>
        <w:rPr>
          <w:rFonts w:hint="eastAsia" w:ascii="仿宋" w:hAnsi="仿宋" w:eastAsia="仿宋"/>
          <w:sz w:val="32"/>
          <w:szCs w:val="32"/>
        </w:rPr>
        <w:t>。主要变动原因是人员经费和项目支出增加。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5267325" cy="3190875"/>
                          </a:xfrm>
                          <a:prstGeom prst="rect">
                            <a:avLst/>
                          </a:prstGeom>
                          <a:noFill/>
                          <a:ln w="9525">
                            <a:noFill/>
                            <a:miter lim="800000"/>
                            <a:headEnd/>
                            <a:tailEnd/>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8年本年收入合计1507.92万元，其中：一般公共预算财政拨款收入1416.37万元，占93.93%；政府性基金预算财政拨款收入91.55万元，占6.07%。</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4099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5267325" cy="3409950"/>
                          </a:xfrm>
                          <a:prstGeom prst="rect">
                            <a:avLst/>
                          </a:prstGeom>
                          <a:noFill/>
                          <a:ln w="9525">
                            <a:noFill/>
                            <a:miter lim="800000"/>
                            <a:headEnd/>
                            <a:tailEnd/>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8年本年支出合计1569.04万元，其中：基本支出1022.49万元，占65.17%；项目支出546.55万元，占34.83%。</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40995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srcRect/>
                          <a:stretch>
                            <a:fillRect/>
                          </a:stretch>
                        </pic:blipFill>
                        <pic:spPr>
                          <a:xfrm>
                            <a:off x="0" y="0"/>
                            <a:ext cx="5267325" cy="3409950"/>
                          </a:xfrm>
                          <a:prstGeom prst="rect">
                            <a:avLst/>
                          </a:prstGeom>
                          <a:noFill/>
                          <a:ln w="9525">
                            <a:noFill/>
                            <a:miter lim="800000"/>
                            <a:headEnd/>
                            <a:tailEnd/>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8年财政拨款收、支总计1718.88万元。与</w:t>
      </w:r>
      <w:r>
        <w:rPr>
          <w:rFonts w:ascii="仿宋" w:hAnsi="仿宋" w:eastAsia="仿宋"/>
          <w:sz w:val="32"/>
          <w:szCs w:val="32"/>
        </w:rPr>
        <w:t>201</w:t>
      </w:r>
      <w:r>
        <w:rPr>
          <w:rFonts w:hint="eastAsia" w:ascii="仿宋" w:hAnsi="仿宋" w:eastAsia="仿宋"/>
          <w:sz w:val="32"/>
          <w:szCs w:val="32"/>
        </w:rPr>
        <w:t>7年相比，财政拨款收、支总计各增加1397.91万元，增长435.53%。主要变动原因是人员经费和项目支出增加。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67325" cy="319087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srcRect/>
                          <a:stretch>
                            <a:fillRect/>
                          </a:stretch>
                        </pic:blipFill>
                        <pic:spPr>
                          <a:xfrm>
                            <a:off x="0" y="0"/>
                            <a:ext cx="5267325" cy="3190875"/>
                          </a:xfrm>
                          <a:prstGeom prst="rect">
                            <a:avLst/>
                          </a:prstGeom>
                          <a:noFill/>
                          <a:ln w="9525">
                            <a:noFill/>
                            <a:miter lim="800000"/>
                            <a:headEnd/>
                            <a:tailEnd/>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8年一般公共预算财政拨款支出1477.49万元，占本年支出合计的85.96%。与</w:t>
      </w:r>
      <w:r>
        <w:rPr>
          <w:rFonts w:ascii="仿宋" w:hAnsi="仿宋" w:eastAsia="仿宋"/>
          <w:sz w:val="32"/>
          <w:szCs w:val="32"/>
        </w:rPr>
        <w:t>201</w:t>
      </w:r>
      <w:r>
        <w:rPr>
          <w:rFonts w:hint="eastAsia" w:ascii="仿宋" w:hAnsi="仿宋" w:eastAsia="仿宋"/>
          <w:sz w:val="32"/>
          <w:szCs w:val="32"/>
        </w:rPr>
        <w:t>7年相比，一般公共预算财政拨款增加1156.52万元，增长360.32%。主要变动原因是人员经费和项目支出增加。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srcRect/>
                          <a:stretch>
                            <a:fillRect/>
                          </a:stretch>
                        </pic:blipFill>
                        <pic:spPr>
                          <a:xfrm>
                            <a:off x="0" y="0"/>
                            <a:ext cx="5267325" cy="3190875"/>
                          </a:xfrm>
                          <a:prstGeom prst="rect">
                            <a:avLst/>
                          </a:prstGeom>
                          <a:noFill/>
                          <a:ln w="9525">
                            <a:noFill/>
                            <a:miter lim="800000"/>
                            <a:headEnd/>
                            <a:tailEnd/>
                          </a:ln>
                        </pic:spPr>
                      </pic:pic>
                    </a:graphicData>
                  </a:graphic>
                </wp:inline>
              </w:drawing>
            </w:r>
          </w:p>
        </w:tc>
      </w:tr>
    </w:tbl>
    <w:p>
      <w:pPr>
        <w:spacing w:line="600" w:lineRule="exact"/>
        <w:ind w:firstLine="642"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8年一般公共预算财政拨款支出1477.49万元，主要用于以下方面</w:t>
      </w:r>
      <w:r>
        <w:rPr>
          <w:rFonts w:ascii="仿宋" w:hAnsi="仿宋" w:eastAsia="仿宋"/>
          <w:sz w:val="32"/>
          <w:szCs w:val="32"/>
        </w:rPr>
        <w:t>:</w:t>
      </w:r>
      <w:r>
        <w:rPr>
          <w:rFonts w:hint="eastAsia" w:ascii="仿宋" w:hAnsi="仿宋" w:eastAsia="仿宋"/>
          <w:sz w:val="32"/>
          <w:szCs w:val="32"/>
        </w:rPr>
        <w:t>一般公共服务（类）支出0.2万元，占0.01%；教育（类）支出1297.41万元，占87.81%；社会保障和就业（类）支出100.79万元，占6.82%；医疗卫生与计划生育（类）支出28.06万元，占1.9%；住房保障（类）支出51.03万元，占3.45%。</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4099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srcRect/>
                          <a:stretch>
                            <a:fillRect/>
                          </a:stretch>
                        </pic:blipFill>
                        <pic:spPr>
                          <a:xfrm>
                            <a:off x="0" y="0"/>
                            <a:ext cx="5267325" cy="3409950"/>
                          </a:xfrm>
                          <a:prstGeom prst="rect">
                            <a:avLst/>
                          </a:prstGeom>
                          <a:noFill/>
                          <a:ln w="9525">
                            <a:noFill/>
                            <a:miter lim="800000"/>
                            <a:headEnd/>
                            <a:tailEnd/>
                          </a:ln>
                        </pic:spPr>
                      </pic:pic>
                    </a:graphicData>
                  </a:graphic>
                </wp:inline>
              </w:drawing>
            </w:r>
          </w:p>
        </w:tc>
      </w:tr>
    </w:tbl>
    <w:p>
      <w:pPr>
        <w:spacing w:line="600" w:lineRule="exact"/>
        <w:ind w:firstLine="642"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7444"/>
      <w:bookmarkStart w:id="38" w:name="_Toc15377213"/>
      <w:bookmarkStart w:id="39" w:name="_Toc15378460"/>
      <w:r>
        <w:rPr>
          <w:rFonts w:hint="eastAsia" w:ascii="仿宋" w:hAnsi="仿宋" w:eastAsia="仿宋"/>
          <w:b/>
          <w:sz w:val="32"/>
          <w:szCs w:val="32"/>
        </w:rPr>
        <w:t>2018年一般公共预算支出决算数为1477.49万元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一般公共服务201（类）10（款）99（项）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0.2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教育205（类）02（款）</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1297.41</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100.79</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Style w:val="15"/>
          <w:rFonts w:ascii="仿宋" w:hAnsi="仿宋" w:eastAsia="仿宋"/>
          <w:b w:val="0"/>
          <w:bCs/>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医疗卫生与计划生育210（类）11（款）02（项）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28.06</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Style w:val="15"/>
          <w:rFonts w:ascii="仿宋" w:hAnsi="仿宋" w:eastAsia="仿宋"/>
          <w:b w:val="0"/>
          <w:bCs/>
          <w:sz w:val="32"/>
          <w:szCs w:val="32"/>
        </w:rPr>
      </w:pPr>
      <w:r>
        <w:rPr>
          <w:rFonts w:hint="eastAsia" w:ascii="仿宋" w:hAnsi="仿宋" w:eastAsia="仿宋"/>
          <w:b/>
          <w:sz w:val="32"/>
          <w:szCs w:val="32"/>
        </w:rPr>
        <w:t>5.住房保障221</w:t>
      </w:r>
      <w:r>
        <w:rPr>
          <w:rStyle w:val="15"/>
          <w:rFonts w:hint="eastAsia" w:ascii="仿宋" w:hAnsi="仿宋" w:eastAsia="仿宋"/>
          <w:b w:val="0"/>
          <w:bCs/>
          <w:sz w:val="32"/>
          <w:szCs w:val="32"/>
        </w:rPr>
        <w:t>（类）</w:t>
      </w:r>
      <w:r>
        <w:rPr>
          <w:rFonts w:hint="eastAsia" w:ascii="仿宋" w:hAnsi="仿宋" w:eastAsia="仿宋"/>
          <w:b/>
          <w:sz w:val="32"/>
          <w:szCs w:val="32"/>
        </w:rPr>
        <w:t>02</w:t>
      </w:r>
      <w:r>
        <w:rPr>
          <w:rStyle w:val="15"/>
          <w:rFonts w:hint="eastAsia" w:ascii="仿宋" w:hAnsi="仿宋" w:eastAsia="仿宋"/>
          <w:b w:val="0"/>
          <w:bCs/>
          <w:sz w:val="32"/>
          <w:szCs w:val="32"/>
        </w:rPr>
        <w:t>（款）</w:t>
      </w:r>
      <w:r>
        <w:rPr>
          <w:rFonts w:hint="eastAsia" w:ascii="仿宋" w:hAnsi="仿宋" w:eastAsia="仿宋"/>
          <w:b/>
          <w:sz w:val="32"/>
          <w:szCs w:val="32"/>
        </w:rPr>
        <w:t>01</w:t>
      </w:r>
      <w:r>
        <w:rPr>
          <w:rStyle w:val="15"/>
          <w:rFonts w:hint="eastAsia" w:ascii="仿宋" w:hAnsi="仿宋" w:eastAsia="仿宋"/>
          <w:b w:val="0"/>
          <w:bCs/>
          <w:sz w:val="32"/>
          <w:szCs w:val="32"/>
        </w:rPr>
        <w:t>（项）</w:t>
      </w:r>
      <w:r>
        <w:rPr>
          <w:rStyle w:val="15"/>
          <w:rFonts w:hint="eastAsia" w:ascii="仿宋" w:hAnsi="仿宋" w:eastAsia="仿宋"/>
          <w:bCs/>
          <w:sz w:val="32"/>
          <w:szCs w:val="32"/>
        </w:rPr>
        <w:t>:</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51.03万元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8年一般公共预算财政拨款基本支出1022.49万元，其中：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855.61万元，主要包括：基本工资、津贴补贴、奖金、绩效工资、机关事业单位基本养老保险费、职业年金缴费、职工基本医疗保险缴费、其他社会保障缴费、住房公积金、其他工资福利支出、生活补助、助学金、其他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公用经费166.9万元，主要包括：办公费、咨询费、水费、电费、差旅费、维修（护）费、会议费、培训费、专用材料费、劳务费、工会经费、其他交通费用、其他商品和服务支出等。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8年“三公”经费财政拨款支出决算</w:t>
      </w:r>
      <w:r>
        <w:rPr>
          <w:rFonts w:hint="eastAsia" w:ascii="仿宋" w:hAnsi="仿宋" w:eastAsia="仿宋"/>
          <w:color w:val="000000" w:themeColor="text1"/>
          <w:sz w:val="32"/>
          <w:szCs w:val="32"/>
        </w:rPr>
        <w:t>为0万元</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color w:val="000000" w:themeColor="text1"/>
          <w:sz w:val="32"/>
          <w:szCs w:val="32"/>
        </w:rPr>
        <w:t>0</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4099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srcRect/>
                          <a:stretch>
                            <a:fillRect/>
                          </a:stretch>
                        </pic:blipFill>
                        <pic:spPr>
                          <a:xfrm>
                            <a:off x="0" y="0"/>
                            <a:ext cx="5267325" cy="3409950"/>
                          </a:xfrm>
                          <a:prstGeom prst="rect">
                            <a:avLst/>
                          </a:prstGeom>
                          <a:noFill/>
                          <a:ln w="9525">
                            <a:noFill/>
                            <a:miter lim="800000"/>
                            <a:headEnd/>
                            <a:tailEnd/>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公务接待费支出0万元，完成预算100</w:t>
      </w:r>
      <w:r>
        <w:rPr>
          <w:rFonts w:ascii="仿宋_GB2312" w:eastAsia="仿宋_GB2312"/>
          <w:b/>
          <w:sz w:val="32"/>
          <w:szCs w:val="32"/>
        </w:rPr>
        <w:t>%</w:t>
      </w:r>
      <w:r>
        <w:rPr>
          <w:rFonts w:hint="eastAsia" w:ascii="仿宋_GB2312" w:eastAsia="仿宋_GB2312"/>
          <w:b/>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主要用于执行公务、开展业务活动开支的交通费、住宿费、用餐费等。国内公务接待0批次，0人次（不包括陪同人员），共计支出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8年政府性基金预算拨款支出</w:t>
      </w:r>
      <w:r>
        <w:rPr>
          <w:rFonts w:hint="eastAsia" w:ascii="仿宋" w:hAnsi="仿宋" w:eastAsia="仿宋"/>
          <w:sz w:val="32"/>
          <w:szCs w:val="32"/>
        </w:rPr>
        <w:t>91.55</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工程、民生工程以外人员经费、办公经费项目开展了预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100%。</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本部门在2018年度部门决算中反映“民生工程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民生工程以外人员经费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“办公经费”等3个项目绩效目标实际完成情况。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民生工程项目绩效目标完成情况综述。项目全年预算数</w:t>
      </w:r>
      <w:r>
        <w:rPr>
          <w:rFonts w:hint="eastAsia" w:ascii="仿宋" w:hAnsi="仿宋" w:eastAsia="仿宋"/>
          <w:sz w:val="32"/>
          <w:szCs w:val="32"/>
        </w:rPr>
        <w:t>132.16</w:t>
      </w:r>
      <w:r>
        <w:rPr>
          <w:rFonts w:hint="eastAsia" w:ascii="仿宋_GB2312" w:hAnsi="仿宋_GB2312" w:eastAsia="仿宋_GB2312" w:cs="仿宋_GB2312"/>
          <w:sz w:val="32"/>
          <w:szCs w:val="32"/>
        </w:rPr>
        <w:t>万元，执行数为</w:t>
      </w:r>
      <w:r>
        <w:rPr>
          <w:rFonts w:hint="eastAsia" w:ascii="仿宋" w:hAnsi="仿宋" w:eastAsia="仿宋"/>
          <w:sz w:val="32"/>
          <w:szCs w:val="32"/>
        </w:rPr>
        <w:t>132.16</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民生工程以外人员经费项目绩效目标完成情况综述。项目全年预算数</w:t>
      </w:r>
      <w:r>
        <w:rPr>
          <w:rFonts w:hint="eastAsia" w:ascii="仿宋" w:hAnsi="仿宋" w:eastAsia="仿宋"/>
          <w:sz w:val="32"/>
          <w:szCs w:val="32"/>
        </w:rPr>
        <w:t>723.45</w:t>
      </w:r>
      <w:r>
        <w:rPr>
          <w:rFonts w:hint="eastAsia" w:ascii="仿宋_GB2312" w:hAnsi="仿宋_GB2312" w:eastAsia="仿宋_GB2312" w:cs="仿宋_GB2312"/>
          <w:sz w:val="32"/>
          <w:szCs w:val="32"/>
        </w:rPr>
        <w:t>万元，执行数为</w:t>
      </w:r>
      <w:r>
        <w:rPr>
          <w:rFonts w:hint="eastAsia" w:ascii="仿宋" w:hAnsi="仿宋" w:eastAsia="仿宋"/>
          <w:sz w:val="32"/>
          <w:szCs w:val="32"/>
        </w:rPr>
        <w:t>723.45</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%。通过项目实施，保障了教职工的各项合法权益，调动了全体教职工的工作积极性。发现的主要问题：无。</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办公经费项目绩效目标完成情况综述。项目全年预算数</w:t>
      </w:r>
      <w:r>
        <w:rPr>
          <w:rFonts w:hint="eastAsia" w:ascii="仿宋" w:hAnsi="仿宋" w:eastAsia="仿宋"/>
          <w:sz w:val="32"/>
          <w:szCs w:val="32"/>
        </w:rPr>
        <w:t>166.9</w:t>
      </w:r>
      <w:r>
        <w:rPr>
          <w:rFonts w:hint="eastAsia" w:ascii="仿宋_GB2312" w:hAnsi="仿宋_GB2312" w:eastAsia="仿宋_GB2312" w:cs="仿宋_GB2312"/>
          <w:sz w:val="32"/>
          <w:szCs w:val="32"/>
        </w:rPr>
        <w:t>万元，执行数为</w:t>
      </w:r>
      <w:r>
        <w:rPr>
          <w:rFonts w:hint="eastAsia" w:ascii="仿宋" w:hAnsi="仿宋" w:eastAsia="仿宋"/>
          <w:sz w:val="32"/>
          <w:szCs w:val="32"/>
        </w:rPr>
        <w:t>166.9</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%。通过项目实施，保障学校正常开展的各项活动，发现的主要问题：无。</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达川区陈家乡中心学校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132.16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132.16</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132.16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132.16</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足额发放免作业本费、免保教费、学生营养餐、贫困住校生补助、食堂购买服务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民生工程以外人员经费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达川区陈家乡中心学校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723.45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723.45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723.45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723.45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足额发放在职教师工资、购买养老保险、职业年金、医保、工伤、住房公积金、工会经费及临聘人员的工资补助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达川区陈家乡中心学校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166.9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166.9</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166.9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166.9</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足额补助学校的办公经费包括办公费、电费、邮电费、差旅费、培训费、维修（护）费、公务接待费、专用材料费及其他商服务支出等办公经费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按既定目标全额补助</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本部门按要求对2018年部门整体支出绩效评价情况开展自评，《达川区陈家乡中心学校2018年部门整体支出绩效评价报告》见附件。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本部门自行组织对人员经费项目开展了绩效评价，《达川区陈家乡中心学校2018年项目绩效评价报告》见附件。</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rPr>
          <w:rFonts w:ascii="仿宋" w:hAnsi="仿宋" w:eastAsia="仿宋"/>
          <w:b/>
          <w:sz w:val="32"/>
          <w:szCs w:val="32"/>
        </w:rPr>
      </w:pPr>
      <w:r>
        <w:rPr>
          <w:rFonts w:hint="eastAsia" w:ascii="仿宋_GB2312" w:eastAsia="仿宋_GB2312"/>
          <w:sz w:val="32"/>
          <w:szCs w:val="32"/>
        </w:rPr>
        <w:t>本单位为事业单位，无机关运行经费支出。</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2"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6"/>
        </w:numPr>
        <w:spacing w:line="600" w:lineRule="exact"/>
        <w:ind w:firstLine="662"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b/>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 xml:space="preserve">达川区陈家乡中心学校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达川区陈家乡中心学校是一所九年一贯制学校，单位性质为：全额拨款事业单位，设立5个内设部门：教务处、政教处、安全办公室、党建办公室、后勤处。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2018年我校在职教职工63人，临聘人员3人。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8年本年收入合计1507.92万元，其中：一般公共预算财政拨款收入1416.37万元，占93.93%；政府性基金预算财政拨款收入91.55万元，占6.07%；国有资本经营预算财政拨款收入0万元，占0%；事业收入0万元，占0%；经营收入0万元，占0%；附属单位上缴收入0万元，占0%；其他收入0万元，占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8年本年支出合计1569.04万元，其中：基本支出1022.49万元，占65.17%；项目支出546.55万元，占34.83%；上缴上级支出0万元，占0%；经营支出0万元，占0%；对附属单位补助支出0万元，占0%。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rPr>
          <w:rFonts w:ascii="仿宋_GB2312" w:hAnsi="仿宋_GB2312" w:eastAsia="仿宋_GB2312" w:cs="仿宋_GB2312"/>
          <w:sz w:val="32"/>
          <w:szCs w:val="32"/>
        </w:rPr>
        <w:sectPr>
          <w:headerReference r:id="rId3" w:type="default"/>
          <w:footerReference r:id="rId5" w:type="default"/>
          <w:headerReference r:id="rId4" w:type="even"/>
          <w:pgSz w:w="11906" w:h="16838"/>
          <w:pgMar w:top="1440" w:right="1800" w:bottom="1440" w:left="1800" w:header="851" w:footer="992" w:gutter="0"/>
          <w:pgNumType w:start="0"/>
          <w:cols w:space="425" w:num="1"/>
          <w:titlePg/>
          <w:docGrid w:type="lines" w:linePitch="312" w:charSpace="0"/>
        </w:sectPr>
      </w:pPr>
    </w:p>
    <w:p>
      <w:pPr>
        <w:widowControl/>
        <w:jc w:val="left"/>
        <w:rPr>
          <w:rFonts w:ascii="仿宋_GB2312" w:hAnsi="仿宋_GB2312" w:eastAsia="仿宋_GB2312" w:cs="仿宋_GB2312"/>
          <w:sz w:val="32"/>
          <w:szCs w:val="32"/>
        </w:rPr>
      </w:pPr>
    </w:p>
    <w:tbl>
      <w:tblPr>
        <w:tblStyle w:val="12"/>
        <w:tblW w:w="14420" w:type="dxa"/>
        <w:tblInd w:w="93" w:type="dxa"/>
        <w:tblLayout w:type="autofit"/>
        <w:tblCellMar>
          <w:top w:w="0" w:type="dxa"/>
          <w:left w:w="108" w:type="dxa"/>
          <w:bottom w:w="0" w:type="dxa"/>
          <w:right w:w="108" w:type="dxa"/>
        </w:tblCellMar>
      </w:tblPr>
      <w:tblGrid>
        <w:gridCol w:w="940"/>
        <w:gridCol w:w="980"/>
        <w:gridCol w:w="1560"/>
        <w:gridCol w:w="4060"/>
        <w:gridCol w:w="6100"/>
        <w:gridCol w:w="780"/>
      </w:tblGrid>
      <w:tr>
        <w:tblPrEx>
          <w:tblCellMar>
            <w:top w:w="0" w:type="dxa"/>
            <w:left w:w="108" w:type="dxa"/>
            <w:bottom w:w="0" w:type="dxa"/>
            <w:right w:w="108" w:type="dxa"/>
          </w:tblCellMar>
        </w:tblPrEx>
        <w:trPr>
          <w:trHeight w:val="1200" w:hRule="atLeast"/>
        </w:trPr>
        <w:tc>
          <w:tcPr>
            <w:tcW w:w="13640"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达川区陈家乡中心学校部门整体支出绩效评价得分表</w:t>
            </w:r>
          </w:p>
        </w:tc>
        <w:tc>
          <w:tcPr>
            <w:tcW w:w="78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55"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4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6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    得分</w:t>
            </w:r>
          </w:p>
        </w:tc>
      </w:tr>
      <w:tr>
        <w:tblPrEx>
          <w:tblCellMar>
            <w:top w:w="0" w:type="dxa"/>
            <w:left w:w="108" w:type="dxa"/>
            <w:bottom w:w="0" w:type="dxa"/>
            <w:right w:w="108" w:type="dxa"/>
          </w:tblCellMar>
        </w:tblPrEx>
        <w:trPr>
          <w:trHeight w:val="720" w:hRule="atLeast"/>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szCs w:val="20"/>
              </w:rPr>
              <w:t>16</w:t>
            </w:r>
            <w:r>
              <w:rPr>
                <w:rFonts w:hint="eastAsia" w:ascii="仿宋_GB2312" w:hAnsi="宋体" w:eastAsia="仿宋_GB2312" w:cs="宋体"/>
                <w:kern w:val="0"/>
                <w:sz w:val="20"/>
                <w:szCs w:val="20"/>
              </w:rPr>
              <w:t>分）</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szCs w:val="20"/>
              </w:rPr>
              <w:t>2</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szCs w:val="20"/>
              </w:rPr>
              <w:t>5</w:t>
            </w:r>
            <w:r>
              <w:rPr>
                <w:rFonts w:hint="eastAsia" w:ascii="仿宋_GB2312" w:hAnsi="宋体" w:eastAsia="仿宋_GB2312" w:cs="宋体"/>
                <w:kern w:val="0"/>
                <w:sz w:val="20"/>
                <w:szCs w:val="20"/>
              </w:rPr>
              <w:t>个工作日扣</w:t>
            </w:r>
            <w:r>
              <w:rPr>
                <w:rFonts w:eastAsia="仿宋_GB2312"/>
                <w:kern w:val="0"/>
                <w:sz w:val="20"/>
                <w:szCs w:val="20"/>
              </w:rPr>
              <w:t>0.5</w:t>
            </w:r>
            <w:r>
              <w:rPr>
                <w:rFonts w:hint="eastAsia" w:ascii="仿宋_GB2312" w:hAnsi="宋体" w:eastAsia="仿宋_GB2312" w:cs="宋体"/>
                <w:kern w:val="0"/>
                <w:sz w:val="20"/>
                <w:szCs w:val="20"/>
              </w:rPr>
              <w:t>分，</w:t>
            </w:r>
            <w:r>
              <w:rPr>
                <w:rFonts w:eastAsia="仿宋_GB2312"/>
                <w:kern w:val="0"/>
                <w:sz w:val="20"/>
                <w:szCs w:val="20"/>
              </w:rPr>
              <w:t>10</w:t>
            </w:r>
            <w:r>
              <w:rPr>
                <w:rFonts w:hint="eastAsia" w:ascii="仿宋_GB2312" w:hAnsi="宋体" w:eastAsia="仿宋_GB2312" w:cs="宋体"/>
                <w:kern w:val="0"/>
                <w:sz w:val="20"/>
                <w:szCs w:val="20"/>
              </w:rPr>
              <w:t>个工作日扣</w:t>
            </w:r>
            <w:r>
              <w:rPr>
                <w:rFonts w:eastAsia="仿宋_GB2312"/>
                <w:kern w:val="0"/>
                <w:sz w:val="20"/>
                <w:szCs w:val="20"/>
              </w:rPr>
              <w:t>1</w:t>
            </w:r>
            <w:r>
              <w:rPr>
                <w:rFonts w:hint="eastAsia" w:ascii="仿宋_GB2312" w:hAnsi="宋体" w:eastAsia="仿宋_GB2312" w:cs="宋体"/>
                <w:kern w:val="0"/>
                <w:sz w:val="20"/>
                <w:szCs w:val="20"/>
              </w:rPr>
              <w:t>分，以此类推，直至扣完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r>
      <w:tr>
        <w:tblPrEx>
          <w:tblCellMar>
            <w:top w:w="0" w:type="dxa"/>
            <w:left w:w="108" w:type="dxa"/>
            <w:bottom w:w="0" w:type="dxa"/>
            <w:right w:w="108" w:type="dxa"/>
          </w:tblCellMar>
        </w:tblPrEx>
        <w:trPr>
          <w:trHeight w:val="829"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szCs w:val="20"/>
              </w:rPr>
              <w:t>4</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szCs w:val="20"/>
              </w:rPr>
              <w:t>1</w:t>
            </w:r>
            <w:r>
              <w:rPr>
                <w:rFonts w:hint="eastAsia" w:ascii="仿宋_GB2312" w:hAnsi="宋体" w:eastAsia="仿宋_GB2312" w:cs="宋体"/>
                <w:kern w:val="0"/>
                <w:sz w:val="20"/>
                <w:szCs w:val="20"/>
              </w:rPr>
              <w:t>个内，得分；</w:t>
            </w:r>
            <w:r>
              <w:rPr>
                <w:rFonts w:eastAsia="仿宋_GB2312"/>
                <w:kern w:val="0"/>
                <w:sz w:val="20"/>
                <w:szCs w:val="20"/>
              </w:rPr>
              <w:t>2-3</w:t>
            </w:r>
            <w:r>
              <w:rPr>
                <w:rFonts w:hint="eastAsia" w:ascii="仿宋_GB2312" w:hAnsi="宋体" w:eastAsia="仿宋_GB2312" w:cs="宋体"/>
                <w:kern w:val="0"/>
                <w:sz w:val="20"/>
                <w:szCs w:val="20"/>
              </w:rPr>
              <w:t>个得</w:t>
            </w:r>
            <w:r>
              <w:rPr>
                <w:rFonts w:eastAsia="仿宋_GB2312"/>
                <w:kern w:val="0"/>
                <w:sz w:val="20"/>
                <w:szCs w:val="20"/>
              </w:rPr>
              <w:t>1</w:t>
            </w:r>
            <w:r>
              <w:rPr>
                <w:rFonts w:hint="eastAsia" w:ascii="仿宋_GB2312" w:hAnsi="宋体" w:eastAsia="仿宋_GB2312" w:cs="宋体"/>
                <w:kern w:val="0"/>
                <w:sz w:val="20"/>
                <w:szCs w:val="20"/>
              </w:rPr>
              <w:t>分；超过</w:t>
            </w:r>
            <w:r>
              <w:rPr>
                <w:rFonts w:eastAsia="仿宋_GB2312"/>
                <w:kern w:val="0"/>
                <w:sz w:val="20"/>
                <w:szCs w:val="20"/>
              </w:rPr>
              <w:t>3</w:t>
            </w:r>
            <w:r>
              <w:rPr>
                <w:rFonts w:hint="eastAsia" w:ascii="仿宋_GB2312" w:hAnsi="宋体" w:eastAsia="仿宋_GB2312" w:cs="宋体"/>
                <w:kern w:val="0"/>
                <w:sz w:val="20"/>
                <w:szCs w:val="20"/>
              </w:rPr>
              <w:t>个以上，不得分。（注：按照上级及区委区政府批准的项目资金性质变动如财政资金整合等情况不计入考核）</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szCs w:val="20"/>
              </w:rPr>
              <w:t>8</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szCs w:val="20"/>
              </w:rPr>
              <w:t>5</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szCs w:val="20"/>
              </w:rPr>
              <w:t>3</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w:t>
            </w:r>
            <w:bookmarkStart w:id="76" w:name="_GoBack"/>
            <w:bookmarkEnd w:id="76"/>
            <w:r>
              <w:rPr>
                <w:rFonts w:hint="eastAsia" w:ascii="仿宋_GB2312" w:hAnsi="宋体" w:eastAsia="仿宋_GB2312" w:cs="宋体"/>
                <w:kern w:val="0"/>
                <w:sz w:val="20"/>
                <w:szCs w:val="20"/>
              </w:rPr>
              <w:t>的重点项目工作方案得分，否则不得分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1410" w:hRule="atLeast"/>
        </w:trPr>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szCs w:val="20"/>
              </w:rPr>
              <w:t>24</w:t>
            </w:r>
            <w:r>
              <w:rPr>
                <w:rFonts w:hint="eastAsia" w:ascii="仿宋_GB2312" w:hAnsi="宋体" w:eastAsia="仿宋_GB2312" w:cs="宋体"/>
                <w:kern w:val="0"/>
                <w:sz w:val="20"/>
                <w:szCs w:val="20"/>
              </w:rPr>
              <w:t>分）</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szCs w:val="20"/>
              </w:rPr>
              <w:t>5</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szCs w:val="20"/>
              </w:rPr>
              <w:t>=</w:t>
            </w:r>
            <w:r>
              <w:rPr>
                <w:rFonts w:hint="eastAsia" w:ascii="仿宋_GB2312" w:hAnsi="宋体" w:eastAsia="仿宋_GB2312" w:cs="宋体"/>
                <w:kern w:val="0"/>
                <w:sz w:val="20"/>
                <w:szCs w:val="20"/>
              </w:rPr>
              <w:t>（部门支付进度</w:t>
            </w:r>
            <w:r>
              <w:rPr>
                <w:rFonts w:eastAsia="仿宋_GB2312"/>
                <w:kern w:val="0"/>
                <w:sz w:val="20"/>
                <w:szCs w:val="20"/>
              </w:rPr>
              <w:t>/</w:t>
            </w:r>
            <w:r>
              <w:rPr>
                <w:rFonts w:hint="eastAsia" w:ascii="仿宋_GB2312" w:hAnsi="宋体" w:eastAsia="仿宋_GB2312" w:cs="宋体"/>
                <w:kern w:val="0"/>
                <w:sz w:val="20"/>
                <w:szCs w:val="20"/>
              </w:rPr>
              <w:t>区级平均支付进度）</w:t>
            </w:r>
            <w:r>
              <w:rPr>
                <w:rFonts w:eastAsia="仿宋_GB2312"/>
                <w:kern w:val="0"/>
                <w:sz w:val="20"/>
                <w:szCs w:val="20"/>
              </w:rPr>
              <w:t>×100%</w:t>
            </w:r>
            <w:r>
              <w:rPr>
                <w:rFonts w:hint="eastAsia" w:ascii="仿宋_GB2312" w:hAnsi="宋体" w:eastAsia="仿宋_GB2312" w:cs="宋体"/>
                <w:kern w:val="0"/>
                <w:sz w:val="20"/>
                <w:szCs w:val="20"/>
              </w:rPr>
              <w:t>，支付进度率控制在</w:t>
            </w:r>
            <w:r>
              <w:rPr>
                <w:rFonts w:eastAsia="仿宋_GB2312"/>
                <w:kern w:val="0"/>
                <w:sz w:val="20"/>
                <w:szCs w:val="20"/>
              </w:rPr>
              <w:t>90%—110%</w:t>
            </w:r>
            <w:r>
              <w:rPr>
                <w:rFonts w:hint="eastAsia" w:ascii="仿宋_GB2312" w:hAnsi="宋体" w:eastAsia="仿宋_GB2312" w:cs="宋体"/>
                <w:kern w:val="0"/>
                <w:sz w:val="20"/>
                <w:szCs w:val="20"/>
              </w:rPr>
              <w:t>间。</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区级平均支付进度：在某时点上，本级财政的支付进度率，以序时进度代替。</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r>
      <w:tr>
        <w:tblPrEx>
          <w:tblCellMar>
            <w:top w:w="0" w:type="dxa"/>
            <w:left w:w="108" w:type="dxa"/>
            <w:bottom w:w="0" w:type="dxa"/>
            <w:right w:w="108" w:type="dxa"/>
          </w:tblCellMar>
        </w:tblPrEx>
        <w:trPr>
          <w:trHeight w:val="1152"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tcBorders>
              <w:top w:val="nil"/>
              <w:left w:val="nil"/>
              <w:bottom w:val="nil"/>
              <w:right w:val="nil"/>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szCs w:val="20"/>
              </w:rPr>
              <w:t>5</w:t>
            </w:r>
            <w:r>
              <w:rPr>
                <w:rFonts w:hint="eastAsia" w:ascii="仿宋_GB2312" w:hAnsi="宋体" w:eastAsia="仿宋_GB2312" w:cs="宋体"/>
                <w:kern w:val="0"/>
                <w:sz w:val="20"/>
                <w:szCs w:val="20"/>
              </w:rPr>
              <w:t>分）</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szCs w:val="20"/>
              </w:rPr>
              <w:t>=</w:t>
            </w:r>
            <w:r>
              <w:rPr>
                <w:rFonts w:hint="eastAsia" w:ascii="仿宋_GB2312" w:hAnsi="宋体" w:eastAsia="仿宋_GB2312" w:cs="宋体"/>
                <w:kern w:val="0"/>
                <w:sz w:val="20"/>
                <w:szCs w:val="20"/>
              </w:rPr>
              <w:t>（预算执行数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预算执行数：部门（单位）本年度实际完成的预算数，扣除结余数。</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预算数：财政部门批复的本年度部门（单位）预算数，含财政追加。</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152"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szCs w:val="20"/>
              </w:rPr>
              <w:t>4</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szCs w:val="20"/>
              </w:rPr>
              <w:t>=</w:t>
            </w:r>
            <w:r>
              <w:rPr>
                <w:rFonts w:hint="eastAsia" w:ascii="仿宋_GB2312" w:hAnsi="宋体" w:eastAsia="仿宋_GB2312" w:cs="宋体"/>
                <w:kern w:val="0"/>
                <w:sz w:val="20"/>
                <w:szCs w:val="20"/>
              </w:rPr>
              <w:t>（预算调整数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，控制在</w:t>
            </w:r>
            <w:r>
              <w:rPr>
                <w:rFonts w:eastAsia="仿宋_GB2312"/>
                <w:kern w:val="0"/>
                <w:sz w:val="20"/>
                <w:szCs w:val="20"/>
              </w:rPr>
              <w:t>20%</w:t>
            </w:r>
            <w:r>
              <w:rPr>
                <w:rFonts w:hint="eastAsia" w:ascii="仿宋_GB2312" w:hAnsi="宋体" w:eastAsia="仿宋_GB2312" w:cs="宋体"/>
                <w:kern w:val="0"/>
                <w:sz w:val="20"/>
                <w:szCs w:val="20"/>
              </w:rPr>
              <w:t>以内。</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预算调整数：部门（单位）在本年度内涉及预算的追加、追减或结构调整的资金总和（因落实国家政策、发生不可抗力、上级部门或本级党委政府临时交办而产生的调整除外）。</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szCs w:val="20"/>
              </w:rPr>
              <w:t>10</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3</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w:t>
            </w:r>
            <w:r>
              <w:rPr>
                <w:rFonts w:hint="eastAsia" w:ascii="仿宋_GB2312" w:hAnsi="宋体" w:eastAsia="仿宋_GB2312" w:cs="宋体"/>
                <w:kern w:val="0"/>
                <w:sz w:val="20"/>
                <w:szCs w:val="20"/>
              </w:rPr>
              <w:t>实际员工</w:t>
            </w:r>
            <w:r>
              <w:rPr>
                <w:rFonts w:eastAsia="仿宋_GB2312"/>
                <w:kern w:val="0"/>
                <w:sz w:val="20"/>
                <w:szCs w:val="20"/>
              </w:rPr>
              <w:t>/</w:t>
            </w:r>
            <w:r>
              <w:rPr>
                <w:rFonts w:hint="eastAsia" w:ascii="仿宋_GB2312" w:hAnsi="宋体" w:eastAsia="仿宋_GB2312" w:cs="宋体"/>
                <w:kern w:val="0"/>
                <w:sz w:val="20"/>
                <w:szCs w:val="20"/>
              </w:rPr>
              <w:t>部门编制数</w:t>
            </w:r>
            <w:r>
              <w:rPr>
                <w:rFonts w:eastAsia="仿宋_GB2312"/>
                <w:kern w:val="0"/>
                <w:sz w:val="20"/>
                <w:szCs w:val="20"/>
              </w:rPr>
              <w:t>*100%</w:t>
            </w:r>
            <w:r>
              <w:rPr>
                <w:rFonts w:hint="eastAsia" w:ascii="仿宋_GB2312" w:hAnsi="宋体" w:eastAsia="仿宋_GB2312" w:cs="宋体"/>
                <w:kern w:val="0"/>
                <w:sz w:val="20"/>
                <w:szCs w:val="20"/>
              </w:rPr>
              <w:t>，不得超过</w:t>
            </w:r>
            <w:r>
              <w:rPr>
                <w:rFonts w:eastAsia="仿宋_GB2312"/>
                <w:kern w:val="0"/>
                <w:sz w:val="20"/>
                <w:szCs w:val="20"/>
              </w:rPr>
              <w:t>100%</w:t>
            </w:r>
            <w:r>
              <w:rPr>
                <w:rFonts w:hint="eastAsia" w:ascii="仿宋_GB2312" w:hAnsi="宋体" w:eastAsia="仿宋_GB2312" w:cs="宋体"/>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szCs w:val="20"/>
              </w:rPr>
              <w:t>3</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szCs w:val="20"/>
              </w:rPr>
              <w:t>“</w:t>
            </w:r>
            <w:r>
              <w:rPr>
                <w:rFonts w:hint="eastAsia" w:ascii="仿宋_GB2312" w:hAnsi="宋体" w:eastAsia="仿宋_GB2312" w:cs="宋体"/>
                <w:kern w:val="0"/>
                <w:sz w:val="20"/>
                <w:szCs w:val="20"/>
              </w:rPr>
              <w:t>一般性支出</w:t>
            </w:r>
            <w:r>
              <w:rPr>
                <w:rFonts w:eastAsia="仿宋_GB2312"/>
                <w:kern w:val="0"/>
                <w:sz w:val="20"/>
                <w:szCs w:val="20"/>
              </w:rPr>
              <w:t>”</w:t>
            </w:r>
            <w:r>
              <w:rPr>
                <w:rFonts w:hint="eastAsia" w:ascii="仿宋_GB2312" w:hAnsi="宋体" w:eastAsia="仿宋_GB2312" w:cs="宋体"/>
                <w:kern w:val="0"/>
                <w:sz w:val="20"/>
                <w:szCs w:val="20"/>
              </w:rPr>
              <w:t>严格按财政管理规定执行，未完成控制要求不得分。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4</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w:t>
            </w:r>
            <w:r>
              <w:rPr>
                <w:rFonts w:hint="eastAsia" w:ascii="仿宋_GB2312" w:hAnsi="宋体" w:eastAsia="仿宋_GB2312" w:cs="宋体"/>
                <w:kern w:val="0"/>
                <w:sz w:val="20"/>
                <w:szCs w:val="20"/>
              </w:rPr>
              <w:t>部门年度公用经费总额</w:t>
            </w:r>
            <w:r>
              <w:rPr>
                <w:rFonts w:eastAsia="仿宋_GB2312"/>
                <w:kern w:val="0"/>
                <w:sz w:val="20"/>
                <w:szCs w:val="20"/>
              </w:rPr>
              <w:t>÷</w:t>
            </w:r>
            <w:r>
              <w:rPr>
                <w:rFonts w:hint="eastAsia" w:ascii="仿宋_GB2312" w:hAnsi="宋体" w:eastAsia="仿宋_GB2312" w:cs="宋体"/>
                <w:kern w:val="0"/>
                <w:sz w:val="20"/>
                <w:szCs w:val="20"/>
              </w:rPr>
              <w:t>编制内员工数</w:t>
            </w:r>
            <w:r>
              <w:rPr>
                <w:rFonts w:eastAsia="仿宋_GB2312"/>
                <w:kern w:val="0"/>
                <w:sz w:val="20"/>
                <w:szCs w:val="20"/>
              </w:rPr>
              <w:t>÷</w:t>
            </w:r>
            <w:r>
              <w:rPr>
                <w:rFonts w:hint="eastAsia" w:ascii="仿宋_GB2312" w:hAnsi="宋体" w:eastAsia="仿宋_GB2312" w:cs="宋体"/>
                <w:kern w:val="0"/>
                <w:sz w:val="20"/>
                <w:szCs w:val="20"/>
              </w:rPr>
              <w:t>区级人均公用经费</w:t>
            </w:r>
            <w:r>
              <w:rPr>
                <w:rFonts w:eastAsia="仿宋_GB2312"/>
                <w:kern w:val="0"/>
                <w:sz w:val="20"/>
                <w:szCs w:val="20"/>
              </w:rPr>
              <w:t>×100%</w:t>
            </w:r>
            <w:r>
              <w:rPr>
                <w:rFonts w:hint="eastAsia" w:ascii="仿宋_GB2312" w:hAnsi="宋体" w:eastAsia="仿宋_GB2312" w:cs="宋体"/>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578" w:hRule="atLeast"/>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szCs w:val="20"/>
              </w:rPr>
              <w:t>40</w:t>
            </w:r>
            <w:r>
              <w:rPr>
                <w:rFonts w:hint="eastAsia" w:ascii="仿宋_GB2312" w:hAnsi="宋体" w:eastAsia="仿宋_GB2312" w:cs="宋体"/>
                <w:kern w:val="0"/>
                <w:sz w:val="20"/>
                <w:szCs w:val="20"/>
              </w:rPr>
              <w:t>分）</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szCs w:val="20"/>
              </w:rPr>
              <w:t>2</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szCs w:val="20"/>
              </w:rPr>
              <w:t>2</w:t>
            </w:r>
            <w:r>
              <w:rPr>
                <w:rFonts w:hint="eastAsia" w:ascii="仿宋_GB2312" w:hAnsi="宋体" w:eastAsia="仿宋_GB2312" w:cs="宋体"/>
                <w:kern w:val="0"/>
                <w:sz w:val="20"/>
                <w:szCs w:val="20"/>
              </w:rPr>
              <w:t>）</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szCs w:val="20"/>
              </w:rPr>
              <w:t>÷</w:t>
            </w:r>
            <w:r>
              <w:rPr>
                <w:rFonts w:hint="eastAsia" w:ascii="仿宋_GB2312" w:hAnsi="宋体" w:eastAsia="仿宋_GB2312" w:cs="宋体"/>
                <w:kern w:val="0"/>
                <w:sz w:val="20"/>
                <w:szCs w:val="20"/>
              </w:rPr>
              <w:t>应付金额</w:t>
            </w:r>
            <w:r>
              <w:rPr>
                <w:rFonts w:eastAsia="仿宋_GB2312"/>
                <w:kern w:val="0"/>
                <w:sz w:val="20"/>
                <w:szCs w:val="20"/>
              </w:rPr>
              <w:t>×</w:t>
            </w:r>
            <w:r>
              <w:rPr>
                <w:rFonts w:hint="eastAsia" w:ascii="仿宋_GB2312" w:hAnsi="宋体" w:eastAsia="仿宋_GB2312" w:cs="宋体"/>
                <w:kern w:val="0"/>
                <w:sz w:val="20"/>
                <w:szCs w:val="20"/>
              </w:rPr>
              <w:t>指标分值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2</w:t>
            </w:r>
          </w:p>
        </w:tc>
      </w:tr>
      <w:tr>
        <w:tblPrEx>
          <w:tblCellMar>
            <w:top w:w="0" w:type="dxa"/>
            <w:left w:w="108" w:type="dxa"/>
            <w:bottom w:w="0" w:type="dxa"/>
            <w:right w:w="108" w:type="dxa"/>
          </w:tblCellMar>
        </w:tblPrEx>
        <w:trPr>
          <w:trHeight w:val="975"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szCs w:val="20"/>
              </w:rPr>
              <w:t>2</w:t>
            </w:r>
            <w:r>
              <w:rPr>
                <w:rFonts w:hint="eastAsia" w:ascii="仿宋_GB2312" w:hAnsi="宋体" w:eastAsia="仿宋_GB2312" w:cs="宋体"/>
                <w:kern w:val="0"/>
                <w:sz w:val="20"/>
                <w:szCs w:val="20"/>
              </w:rPr>
              <w:t>）</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调整或细化资金</w:t>
            </w:r>
            <w:r>
              <w:rPr>
                <w:rFonts w:eastAsia="仿宋_GB2312"/>
                <w:kern w:val="0"/>
                <w:sz w:val="20"/>
                <w:szCs w:val="20"/>
              </w:rPr>
              <w:t>/</w:t>
            </w:r>
            <w:r>
              <w:rPr>
                <w:rFonts w:hint="eastAsia" w:ascii="仿宋_GB2312" w:hAnsi="宋体" w:eastAsia="仿宋_GB2312" w:cs="宋体"/>
                <w:kern w:val="0"/>
                <w:sz w:val="20"/>
                <w:szCs w:val="20"/>
              </w:rPr>
              <w:t>政府采购预算资金）</w:t>
            </w:r>
            <w:r>
              <w:rPr>
                <w:rFonts w:eastAsia="仿宋_GB2312"/>
                <w:kern w:val="0"/>
                <w:sz w:val="20"/>
                <w:szCs w:val="20"/>
              </w:rPr>
              <w:t>*</w:t>
            </w:r>
            <w:r>
              <w:rPr>
                <w:rFonts w:hint="eastAsia" w:ascii="仿宋_GB2312" w:hAnsi="宋体" w:eastAsia="仿宋_GB2312" w:cs="宋体"/>
                <w:kern w:val="0"/>
                <w:sz w:val="20"/>
                <w:szCs w:val="20"/>
              </w:rPr>
              <w:t>分值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szCs w:val="20"/>
              </w:rPr>
              <w:t>2</w:t>
            </w:r>
            <w:r>
              <w:rPr>
                <w:rFonts w:hint="eastAsia" w:ascii="仿宋_GB2312" w:hAnsi="宋体" w:eastAsia="仿宋_GB2312" w:cs="宋体"/>
                <w:kern w:val="0"/>
                <w:sz w:val="20"/>
                <w:szCs w:val="20"/>
              </w:rPr>
              <w:t>）</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实施计划备案后的调整或细化资金</w:t>
            </w:r>
            <w:r>
              <w:rPr>
                <w:rFonts w:eastAsia="仿宋_GB2312"/>
                <w:kern w:val="0"/>
                <w:sz w:val="20"/>
                <w:szCs w:val="20"/>
              </w:rPr>
              <w:t>/</w:t>
            </w:r>
            <w:r>
              <w:rPr>
                <w:rFonts w:hint="eastAsia" w:ascii="仿宋_GB2312" w:hAnsi="宋体" w:eastAsia="仿宋_GB2312" w:cs="宋体"/>
                <w:kern w:val="0"/>
                <w:sz w:val="20"/>
                <w:szCs w:val="20"/>
              </w:rPr>
              <w:t>实施计划备案后的资金）</w:t>
            </w:r>
            <w:r>
              <w:rPr>
                <w:rFonts w:eastAsia="仿宋_GB2312"/>
                <w:kern w:val="0"/>
                <w:sz w:val="20"/>
                <w:szCs w:val="20"/>
              </w:rPr>
              <w:t>*</w:t>
            </w:r>
            <w:r>
              <w:rPr>
                <w:rFonts w:hint="eastAsia" w:ascii="仿宋_GB2312" w:hAnsi="宋体" w:eastAsia="仿宋_GB2312" w:cs="宋体"/>
                <w:kern w:val="0"/>
                <w:sz w:val="20"/>
                <w:szCs w:val="20"/>
              </w:rPr>
              <w:t>分值</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CellMar>
            <w:top w:w="0" w:type="dxa"/>
            <w:left w:w="108" w:type="dxa"/>
            <w:bottom w:w="0" w:type="dxa"/>
            <w:right w:w="108" w:type="dxa"/>
          </w:tblCellMar>
        </w:tblPrEx>
        <w:trPr>
          <w:trHeight w:val="870"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61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szCs w:val="20"/>
              </w:rPr>
              <w:t>1</w:t>
            </w:r>
            <w:r>
              <w:rPr>
                <w:rFonts w:hint="eastAsia" w:ascii="仿宋_GB2312" w:hAnsi="宋体" w:eastAsia="仿宋_GB2312" w:cs="宋体"/>
                <w:kern w:val="0"/>
                <w:sz w:val="20"/>
                <w:szCs w:val="20"/>
              </w:rPr>
              <w:t>分。②未将资产变动情况及时录入系统，每次扣</w:t>
            </w:r>
            <w:r>
              <w:rPr>
                <w:rFonts w:eastAsia="仿宋_GB2312"/>
                <w:kern w:val="0"/>
                <w:sz w:val="20"/>
                <w:szCs w:val="20"/>
              </w:rPr>
              <w:t>0.5</w:t>
            </w:r>
            <w:r>
              <w:rPr>
                <w:rFonts w:hint="eastAsia" w:ascii="仿宋_GB2312" w:hAnsi="宋体" w:eastAsia="仿宋_GB2312" w:cs="宋体"/>
                <w:kern w:val="0"/>
                <w:sz w:val="20"/>
                <w:szCs w:val="20"/>
              </w:rPr>
              <w:t>分。③未落实人员负责管理系统，扣</w:t>
            </w:r>
            <w:r>
              <w:rPr>
                <w:rFonts w:eastAsia="仿宋_GB2312"/>
                <w:kern w:val="0"/>
                <w:sz w:val="20"/>
                <w:szCs w:val="20"/>
              </w:rPr>
              <w:t>1</w:t>
            </w:r>
            <w:r>
              <w:rPr>
                <w:rFonts w:hint="eastAsia" w:ascii="仿宋_GB2312" w:hAnsi="宋体" w:eastAsia="仿宋_GB2312" w:cs="宋体"/>
                <w:kern w:val="0"/>
                <w:sz w:val="20"/>
                <w:szCs w:val="20"/>
              </w:rPr>
              <w:t>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080"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szCs w:val="20"/>
              </w:rPr>
              <w:t>1</w:t>
            </w:r>
            <w:r>
              <w:rPr>
                <w:rFonts w:hint="eastAsia" w:ascii="仿宋_GB2312" w:hAnsi="宋体" w:eastAsia="仿宋_GB2312" w:cs="宋体"/>
                <w:kern w:val="0"/>
                <w:sz w:val="20"/>
                <w:szCs w:val="20"/>
              </w:rPr>
              <w:t>分。②资产清查结果与财政组织复核的结果误差超过</w:t>
            </w:r>
            <w:r>
              <w:rPr>
                <w:rFonts w:eastAsia="仿宋_GB2312"/>
                <w:kern w:val="0"/>
                <w:sz w:val="20"/>
                <w:szCs w:val="20"/>
              </w:rPr>
              <w:t>10%</w:t>
            </w:r>
            <w:r>
              <w:rPr>
                <w:rFonts w:hint="eastAsia" w:ascii="仿宋_GB2312" w:hAnsi="宋体" w:eastAsia="仿宋_GB2312" w:cs="宋体"/>
                <w:kern w:val="0"/>
                <w:sz w:val="20"/>
                <w:szCs w:val="20"/>
              </w:rPr>
              <w:t>的扣</w:t>
            </w:r>
            <w:r>
              <w:rPr>
                <w:rFonts w:eastAsia="仿宋_GB2312"/>
                <w:kern w:val="0"/>
                <w:sz w:val="20"/>
                <w:szCs w:val="20"/>
              </w:rPr>
              <w:t>1</w:t>
            </w:r>
            <w:r>
              <w:rPr>
                <w:rFonts w:hint="eastAsia" w:ascii="仿宋_GB2312" w:hAnsi="宋体" w:eastAsia="仿宋_GB2312" w:cs="宋体"/>
                <w:kern w:val="0"/>
                <w:sz w:val="20"/>
                <w:szCs w:val="20"/>
              </w:rPr>
              <w:t>分。③未及时按批复的清查结果进行账务调整扣</w:t>
            </w:r>
            <w:r>
              <w:rPr>
                <w:rFonts w:eastAsia="仿宋_GB2312"/>
                <w:kern w:val="0"/>
                <w:sz w:val="20"/>
                <w:szCs w:val="20"/>
              </w:rPr>
              <w:t>1</w:t>
            </w:r>
            <w:r>
              <w:rPr>
                <w:rFonts w:hint="eastAsia" w:ascii="仿宋_GB2312" w:hAnsi="宋体" w:eastAsia="仿宋_GB2312" w:cs="宋体"/>
                <w:kern w:val="0"/>
                <w:sz w:val="20"/>
                <w:szCs w:val="20"/>
              </w:rPr>
              <w:t>分。④未及时更新资产管理信息系统，导致系统资产数据与上报财政的资产清查结果不一致扣</w:t>
            </w:r>
            <w:r>
              <w:rPr>
                <w:rFonts w:eastAsia="仿宋_GB2312"/>
                <w:kern w:val="0"/>
                <w:sz w:val="20"/>
                <w:szCs w:val="20"/>
              </w:rPr>
              <w:t>1</w:t>
            </w:r>
            <w:r>
              <w:rPr>
                <w:rFonts w:hint="eastAsia" w:ascii="仿宋_GB2312" w:hAnsi="宋体" w:eastAsia="仿宋_GB2312" w:cs="宋体"/>
                <w:kern w:val="0"/>
                <w:sz w:val="20"/>
                <w:szCs w:val="20"/>
              </w:rPr>
              <w:t>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00"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szCs w:val="20"/>
              </w:rPr>
              <w:t>1</w:t>
            </w:r>
            <w:r>
              <w:rPr>
                <w:rFonts w:hint="eastAsia" w:ascii="仿宋_GB2312" w:hAnsi="宋体" w:eastAsia="仿宋_GB2312" w:cs="宋体"/>
                <w:kern w:val="0"/>
                <w:sz w:val="20"/>
                <w:szCs w:val="20"/>
              </w:rPr>
              <w:t>分。②报表填报不规范，内容不完整，数据不真实，扣</w:t>
            </w:r>
            <w:r>
              <w:rPr>
                <w:rFonts w:eastAsia="仿宋_GB2312"/>
                <w:kern w:val="0"/>
                <w:sz w:val="20"/>
                <w:szCs w:val="20"/>
              </w:rPr>
              <w:t>1</w:t>
            </w:r>
            <w:r>
              <w:rPr>
                <w:rFonts w:hint="eastAsia" w:ascii="仿宋_GB2312" w:hAnsi="宋体" w:eastAsia="仿宋_GB2312" w:cs="宋体"/>
                <w:kern w:val="0"/>
                <w:sz w:val="20"/>
                <w:szCs w:val="20"/>
              </w:rPr>
              <w:t>分。③未提交分析报告，对资产变动情况未作分析说明，扣</w:t>
            </w:r>
            <w:r>
              <w:rPr>
                <w:rFonts w:eastAsia="仿宋_GB2312"/>
                <w:kern w:val="0"/>
                <w:sz w:val="20"/>
                <w:szCs w:val="20"/>
              </w:rPr>
              <w:t>1</w:t>
            </w:r>
            <w:r>
              <w:rPr>
                <w:rFonts w:hint="eastAsia" w:ascii="仿宋_GB2312" w:hAnsi="宋体" w:eastAsia="仿宋_GB2312" w:cs="宋体"/>
                <w:kern w:val="0"/>
                <w:sz w:val="20"/>
                <w:szCs w:val="20"/>
              </w:rPr>
              <w:t>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0"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szCs w:val="20"/>
              </w:rPr>
              <w:t>4</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998"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020"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72" w:hRule="atLeast"/>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38" w:hRule="atLeast"/>
        </w:trPr>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综合管理（</w:t>
            </w:r>
            <w:r>
              <w:rPr>
                <w:kern w:val="0"/>
                <w:sz w:val="20"/>
                <w:szCs w:val="20"/>
              </w:rPr>
              <w:t>40</w:t>
            </w:r>
            <w:r>
              <w:rPr>
                <w:rFonts w:hint="eastAsia" w:ascii="宋体" w:hAnsi="宋体" w:cs="宋体"/>
                <w:kern w:val="0"/>
                <w:sz w:val="20"/>
                <w:szCs w:val="20"/>
              </w:rPr>
              <w:t>分）</w:t>
            </w: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szCs w:val="20"/>
              </w:rPr>
              <w:t>8</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szCs w:val="20"/>
              </w:rPr>
              <w:t>=</w:t>
            </w:r>
            <w:r>
              <w:rPr>
                <w:rFonts w:hint="eastAsia" w:ascii="仿宋_GB2312" w:hAnsi="宋体" w:eastAsia="仿宋_GB2312" w:cs="宋体"/>
                <w:kern w:val="0"/>
                <w:sz w:val="20"/>
                <w:szCs w:val="20"/>
              </w:rPr>
              <w:t>实施绩效评价项目数量</w:t>
            </w:r>
            <w:r>
              <w:rPr>
                <w:rFonts w:eastAsia="仿宋_GB2312"/>
                <w:kern w:val="0"/>
                <w:sz w:val="20"/>
                <w:szCs w:val="20"/>
              </w:rPr>
              <w:t>/</w:t>
            </w:r>
            <w:r>
              <w:rPr>
                <w:rFonts w:hint="eastAsia" w:ascii="仿宋_GB2312" w:hAnsi="宋体" w:eastAsia="仿宋_GB2312" w:cs="宋体"/>
                <w:kern w:val="0"/>
                <w:sz w:val="20"/>
                <w:szCs w:val="20"/>
              </w:rPr>
              <w:t>部门管理专项预算项目数量</w:t>
            </w:r>
            <w:r>
              <w:rPr>
                <w:rFonts w:eastAsia="仿宋_GB2312"/>
                <w:kern w:val="0"/>
                <w:sz w:val="20"/>
                <w:szCs w:val="20"/>
              </w:rPr>
              <w:t>×100%</w:t>
            </w:r>
            <w:r>
              <w:rPr>
                <w:rFonts w:hint="eastAsia" w:ascii="仿宋_GB2312" w:hAnsi="宋体" w:eastAsia="仿宋_GB2312" w:cs="宋体"/>
                <w:kern w:val="0"/>
                <w:sz w:val="20"/>
                <w:szCs w:val="20"/>
              </w:rPr>
              <w:t>，大于</w:t>
            </w:r>
            <w:r>
              <w:rPr>
                <w:rFonts w:eastAsia="仿宋_GB2312"/>
                <w:kern w:val="0"/>
                <w:sz w:val="20"/>
                <w:szCs w:val="20"/>
              </w:rPr>
              <w:t>50%</w:t>
            </w:r>
            <w:r>
              <w:rPr>
                <w:rFonts w:hint="eastAsia" w:ascii="仿宋_GB2312" w:hAnsi="宋体" w:eastAsia="仿宋_GB2312" w:cs="宋体"/>
                <w:kern w:val="0"/>
                <w:sz w:val="20"/>
                <w:szCs w:val="20"/>
              </w:rPr>
              <w:t>，得满分。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78"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szCs w:val="20"/>
              </w:rPr>
              <w:t>4</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szCs w:val="20"/>
              </w:rPr>
              <w:t>=</w:t>
            </w:r>
            <w:r>
              <w:rPr>
                <w:rFonts w:hint="eastAsia" w:ascii="仿宋_GB2312" w:hAnsi="宋体" w:eastAsia="仿宋_GB2312" w:cs="宋体"/>
                <w:kern w:val="0"/>
                <w:sz w:val="20"/>
                <w:szCs w:val="20"/>
              </w:rPr>
              <w:t>部门实际制定整改措施项目数量</w:t>
            </w:r>
            <w:r>
              <w:rPr>
                <w:rFonts w:eastAsia="仿宋_GB2312"/>
                <w:kern w:val="0"/>
                <w:sz w:val="20"/>
                <w:szCs w:val="20"/>
              </w:rPr>
              <w:t>/</w:t>
            </w:r>
            <w:r>
              <w:rPr>
                <w:rFonts w:hint="eastAsia" w:ascii="仿宋_GB2312" w:hAnsi="宋体" w:eastAsia="仿宋_GB2312" w:cs="宋体"/>
                <w:kern w:val="0"/>
                <w:sz w:val="20"/>
                <w:szCs w:val="20"/>
              </w:rPr>
              <w:t>应制定整改措施的项目数量</w:t>
            </w:r>
            <w:r>
              <w:rPr>
                <w:rFonts w:eastAsia="仿宋_GB2312"/>
                <w:kern w:val="0"/>
                <w:sz w:val="20"/>
                <w:szCs w:val="20"/>
              </w:rPr>
              <w:t>×100%</w:t>
            </w:r>
            <w:r>
              <w:rPr>
                <w:rFonts w:hint="eastAsia" w:ascii="仿宋_GB2312" w:hAnsi="宋体" w:eastAsia="仿宋_GB2312" w:cs="宋体"/>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75"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szCs w:val="20"/>
              </w:rPr>
              <w:t>0.5</w:t>
            </w:r>
            <w:r>
              <w:rPr>
                <w:rFonts w:hint="eastAsia" w:ascii="仿宋_GB2312" w:hAnsi="宋体" w:eastAsia="仿宋_GB2312" w:cs="宋体"/>
                <w:kern w:val="0"/>
                <w:sz w:val="20"/>
                <w:szCs w:val="20"/>
              </w:rPr>
              <w:t>分；报告内容不完整，扣</w:t>
            </w:r>
            <w:r>
              <w:rPr>
                <w:rFonts w:eastAsia="仿宋_GB2312"/>
                <w:kern w:val="0"/>
                <w:sz w:val="20"/>
                <w:szCs w:val="20"/>
              </w:rPr>
              <w:t>1</w:t>
            </w:r>
            <w:r>
              <w:rPr>
                <w:rFonts w:hint="eastAsia" w:ascii="仿宋_GB2312" w:hAnsi="宋体" w:eastAsia="仿宋_GB2312" w:cs="宋体"/>
                <w:kern w:val="0"/>
                <w:sz w:val="20"/>
                <w:szCs w:val="20"/>
              </w:rPr>
              <w:t>分；报表质量差（如：数据、逻辑、勾稽关系错误）等扣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45"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885"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szCs w:val="20"/>
              </w:rPr>
              <w:t>2</w:t>
            </w:r>
            <w:r>
              <w:rPr>
                <w:rFonts w:hint="eastAsia" w:ascii="仿宋_GB2312" w:hAnsi="宋体" w:eastAsia="仿宋_GB2312" w:cs="宋体"/>
                <w:kern w:val="0"/>
                <w:sz w:val="20"/>
                <w:szCs w:val="20"/>
              </w:rPr>
              <w:t>分）</w:t>
            </w:r>
          </w:p>
        </w:tc>
        <w:tc>
          <w:tcPr>
            <w:tcW w:w="4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6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624" w:hRule="atLeast"/>
        </w:trPr>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szCs w:val="20"/>
              </w:rPr>
              <w:t>20</w:t>
            </w:r>
            <w:r>
              <w:rPr>
                <w:rFonts w:hint="eastAsia" w:ascii="仿宋_GB2312" w:hAnsi="宋体" w:eastAsia="仿宋_GB2312" w:cs="宋体"/>
                <w:kern w:val="0"/>
                <w:sz w:val="20"/>
                <w:szCs w:val="20"/>
              </w:rPr>
              <w:t>分）</w:t>
            </w: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szCs w:val="20"/>
              </w:rPr>
              <w:t>20</w:t>
            </w:r>
            <w:r>
              <w:rPr>
                <w:rFonts w:hint="eastAsia" w:ascii="仿宋_GB2312" w:hAnsi="宋体" w:eastAsia="仿宋_GB2312" w:cs="宋体"/>
                <w:kern w:val="0"/>
                <w:sz w:val="20"/>
                <w:szCs w:val="20"/>
              </w:rPr>
              <w:t>分）</w:t>
            </w:r>
          </w:p>
        </w:tc>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4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6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szCs w:val="20"/>
              </w:rPr>
              <w:t>3</w:t>
            </w:r>
            <w:r>
              <w:rPr>
                <w:rFonts w:hint="eastAsia" w:ascii="仿宋_GB2312" w:hAnsi="宋体" w:eastAsia="仿宋_GB2312" w:cs="宋体"/>
                <w:kern w:val="0"/>
                <w:sz w:val="20"/>
                <w:szCs w:val="20"/>
              </w:rPr>
              <w:t>个。若该部门出现重大安全责任事故、财经违法乱纪现象、群体事件、重大不良社会影响等状况时，此项考核不得分。</w:t>
            </w:r>
          </w:p>
        </w:tc>
        <w:tc>
          <w:tcPr>
            <w:tcW w:w="7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r>
      <w:tr>
        <w:tblPrEx>
          <w:tblCellMar>
            <w:top w:w="0" w:type="dxa"/>
            <w:left w:w="108" w:type="dxa"/>
            <w:bottom w:w="0" w:type="dxa"/>
            <w:right w:w="108" w:type="dxa"/>
          </w:tblCellMar>
        </w:tblPrEx>
        <w:trPr>
          <w:trHeight w:val="624"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0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1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0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61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7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12" w:hRule="atLeast"/>
        </w:trPr>
        <w:tc>
          <w:tcPr>
            <w:tcW w:w="940" w:type="dxa"/>
            <w:tcBorders>
              <w:top w:val="nil"/>
              <w:left w:val="nil"/>
              <w:bottom w:val="nil"/>
              <w:right w:val="nil"/>
            </w:tcBorders>
            <w:shd w:val="clear" w:color="auto" w:fill="auto"/>
            <w:vAlign w:val="center"/>
          </w:tcPr>
          <w:p>
            <w:pPr>
              <w:widowControl/>
              <w:jc w:val="center"/>
              <w:rPr>
                <w:kern w:val="0"/>
                <w:sz w:val="20"/>
                <w:szCs w:val="20"/>
              </w:rPr>
            </w:pPr>
          </w:p>
        </w:tc>
        <w:tc>
          <w:tcPr>
            <w:tcW w:w="980" w:type="dxa"/>
            <w:tcBorders>
              <w:top w:val="nil"/>
              <w:left w:val="nil"/>
              <w:bottom w:val="nil"/>
              <w:right w:val="nil"/>
            </w:tcBorders>
            <w:shd w:val="clear" w:color="auto" w:fill="auto"/>
            <w:vAlign w:val="center"/>
          </w:tcPr>
          <w:p>
            <w:pPr>
              <w:widowControl/>
              <w:jc w:val="center"/>
              <w:rPr>
                <w:kern w:val="0"/>
                <w:sz w:val="20"/>
                <w:szCs w:val="20"/>
              </w:rPr>
            </w:pPr>
          </w:p>
        </w:tc>
        <w:tc>
          <w:tcPr>
            <w:tcW w:w="1560" w:type="dxa"/>
            <w:tcBorders>
              <w:top w:val="nil"/>
              <w:left w:val="nil"/>
              <w:bottom w:val="nil"/>
              <w:right w:val="nil"/>
            </w:tcBorders>
            <w:shd w:val="clear" w:color="auto" w:fill="auto"/>
            <w:vAlign w:val="center"/>
          </w:tcPr>
          <w:p>
            <w:pPr>
              <w:widowControl/>
              <w:jc w:val="center"/>
              <w:rPr>
                <w:kern w:val="0"/>
                <w:sz w:val="20"/>
                <w:szCs w:val="20"/>
              </w:rPr>
            </w:pPr>
          </w:p>
        </w:tc>
        <w:tc>
          <w:tcPr>
            <w:tcW w:w="4060" w:type="dxa"/>
            <w:tcBorders>
              <w:top w:val="nil"/>
              <w:left w:val="nil"/>
              <w:bottom w:val="nil"/>
              <w:right w:val="nil"/>
            </w:tcBorders>
            <w:shd w:val="clear" w:color="auto" w:fill="auto"/>
            <w:vAlign w:val="center"/>
          </w:tcPr>
          <w:p>
            <w:pPr>
              <w:widowControl/>
              <w:jc w:val="center"/>
              <w:rPr>
                <w:kern w:val="0"/>
                <w:sz w:val="20"/>
                <w:szCs w:val="20"/>
              </w:rPr>
            </w:pPr>
          </w:p>
        </w:tc>
        <w:tc>
          <w:tcPr>
            <w:tcW w:w="6100" w:type="dxa"/>
            <w:tcBorders>
              <w:top w:val="nil"/>
              <w:left w:val="nil"/>
              <w:bottom w:val="nil"/>
              <w:right w:val="nil"/>
            </w:tcBorders>
            <w:shd w:val="clear" w:color="auto" w:fill="auto"/>
            <w:vAlign w:val="center"/>
          </w:tcPr>
          <w:p>
            <w:pPr>
              <w:widowControl/>
              <w:jc w:val="left"/>
              <w:rPr>
                <w:kern w:val="0"/>
                <w:sz w:val="20"/>
                <w:szCs w:val="20"/>
              </w:rPr>
            </w:pPr>
          </w:p>
        </w:tc>
        <w:tc>
          <w:tcPr>
            <w:tcW w:w="78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78" w:hRule="atLeast"/>
        </w:trPr>
        <w:tc>
          <w:tcPr>
            <w:tcW w:w="13640" w:type="dxa"/>
            <w:gridSpan w:val="5"/>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78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p>
        </w:tc>
      </w:tr>
    </w:tbl>
    <w:p>
      <w:pPr>
        <w:widowControl/>
        <w:jc w:val="left"/>
        <w:rPr>
          <w:rFonts w:ascii="仿宋_GB2312" w:hAnsi="仿宋_GB2312" w:eastAsia="仿宋_GB2312" w:cs="仿宋_GB2312"/>
          <w:sz w:val="32"/>
          <w:szCs w:val="32"/>
        </w:rPr>
        <w:sectPr>
          <w:pgSz w:w="16838" w:h="11906" w:orient="landscape"/>
          <w:pgMar w:top="1797" w:right="1440" w:bottom="1797" w:left="1440" w:header="851" w:footer="992" w:gutter="0"/>
          <w:pgNumType w:start="1"/>
          <w:cols w:space="425" w:num="1"/>
          <w:titlePg/>
          <w:docGrid w:type="linesAndChars" w:linePitch="312" w:charSpace="0"/>
        </w:sectPr>
      </w:pPr>
    </w:p>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p>
    <w:p>
      <w:pPr>
        <w:pStyle w:val="3"/>
        <w:rPr>
          <w:rStyle w:val="25"/>
          <w:rFonts w:ascii="仿宋" w:hAnsi="仿宋" w:eastAsia="仿宋"/>
          <w:b w:val="0"/>
          <w:bCs w:val="0"/>
          <w:sz w:val="32"/>
          <w:szCs w:val="32"/>
        </w:rPr>
      </w:pPr>
      <w:bookmarkStart w:id="61" w:name="_Toc15396617"/>
      <w:r>
        <w:rPr>
          <w:rStyle w:val="25"/>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达川区陈家乡中心学校</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2018年民生工程以外人员经费项目支出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学校经费的大头是</w:t>
      </w:r>
      <w:r>
        <w:rPr>
          <w:rFonts w:hint="eastAsia" w:ascii="仿宋_GB2312" w:hAnsi="仿宋_GB2312" w:eastAsia="仿宋_GB2312" w:cs="仿宋_GB2312"/>
          <w:sz w:val="32"/>
          <w:szCs w:val="32"/>
        </w:rPr>
        <w:t>民生工程以外</w:t>
      </w:r>
      <w:r>
        <w:rPr>
          <w:rFonts w:hint="eastAsia" w:ascii="仿宋" w:hAnsi="仿宋" w:eastAsia="仿宋" w:cs="仿宋_GB2312"/>
          <w:sz w:val="32"/>
          <w:szCs w:val="32"/>
        </w:rPr>
        <w:t>人员经费，涉及全体教职员工的权益和福利，因此学校把这项费用纳入项目支出绩效评价。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为是否足额发放在职教师工资、购买养老保险、职业年金、医保、工伤、住房公积金、工会经费及临聘人员的工资补助。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723.45</w:t>
      </w:r>
      <w:r>
        <w:rPr>
          <w:rFonts w:hint="eastAsia" w:ascii="仿宋" w:hAnsi="仿宋" w:eastAsia="仿宋" w:cs="仿宋_GB2312"/>
          <w:sz w:val="32"/>
          <w:szCs w:val="32"/>
        </w:rPr>
        <w:t>万元，足额用于发放学校教职员工的工资、五险一金。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为让全体教职员工全部及时得到补助，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暂未发现问题。</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无。</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sectPr>
          <w:pgSz w:w="11906" w:h="16838"/>
          <w:pgMar w:top="1440" w:right="1797" w:bottom="1440" w:left="1797" w:header="851" w:footer="992" w:gutter="0"/>
          <w:pgNumType w:start="1"/>
          <w:cols w:space="425" w:num="1"/>
          <w:titlePg/>
          <w:docGrid w:type="lines" w:linePitch="312" w:charSpace="0"/>
        </w:sectPr>
      </w:pPr>
    </w:p>
    <w:p>
      <w:pPr>
        <w:spacing w:line="580" w:lineRule="exact"/>
        <w:ind w:left="640"/>
        <w:rPr>
          <w:rStyle w:val="25"/>
          <w:rFonts w:ascii="仿宋" w:hAnsi="仿宋" w:eastAsia="仿宋" w:cs="仿宋_GB2312"/>
          <w:b w:val="0"/>
          <w:bCs w:val="0"/>
          <w:kern w:val="2"/>
          <w:sz w:val="32"/>
          <w:szCs w:val="32"/>
        </w:rPr>
      </w:pPr>
    </w:p>
    <w:tbl>
      <w:tblPr>
        <w:tblStyle w:val="12"/>
        <w:tblW w:w="14940" w:type="dxa"/>
        <w:tblInd w:w="93" w:type="dxa"/>
        <w:tblLayout w:type="autofit"/>
        <w:tblCellMar>
          <w:top w:w="0" w:type="dxa"/>
          <w:left w:w="108" w:type="dxa"/>
          <w:bottom w:w="0" w:type="dxa"/>
          <w:right w:w="108" w:type="dxa"/>
        </w:tblCellMar>
      </w:tblPr>
      <w:tblGrid>
        <w:gridCol w:w="660"/>
        <w:gridCol w:w="740"/>
        <w:gridCol w:w="980"/>
        <w:gridCol w:w="3700"/>
        <w:gridCol w:w="6240"/>
        <w:gridCol w:w="1900"/>
        <w:gridCol w:w="720"/>
      </w:tblGrid>
      <w:tr>
        <w:tblPrEx>
          <w:tblCellMar>
            <w:top w:w="0" w:type="dxa"/>
            <w:left w:w="108" w:type="dxa"/>
            <w:bottom w:w="0" w:type="dxa"/>
            <w:right w:w="108" w:type="dxa"/>
          </w:tblCellMar>
        </w:tblPrEx>
        <w:trPr>
          <w:trHeight w:val="1069" w:hRule="atLeast"/>
        </w:trPr>
        <w:tc>
          <w:tcPr>
            <w:tcW w:w="14220" w:type="dxa"/>
            <w:gridSpan w:val="6"/>
            <w:tcBorders>
              <w:top w:val="nil"/>
              <w:left w:val="nil"/>
              <w:bottom w:val="single" w:color="auto" w:sz="4" w:space="0"/>
              <w:right w:val="nil"/>
            </w:tcBorders>
            <w:shd w:val="clear" w:color="000000" w:fill="FFFFFF"/>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达川区陈家乡中心学校单位支出绩效评价得分表</w:t>
            </w:r>
          </w:p>
        </w:tc>
        <w:tc>
          <w:tcPr>
            <w:tcW w:w="720" w:type="dxa"/>
            <w:tcBorders>
              <w:top w:val="nil"/>
              <w:left w:val="nil"/>
              <w:bottom w:val="nil"/>
              <w:right w:val="nil"/>
            </w:tcBorders>
            <w:shd w:val="clear" w:color="auto" w:fill="auto"/>
            <w:noWrap/>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55"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74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370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指标解释</w:t>
            </w:r>
          </w:p>
        </w:tc>
        <w:tc>
          <w:tcPr>
            <w:tcW w:w="624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考核要点</w:t>
            </w:r>
          </w:p>
        </w:tc>
        <w:tc>
          <w:tcPr>
            <w:tcW w:w="190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计分标准</w:t>
            </w:r>
          </w:p>
        </w:tc>
        <w:tc>
          <w:tcPr>
            <w:tcW w:w="7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自评得分</w:t>
            </w:r>
          </w:p>
        </w:tc>
      </w:tr>
      <w:tr>
        <w:tblPrEx>
          <w:tblCellMar>
            <w:top w:w="0" w:type="dxa"/>
            <w:left w:w="108" w:type="dxa"/>
            <w:bottom w:w="0" w:type="dxa"/>
            <w:right w:w="108" w:type="dxa"/>
          </w:tblCellMar>
        </w:tblPrEx>
        <w:trPr>
          <w:trHeight w:val="1305" w:hRule="atLeast"/>
        </w:trPr>
        <w:tc>
          <w:tcPr>
            <w:tcW w:w="66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   入（20分）</w:t>
            </w:r>
          </w:p>
        </w:tc>
        <w:tc>
          <w:tcPr>
            <w:tcW w:w="7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立项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项目立项规范性（3分）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项目的申请、设立过程是否符合相关要求，用以反映和考核项目立项的规范情况。</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①项目是否按照规定的程序申请设立；</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②所提交的文件、材料是否符合相关要求；</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③事前是否已经过必要的可行性研究、专家论证、风险评估、集体决策等。</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68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目标设置合理性（4分）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项目所设定的预期目标是否依据充分，是否符合客观实际，用以反映和考核项目目标与实施项目的相符情况。</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①是否符合国家相关法律法规、国民经济发展规划和党委政府决策；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②是否与项目实施单位或委托单位职责密切相关；</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③项目是否为促进事业发展所必需；</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④项目预期产出效益和效果是否符合正常的业绩水平。</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26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绩效指标明确性（3分）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依据绩效目标设定的绩效指标是否清晰、细化、可衡量等，用以反映和考核项目绩效目标的明细化情况。</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①是否将项目绩效目标细化分解为具体的绩效指标；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②是否通过清晰、可衡量的指标值予以体现；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③是否与项目年度任务数或计划数相对应；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④是否与预算确定的项目投资额或资金量相匹配。</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005"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落实</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资金保障率（5分）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项目来源明确资金与计划投入资金的比率，用以反映和考核资金来源情况对项目实施的总体保障程度。</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资金保障率=（已确定资金/计划投入资金）×100%。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已明确资金：指项目实施前已有明确资金来源的，包括提前下达的资金。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计划投入资金：一定时期（本年度或项目期）内计划投入到该项目的资金。</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大于80%，得满分；50%-80%，得3分；低于50%，不得分。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23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资金到位率（5分）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在规定时点内，实际到位资金与计划投入的资金的比率，用以反映和考核资金落实情况对项目实施的总体保障程度。</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资金到位率=（实际到位资金/计划投入资金）×100%。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实际到位资金：一定时期（本年度或项目期）内实际落实到具体项目的资金。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计划投入资金：一定时期（本年度或项目期）内计划投入到具体项目的资金。</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快于工程进度的，得满分；低于工程进度在30%以内的，得3分；低于工程进度30%以上的，不得分。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840" w:hRule="atLeast"/>
        </w:trPr>
        <w:tc>
          <w:tcPr>
            <w:tcW w:w="66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7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管理制度健全性（4分）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项目实施单位的项目管理制度是否健全，用以反映和考核项目管理制度对项目顺利实施的保障情况。</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①是否已制定或具有相应的项目管理制度；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②项目管理制度是否合法、合规、完整。</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429"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制度执行有效性（6分）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项目实施是否符合相关项目管理规定，用以反映和考核项目管理制度的有效执行情况。</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page"/>
            </w:r>
            <w:r>
              <w:rPr>
                <w:rFonts w:hint="eastAsia" w:ascii="楷体_GB2312" w:hAnsi="宋体" w:eastAsia="楷体_GB2312" w:cs="宋体"/>
                <w:kern w:val="0"/>
                <w:sz w:val="20"/>
                <w:szCs w:val="20"/>
              </w:rPr>
              <w:t>①是否遵守相关法律法规和业务管理规定；</w:t>
            </w:r>
            <w:r>
              <w:rPr>
                <w:rFonts w:hint="eastAsia" w:ascii="楷体_GB2312" w:hAnsi="宋体" w:eastAsia="楷体_GB2312" w:cs="宋体"/>
                <w:kern w:val="0"/>
                <w:sz w:val="20"/>
                <w:szCs w:val="20"/>
              </w:rPr>
              <w:br w:type="page"/>
            </w:r>
            <w:r>
              <w:rPr>
                <w:rFonts w:hint="eastAsia" w:ascii="楷体_GB2312" w:hAnsi="宋体" w:eastAsia="楷体_GB2312" w:cs="宋体"/>
                <w:kern w:val="0"/>
                <w:sz w:val="20"/>
                <w:szCs w:val="20"/>
              </w:rPr>
              <w:t>②项目调整及支出调整手续是否完备；</w:t>
            </w:r>
            <w:r>
              <w:rPr>
                <w:rFonts w:hint="eastAsia" w:ascii="楷体_GB2312" w:hAnsi="宋体" w:eastAsia="楷体_GB2312" w:cs="宋体"/>
                <w:kern w:val="0"/>
                <w:sz w:val="20"/>
                <w:szCs w:val="20"/>
              </w:rPr>
              <w:br w:type="page"/>
            </w:r>
            <w:r>
              <w:rPr>
                <w:rFonts w:hint="eastAsia" w:ascii="楷体_GB2312" w:hAnsi="宋体" w:eastAsia="楷体_GB2312" w:cs="宋体"/>
                <w:kern w:val="0"/>
                <w:sz w:val="20"/>
                <w:szCs w:val="20"/>
              </w:rPr>
              <w:t>③项目合同书、验收报告、技术鉴定等资料是否齐全并及时归档；</w:t>
            </w:r>
            <w:r>
              <w:rPr>
                <w:rFonts w:hint="eastAsia" w:ascii="楷体_GB2312" w:hAnsi="宋体" w:eastAsia="楷体_GB2312" w:cs="宋体"/>
                <w:kern w:val="0"/>
                <w:sz w:val="20"/>
                <w:szCs w:val="20"/>
              </w:rPr>
              <w:br w:type="page"/>
            </w:r>
            <w:r>
              <w:rPr>
                <w:rFonts w:hint="eastAsia" w:ascii="楷体_GB2312" w:hAnsi="宋体" w:eastAsia="楷体_GB2312" w:cs="宋体"/>
                <w:kern w:val="0"/>
                <w:sz w:val="20"/>
                <w:szCs w:val="20"/>
              </w:rPr>
              <w:t>④项目实施的人员条件、场地设备、信息支撑等是否落实到位。</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出现1处不按规定执行的，扣1分，直至扣完为止。</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1418" w:hRule="atLeast"/>
        </w:trPr>
        <w:tc>
          <w:tcPr>
            <w:tcW w:w="66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740" w:type="dxa"/>
            <w:tcBorders>
              <w:top w:val="nil"/>
              <w:left w:val="nil"/>
              <w:bottom w:val="nil"/>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项目质量可控性（5分）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项目实施单位是否为达到项目质量要求而采取了必需的措施,用以反映和考核项目实施单位对项目质量的控制情况。</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①是否已制定或具有相应的项目质量要求或标准；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②项目实施主体是否具体相应执行能力。</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③是否采取了相应的项目质量检查、验收等必需的控制措施或手段。</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743"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财务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控制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财务制度健全性（3分）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项目实施单位的财务制度是否健全，用以反映和考核财务管理制度对资金规范、安全运行的保障情况。</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①是否已制定或具有相应的项目资金管理办法；</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②项目资金管理办法是否符合相关财务会计制度的规定。</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932"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资金使用合规性（10）</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项目资金使用是否符合相关的财务管理制度规定，用以反映和考核项目资金的规范运行情况。</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①是否符合国家财经法规和财务管理制度以及有关专项资金管理办法的规定；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②资金的拨付是否有完整的审批程序和手续；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③项目的重大开支是否经过评估认证；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④是否符合项目预算批复或合同规定的用途；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⑤是否存在截留、挤占、挪用、虚列支出等情况。</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出现1处资金使用管理违规现象，扣1分，直至扣完为止。</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1095"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财务监控有效性（2分）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项目实施单位是否为保障资金的安全、规范运行而采取了必要的监控措施，用以反映和考核项目实施单位对资金运行的控制情况。</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①是否已制定或具有相应的监控机制；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②是否采取了相应的财务检查等必要的监控措施或手段。</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出现制度缺失或财务违规现象，不得分。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1249" w:hRule="atLeast"/>
        </w:trPr>
        <w:tc>
          <w:tcPr>
            <w:tcW w:w="660" w:type="dxa"/>
            <w:vMerge w:val="restart"/>
            <w:tcBorders>
              <w:top w:val="nil"/>
              <w:left w:val="single" w:color="auto" w:sz="4" w:space="0"/>
              <w:bottom w:val="single" w:color="000000"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7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目标差异率（5分）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项目实施的实际产出数与计划产出数的比率，用以反映和考核项目产出数量目标的实现程度。</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目标差异率=（实际产出数-计划产出数）/计划产出数×100%。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实际产出数：一定时期（本年度或项目期）内项目实际产出的产品或提供的服务数量。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计划产出数：项目绩效目标确定的在一定时期（本年度或项目期）内计划产出的产品或提供的服务数量。</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若：-10%&lt;差异率&lt;15%，得满分;15%&lt;差异率&lt;30%，得3分;差异率&lt;-10%,差异率&gt;30%,不得分。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189"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项目进度率（5分）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项目实际完成时间与计划完成时间的比率，用以反映和考核项目产出时效目标的实现程度。</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项目进度率=实际完成时间/计划完成时间×100%。</w:t>
            </w:r>
            <w:r>
              <w:rPr>
                <w:rFonts w:hint="eastAsia" w:ascii="楷体_GB2312" w:hAnsi="宋体" w:eastAsia="楷体_GB2312" w:cs="宋体"/>
                <w:kern w:val="0"/>
                <w:sz w:val="20"/>
                <w:szCs w:val="20"/>
              </w:rPr>
              <w:br w:type="page"/>
            </w:r>
            <w:r>
              <w:rPr>
                <w:rFonts w:hint="eastAsia" w:ascii="楷体_GB2312" w:hAnsi="宋体" w:eastAsia="楷体_GB2312" w:cs="宋体"/>
                <w:kern w:val="0"/>
                <w:sz w:val="20"/>
                <w:szCs w:val="20"/>
              </w:rPr>
              <w:t>实际完成时间：项目实施单位完成该项目实际所耗用的时间。</w:t>
            </w:r>
            <w:r>
              <w:rPr>
                <w:rFonts w:hint="eastAsia" w:ascii="楷体_GB2312" w:hAnsi="宋体" w:eastAsia="楷体_GB2312" w:cs="宋体"/>
                <w:kern w:val="0"/>
                <w:sz w:val="20"/>
                <w:szCs w:val="20"/>
              </w:rPr>
              <w:br w:type="page"/>
            </w:r>
            <w:r>
              <w:rPr>
                <w:rFonts w:hint="eastAsia" w:ascii="楷体_GB2312" w:hAnsi="宋体" w:eastAsia="楷体_GB2312" w:cs="宋体"/>
                <w:kern w:val="0"/>
                <w:sz w:val="20"/>
                <w:szCs w:val="20"/>
              </w:rPr>
              <w:t>计划完成时间：按照项目实施计划或相关规定完成该项目所需的时间。</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不超过100%，得满分；不超过120%,得3分；超过120%，不得分。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298" w:hRule="atLeast"/>
        </w:trPr>
        <w:tc>
          <w:tcPr>
            <w:tcW w:w="66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质量达标率（5分）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项目完成的质量达标产出数与实际产出数的比率，用以反映和考核项目产出质量目标的实现程度。</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质量达标率=（质量达标产出数/实际产出数）×100%。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质量达标产出数：一定时期（本年度或项目期）内实际达到既定质量标准的产品或服务数量。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既定质量标准是指项目实施单位设立绩效目标时依据计划标准、行业标准、历史标准或其他标准而设定的绩效指标值。</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超过90%，得满分，超过70%，得3分；低于70%，不得分。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2070" w:hRule="atLeast"/>
        </w:trPr>
        <w:tc>
          <w:tcPr>
            <w:tcW w:w="660" w:type="dxa"/>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740" w:type="dxa"/>
            <w:tcBorders>
              <w:top w:val="nil"/>
              <w:left w:val="nil"/>
              <w:bottom w:val="nil"/>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成本节约率（5分）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完成项目计划工作目标的实际节约成本与计划成本的比率，用以反映和考核项目的成本节约程度。</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成本节约率=[（实际成本-计划成本）/计划成本]×100%。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实际成本：项目实施单位如期、保质、保量完成既定工作目标实际所耗费的支出。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计划成本：项目实施单位为完成工作目标计划安排的支出，一般以项目预算为参考。</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低于0，得满分；不超过10%，得3分；超过10%，不得分。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570" w:hRule="atLeast"/>
        </w:trPr>
        <w:tc>
          <w:tcPr>
            <w:tcW w:w="66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   果（30分）</w:t>
            </w:r>
          </w:p>
        </w:tc>
        <w:tc>
          <w:tcPr>
            <w:tcW w:w="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（30分）</w:t>
            </w: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项目实施对经济发展所带来的直接或间接影响情况。</w:t>
            </w:r>
          </w:p>
        </w:tc>
        <w:tc>
          <w:tcPr>
            <w:tcW w:w="62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19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根据具体指标特性设置得分标准。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69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项目实施对社会发展所带来的直接或间接影响情况。</w:t>
            </w:r>
          </w:p>
        </w:tc>
        <w:tc>
          <w:tcPr>
            <w:tcW w:w="62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90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63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生态效益</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项目实施对生态环境所带来的直接或间接影响情况。</w:t>
            </w:r>
          </w:p>
        </w:tc>
        <w:tc>
          <w:tcPr>
            <w:tcW w:w="62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90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630"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可持续影响</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项目后续运行及成效发挥的可持续影响情况。</w:t>
            </w:r>
          </w:p>
        </w:tc>
        <w:tc>
          <w:tcPr>
            <w:tcW w:w="62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90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155" w:hRule="atLeast"/>
        </w:trPr>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98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社会公众或服务对象满意度（5分）</w:t>
            </w:r>
          </w:p>
        </w:tc>
        <w:tc>
          <w:tcPr>
            <w:tcW w:w="37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社会公众或服务对象对项目实施效果的满意程度。</w:t>
            </w:r>
          </w:p>
        </w:tc>
        <w:tc>
          <w:tcPr>
            <w:tcW w:w="624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社会公众或服务对象是指因该项目实施而受到影响的部门（单位）、群体或个人；一般采取社会调查的方式；调查份数不低于10份。</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满意度&gt;90%，才得分，低于不得分。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bl>
    <w:p>
      <w:pPr>
        <w:spacing w:line="580" w:lineRule="exact"/>
        <w:ind w:left="640"/>
        <w:rPr>
          <w:rStyle w:val="25"/>
          <w:rFonts w:ascii="仿宋" w:hAnsi="仿宋" w:eastAsia="仿宋" w:cs="仿宋_GB2312"/>
          <w:b w:val="0"/>
          <w:bCs w:val="0"/>
          <w:kern w:val="2"/>
          <w:sz w:val="32"/>
          <w:szCs w:val="32"/>
        </w:rPr>
        <w:sectPr>
          <w:pgSz w:w="16838" w:h="11906" w:orient="landscape"/>
          <w:pgMar w:top="1797" w:right="1440" w:bottom="1797" w:left="1440" w:header="851" w:footer="992" w:gutter="0"/>
          <w:pgNumType w:start="1"/>
          <w:cols w:space="425" w:num="1"/>
          <w:titlePg/>
          <w:docGrid w:type="linesAndChars" w:linePitch="312" w:charSpace="0"/>
        </w:sectPr>
      </w:pPr>
    </w:p>
    <w:p>
      <w:pPr>
        <w:spacing w:line="600" w:lineRule="exact"/>
        <w:jc w:val="center"/>
        <w:outlineLvl w:val="0"/>
        <w:rPr>
          <w:rStyle w:val="25"/>
          <w:rFonts w:ascii="黑体" w:hAnsi="黑体" w:eastAsia="黑体"/>
          <w:b w:val="0"/>
        </w:rPr>
      </w:pPr>
      <w:bookmarkStart w:id="62" w:name="_Toc15396618"/>
      <w:r>
        <w:rPr>
          <w:rFonts w:hint="eastAsia" w:ascii="黑体" w:hAnsi="黑体" w:eastAsia="黑体"/>
          <w:sz w:val="44"/>
          <w:szCs w:val="44"/>
        </w:rPr>
        <w:t>第</w:t>
      </w:r>
      <w:r>
        <w:rPr>
          <w:rStyle w:val="25"/>
          <w:rFonts w:hint="eastAsia" w:ascii="黑体" w:hAnsi="黑体" w:eastAsia="黑体"/>
          <w:b w:val="0"/>
        </w:rPr>
        <w:t>五部分 附表</w:t>
      </w:r>
      <w:bookmarkEnd w:id="57"/>
      <w:bookmarkEnd w:id="62"/>
    </w:p>
    <w:p>
      <w:pPr>
        <w:pStyle w:val="3"/>
        <w:rPr>
          <w:rFonts w:ascii="仿宋" w:hAnsi="仿宋" w:eastAsia="仿宋"/>
        </w:rPr>
      </w:pPr>
      <w:bookmarkStart w:id="63" w:name="_Toc15396619"/>
      <w:r>
        <w:rPr>
          <w:rFonts w:hint="eastAsia" w:ascii="仿宋" w:hAnsi="仿宋" w:eastAsia="仿宋"/>
          <w:b w:val="0"/>
        </w:rPr>
        <w:t>一、收</w:t>
      </w:r>
      <w:r>
        <w:rPr>
          <w:rStyle w:val="26"/>
          <w:rFonts w:hint="eastAsia" w:ascii="仿宋" w:hAnsi="仿宋" w:eastAsia="仿宋"/>
          <w:b w:val="0"/>
          <w:bCs w:val="0"/>
        </w:rPr>
        <w:t>入支出决算总表</w:t>
      </w:r>
      <w:bookmarkEnd w:id="63"/>
    </w:p>
    <w:p>
      <w:pPr>
        <w:pStyle w:val="3"/>
        <w:rPr>
          <w:rFonts w:ascii="仿宋" w:hAnsi="仿宋" w:eastAsia="仿宋"/>
        </w:rPr>
      </w:pPr>
      <w:bookmarkStart w:id="64" w:name="_Toc15396620"/>
      <w:r>
        <w:rPr>
          <w:rFonts w:hint="eastAsia" w:ascii="仿宋" w:hAnsi="仿宋" w:eastAsia="仿宋"/>
          <w:b w:val="0"/>
        </w:rPr>
        <w:t>二、收</w:t>
      </w:r>
      <w:r>
        <w:rPr>
          <w:rStyle w:val="26"/>
          <w:rFonts w:hint="eastAsia" w:ascii="仿宋" w:hAnsi="仿宋" w:eastAsia="仿宋"/>
          <w:b w:val="0"/>
          <w:bCs w:val="0"/>
        </w:rPr>
        <w:t>入总表</w:t>
      </w:r>
      <w:bookmarkEnd w:id="64"/>
    </w:p>
    <w:p>
      <w:pPr>
        <w:pStyle w:val="3"/>
        <w:rPr>
          <w:rFonts w:ascii="仿宋" w:hAnsi="仿宋" w:eastAsia="仿宋"/>
        </w:rPr>
      </w:pPr>
      <w:bookmarkStart w:id="65"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5"/>
    </w:p>
    <w:p>
      <w:pPr>
        <w:pStyle w:val="3"/>
        <w:rPr>
          <w:rFonts w:ascii="仿宋" w:hAnsi="仿宋" w:eastAsia="仿宋"/>
          <w:b w:val="0"/>
        </w:rPr>
      </w:pPr>
      <w:bookmarkStart w:id="66"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6"/>
    </w:p>
    <w:p>
      <w:pPr>
        <w:pStyle w:val="3"/>
        <w:rPr>
          <w:rFonts w:ascii="仿宋" w:hAnsi="仿宋" w:eastAsia="仿宋"/>
        </w:rPr>
      </w:pPr>
      <w:bookmarkStart w:id="67"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rPr>
      </w:pPr>
      <w:bookmarkStart w:id="68"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rPr>
      </w:pPr>
      <w:bookmarkStart w:id="69"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rPr>
      </w:pPr>
      <w:bookmarkStart w:id="70"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rPr>
      </w:pPr>
      <w:bookmarkStart w:id="71"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rPr>
      </w:pPr>
      <w:bookmarkStart w:id="72"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rPr>
      </w:pPr>
      <w:bookmarkStart w:id="73"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rPr>
      </w:pPr>
      <w:bookmarkStart w:id="74"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rPr>
      </w:pPr>
      <w:bookmarkStart w:id="75"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5"/>
    </w:p>
    <w:sectPr>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8"/>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2652"/>
    <w:rsid w:val="000129ED"/>
    <w:rsid w:val="000222C6"/>
    <w:rsid w:val="0002549F"/>
    <w:rsid w:val="000317A9"/>
    <w:rsid w:val="00034B62"/>
    <w:rsid w:val="000433AD"/>
    <w:rsid w:val="000503E9"/>
    <w:rsid w:val="0006487A"/>
    <w:rsid w:val="00065F8F"/>
    <w:rsid w:val="00066A20"/>
    <w:rsid w:val="000768F2"/>
    <w:rsid w:val="00087BCE"/>
    <w:rsid w:val="0009184B"/>
    <w:rsid w:val="0009593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6613"/>
    <w:rsid w:val="000E7119"/>
    <w:rsid w:val="00114E9B"/>
    <w:rsid w:val="0013477F"/>
    <w:rsid w:val="00140A23"/>
    <w:rsid w:val="00144650"/>
    <w:rsid w:val="0014729F"/>
    <w:rsid w:val="00157BAB"/>
    <w:rsid w:val="001654D1"/>
    <w:rsid w:val="00180AC2"/>
    <w:rsid w:val="0018106D"/>
    <w:rsid w:val="00185F81"/>
    <w:rsid w:val="001877A7"/>
    <w:rsid w:val="0019150A"/>
    <w:rsid w:val="00191536"/>
    <w:rsid w:val="00196687"/>
    <w:rsid w:val="00197F14"/>
    <w:rsid w:val="001A712A"/>
    <w:rsid w:val="001C0962"/>
    <w:rsid w:val="001C1DF1"/>
    <w:rsid w:val="001D7531"/>
    <w:rsid w:val="001E3541"/>
    <w:rsid w:val="001E737D"/>
    <w:rsid w:val="001F0592"/>
    <w:rsid w:val="001F7506"/>
    <w:rsid w:val="001F7B9D"/>
    <w:rsid w:val="002006CD"/>
    <w:rsid w:val="00202B36"/>
    <w:rsid w:val="00204B7A"/>
    <w:rsid w:val="0021101A"/>
    <w:rsid w:val="00216C21"/>
    <w:rsid w:val="00220536"/>
    <w:rsid w:val="00235629"/>
    <w:rsid w:val="00244457"/>
    <w:rsid w:val="00254518"/>
    <w:rsid w:val="00260C38"/>
    <w:rsid w:val="002616C0"/>
    <w:rsid w:val="002617DA"/>
    <w:rsid w:val="002662AA"/>
    <w:rsid w:val="0027365B"/>
    <w:rsid w:val="00275423"/>
    <w:rsid w:val="00275891"/>
    <w:rsid w:val="00280496"/>
    <w:rsid w:val="00295495"/>
    <w:rsid w:val="002A09B6"/>
    <w:rsid w:val="002A2007"/>
    <w:rsid w:val="002A74BD"/>
    <w:rsid w:val="002B009B"/>
    <w:rsid w:val="002B2613"/>
    <w:rsid w:val="002B72EE"/>
    <w:rsid w:val="002D0309"/>
    <w:rsid w:val="002F1818"/>
    <w:rsid w:val="002F567B"/>
    <w:rsid w:val="00315E55"/>
    <w:rsid w:val="00320741"/>
    <w:rsid w:val="003216A9"/>
    <w:rsid w:val="00326C11"/>
    <w:rsid w:val="00352D5F"/>
    <w:rsid w:val="00366360"/>
    <w:rsid w:val="0037013F"/>
    <w:rsid w:val="00380C92"/>
    <w:rsid w:val="0038245D"/>
    <w:rsid w:val="0038593C"/>
    <w:rsid w:val="003A484F"/>
    <w:rsid w:val="003B06F3"/>
    <w:rsid w:val="003B0BE0"/>
    <w:rsid w:val="003B0C1B"/>
    <w:rsid w:val="003B2C39"/>
    <w:rsid w:val="003B3D42"/>
    <w:rsid w:val="003B6698"/>
    <w:rsid w:val="003B688C"/>
    <w:rsid w:val="003C0291"/>
    <w:rsid w:val="003C39AE"/>
    <w:rsid w:val="003C7B60"/>
    <w:rsid w:val="003D1C72"/>
    <w:rsid w:val="003D1FB2"/>
    <w:rsid w:val="003D66DA"/>
    <w:rsid w:val="003E1310"/>
    <w:rsid w:val="003E6F55"/>
    <w:rsid w:val="00406254"/>
    <w:rsid w:val="00406FB3"/>
    <w:rsid w:val="004223DE"/>
    <w:rsid w:val="00423AE8"/>
    <w:rsid w:val="00434489"/>
    <w:rsid w:val="00435B25"/>
    <w:rsid w:val="00437085"/>
    <w:rsid w:val="00443880"/>
    <w:rsid w:val="0044445D"/>
    <w:rsid w:val="004464F4"/>
    <w:rsid w:val="00447617"/>
    <w:rsid w:val="00461BB5"/>
    <w:rsid w:val="00471401"/>
    <w:rsid w:val="004720A1"/>
    <w:rsid w:val="00473F31"/>
    <w:rsid w:val="0048263A"/>
    <w:rsid w:val="00485BE4"/>
    <w:rsid w:val="00486EBC"/>
    <w:rsid w:val="00487E5D"/>
    <w:rsid w:val="004A711F"/>
    <w:rsid w:val="004B199D"/>
    <w:rsid w:val="004B4690"/>
    <w:rsid w:val="004D37EA"/>
    <w:rsid w:val="004E0A2D"/>
    <w:rsid w:val="004E0AFA"/>
    <w:rsid w:val="004E206B"/>
    <w:rsid w:val="004E6DF7"/>
    <w:rsid w:val="004F0FBD"/>
    <w:rsid w:val="004F1C74"/>
    <w:rsid w:val="004F6AF8"/>
    <w:rsid w:val="00505A47"/>
    <w:rsid w:val="00506EA7"/>
    <w:rsid w:val="00512FDA"/>
    <w:rsid w:val="0052008F"/>
    <w:rsid w:val="00520DA0"/>
    <w:rsid w:val="00553CE5"/>
    <w:rsid w:val="005664BB"/>
    <w:rsid w:val="0057452A"/>
    <w:rsid w:val="0057481D"/>
    <w:rsid w:val="0057680D"/>
    <w:rsid w:val="0058486E"/>
    <w:rsid w:val="00595FB0"/>
    <w:rsid w:val="005A570F"/>
    <w:rsid w:val="005D1C8B"/>
    <w:rsid w:val="005D5CED"/>
    <w:rsid w:val="005E156E"/>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48A4"/>
    <w:rsid w:val="00683E73"/>
    <w:rsid w:val="00686BC8"/>
    <w:rsid w:val="00691A8E"/>
    <w:rsid w:val="00691DDE"/>
    <w:rsid w:val="006932FC"/>
    <w:rsid w:val="006A1595"/>
    <w:rsid w:val="006A3141"/>
    <w:rsid w:val="006A5E34"/>
    <w:rsid w:val="006B2422"/>
    <w:rsid w:val="006B2B9A"/>
    <w:rsid w:val="006B707A"/>
    <w:rsid w:val="006C1937"/>
    <w:rsid w:val="006C41F4"/>
    <w:rsid w:val="006C4EDF"/>
    <w:rsid w:val="006E2588"/>
    <w:rsid w:val="006F020C"/>
    <w:rsid w:val="00705901"/>
    <w:rsid w:val="007127B7"/>
    <w:rsid w:val="00716D18"/>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253BB"/>
    <w:rsid w:val="00833C26"/>
    <w:rsid w:val="0083706E"/>
    <w:rsid w:val="008423A5"/>
    <w:rsid w:val="00844DE7"/>
    <w:rsid w:val="00850625"/>
    <w:rsid w:val="00853718"/>
    <w:rsid w:val="00855221"/>
    <w:rsid w:val="00856E54"/>
    <w:rsid w:val="00860645"/>
    <w:rsid w:val="00871F71"/>
    <w:rsid w:val="00885AF4"/>
    <w:rsid w:val="00885EB2"/>
    <w:rsid w:val="008939CD"/>
    <w:rsid w:val="008B31D5"/>
    <w:rsid w:val="008B666D"/>
    <w:rsid w:val="008B768C"/>
    <w:rsid w:val="008C4DB1"/>
    <w:rsid w:val="008C4EAF"/>
    <w:rsid w:val="008C5176"/>
    <w:rsid w:val="008C7FD0"/>
    <w:rsid w:val="008D4484"/>
    <w:rsid w:val="008E1DE7"/>
    <w:rsid w:val="008E5FD3"/>
    <w:rsid w:val="008E707C"/>
    <w:rsid w:val="008F2472"/>
    <w:rsid w:val="008F2D37"/>
    <w:rsid w:val="008F4482"/>
    <w:rsid w:val="00900B08"/>
    <w:rsid w:val="00902155"/>
    <w:rsid w:val="00902FA3"/>
    <w:rsid w:val="00913BAD"/>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811A8"/>
    <w:rsid w:val="00985935"/>
    <w:rsid w:val="0098660A"/>
    <w:rsid w:val="009874B2"/>
    <w:rsid w:val="009931C3"/>
    <w:rsid w:val="009A0751"/>
    <w:rsid w:val="009B1C1F"/>
    <w:rsid w:val="009B2C43"/>
    <w:rsid w:val="009B4EAE"/>
    <w:rsid w:val="009B7573"/>
    <w:rsid w:val="009C22F4"/>
    <w:rsid w:val="009C2E98"/>
    <w:rsid w:val="009D3447"/>
    <w:rsid w:val="009D4711"/>
    <w:rsid w:val="009E0D69"/>
    <w:rsid w:val="009E554C"/>
    <w:rsid w:val="009F1185"/>
    <w:rsid w:val="009F18CD"/>
    <w:rsid w:val="009F2A13"/>
    <w:rsid w:val="009F2D2D"/>
    <w:rsid w:val="009F4C53"/>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3D33"/>
    <w:rsid w:val="00B35F3F"/>
    <w:rsid w:val="00B36CBB"/>
    <w:rsid w:val="00B425E0"/>
    <w:rsid w:val="00B42FB5"/>
    <w:rsid w:val="00B440AA"/>
    <w:rsid w:val="00B44B70"/>
    <w:rsid w:val="00B47DAA"/>
    <w:rsid w:val="00B53C56"/>
    <w:rsid w:val="00B575DB"/>
    <w:rsid w:val="00B77EA6"/>
    <w:rsid w:val="00B80C8A"/>
    <w:rsid w:val="00B81598"/>
    <w:rsid w:val="00B841F1"/>
    <w:rsid w:val="00B944D6"/>
    <w:rsid w:val="00B975CC"/>
    <w:rsid w:val="00BA5497"/>
    <w:rsid w:val="00BB4DF0"/>
    <w:rsid w:val="00BC289F"/>
    <w:rsid w:val="00BC5361"/>
    <w:rsid w:val="00BC5460"/>
    <w:rsid w:val="00BC6B50"/>
    <w:rsid w:val="00BD0E25"/>
    <w:rsid w:val="00BD4DA9"/>
    <w:rsid w:val="00BE6028"/>
    <w:rsid w:val="00BF5BD6"/>
    <w:rsid w:val="00C03E31"/>
    <w:rsid w:val="00C0410F"/>
    <w:rsid w:val="00C06BC0"/>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1E3F"/>
    <w:rsid w:val="00CE44F6"/>
    <w:rsid w:val="00CE49DA"/>
    <w:rsid w:val="00CE6F6B"/>
    <w:rsid w:val="00CE7B61"/>
    <w:rsid w:val="00D00095"/>
    <w:rsid w:val="00D14591"/>
    <w:rsid w:val="00D20620"/>
    <w:rsid w:val="00D26091"/>
    <w:rsid w:val="00D34E7C"/>
    <w:rsid w:val="00D35489"/>
    <w:rsid w:val="00D37CC1"/>
    <w:rsid w:val="00D4346B"/>
    <w:rsid w:val="00D43811"/>
    <w:rsid w:val="00D51276"/>
    <w:rsid w:val="00D7035F"/>
    <w:rsid w:val="00D71A44"/>
    <w:rsid w:val="00D90AF3"/>
    <w:rsid w:val="00D928F7"/>
    <w:rsid w:val="00DA0754"/>
    <w:rsid w:val="00DA5D4F"/>
    <w:rsid w:val="00DA65AC"/>
    <w:rsid w:val="00DB1913"/>
    <w:rsid w:val="00DC410D"/>
    <w:rsid w:val="00DC68CA"/>
    <w:rsid w:val="00DC6FCA"/>
    <w:rsid w:val="00DC7CBA"/>
    <w:rsid w:val="00DD421E"/>
    <w:rsid w:val="00DD73B7"/>
    <w:rsid w:val="00DF28BC"/>
    <w:rsid w:val="00DF34B9"/>
    <w:rsid w:val="00E01053"/>
    <w:rsid w:val="00E07ACF"/>
    <w:rsid w:val="00E11FBF"/>
    <w:rsid w:val="00E22629"/>
    <w:rsid w:val="00E30F55"/>
    <w:rsid w:val="00E331A1"/>
    <w:rsid w:val="00E33202"/>
    <w:rsid w:val="00E336A9"/>
    <w:rsid w:val="00E50624"/>
    <w:rsid w:val="00E537A8"/>
    <w:rsid w:val="00E568DF"/>
    <w:rsid w:val="00E64269"/>
    <w:rsid w:val="00E64D62"/>
    <w:rsid w:val="00E71D79"/>
    <w:rsid w:val="00E7479E"/>
    <w:rsid w:val="00E82267"/>
    <w:rsid w:val="00E82DA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B84"/>
    <w:rsid w:val="00F81FD9"/>
    <w:rsid w:val="00F841AA"/>
    <w:rsid w:val="00F9713D"/>
    <w:rsid w:val="00FA23E8"/>
    <w:rsid w:val="00FB05E0"/>
    <w:rsid w:val="00FD3CC1"/>
    <w:rsid w:val="00FE2B82"/>
    <w:rsid w:val="00FF1E02"/>
    <w:rsid w:val="00FF30B4"/>
    <w:rsid w:val="10C055FF"/>
    <w:rsid w:val="16BB723D"/>
    <w:rsid w:val="240371BF"/>
    <w:rsid w:val="29FD04D3"/>
    <w:rsid w:val="319F7F4E"/>
    <w:rsid w:val="FFDF1A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2445</Words>
  <Characters>13941</Characters>
  <Lines>116</Lines>
  <Paragraphs>32</Paragraphs>
  <TotalTime>410</TotalTime>
  <ScaleCrop>false</ScaleCrop>
  <LinksUpToDate>false</LinksUpToDate>
  <CharactersWithSpaces>16354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2023-07-21T10:05:16Z</dcterms:modified>
  <dc:title>四川省***</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D7B01C010A00B264DCE7B9640EE68A9E</vt:lpwstr>
  </property>
</Properties>
</file>