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_GBK" w:eastAsia="方正小标宋_GBK"/>
          <w:color w:val="000000"/>
          <w:sz w:val="84"/>
          <w:szCs w:val="84"/>
        </w:rPr>
      </w:pPr>
      <w:bookmarkStart w:id="1" w:name="_Toc15378441"/>
      <w:bookmarkStart w:id="2" w:name="_Toc15396597"/>
      <w:bookmarkStart w:id="3" w:name="_Toc15396475"/>
      <w:bookmarkStart w:id="4" w:name="_Toc15377193"/>
      <w:bookmarkStart w:id="5" w:name="_Toc15377425"/>
      <w:r>
        <w:rPr>
          <w:rFonts w:ascii="方正小标宋_GBK" w:eastAsia="方正小标宋_GBK"/>
          <w:color w:val="000000"/>
          <w:sz w:val="84"/>
          <w:szCs w:val="84"/>
        </w:rPr>
        <w:t>20</w:t>
      </w:r>
      <w:r>
        <w:rPr>
          <w:rFonts w:hint="eastAsia" w:ascii="方正小标宋_GBK" w:eastAsia="方正小标宋_GBK"/>
          <w:color w:val="000000"/>
          <w:sz w:val="84"/>
          <w:szCs w:val="84"/>
        </w:rPr>
        <w:t>20年度</w:t>
      </w:r>
      <w:bookmarkEnd w:id="1"/>
      <w:bookmarkEnd w:id="2"/>
      <w:bookmarkEnd w:id="3"/>
      <w:bookmarkEnd w:id="4"/>
      <w:bookmarkEnd w:id="5"/>
    </w:p>
    <w:p>
      <w:pPr>
        <w:adjustRightInd w:val="0"/>
        <w:snapToGrid w:val="0"/>
        <w:spacing w:line="360" w:lineRule="auto"/>
        <w:jc w:val="center"/>
        <w:outlineLvl w:val="0"/>
        <w:rPr>
          <w:rFonts w:ascii="方正小标宋_GBK" w:eastAsia="方正小标宋_GBK"/>
          <w:color w:val="000000"/>
          <w:sz w:val="84"/>
          <w:szCs w:val="84"/>
        </w:rPr>
      </w:pPr>
      <w:bookmarkStart w:id="6" w:name="_Toc15396476"/>
      <w:bookmarkStart w:id="7" w:name="_Toc15378442"/>
      <w:bookmarkStart w:id="8" w:name="_Toc15377194"/>
      <w:bookmarkStart w:id="9" w:name="_Toc15396598"/>
      <w:bookmarkStart w:id="10" w:name="_Toc15377426"/>
      <w:r>
        <w:rPr>
          <w:rFonts w:hint="eastAsia" w:ascii="方正小标宋_GBK" w:eastAsia="方正小标宋_GBK"/>
          <w:color w:val="000000"/>
          <w:sz w:val="84"/>
          <w:szCs w:val="84"/>
        </w:rPr>
        <w:t>达州市达川区</w:t>
      </w:r>
      <w:bookmarkEnd w:id="0"/>
      <w:bookmarkStart w:id="11" w:name="_Toc15306268"/>
      <w:r>
        <w:rPr>
          <w:rFonts w:hint="eastAsia" w:ascii="方正小标宋_GBK" w:eastAsia="方正小标宋_GBK"/>
          <w:color w:val="000000"/>
          <w:sz w:val="84"/>
          <w:szCs w:val="84"/>
        </w:rPr>
        <w:t>人民政府   三里坪街道办事处           部门决算</w:t>
      </w:r>
      <w:bookmarkEnd w:id="6"/>
      <w:bookmarkEnd w:id="7"/>
      <w:bookmarkEnd w:id="8"/>
      <w:bookmarkEnd w:id="9"/>
      <w:bookmarkEnd w:id="10"/>
      <w:bookmarkEnd w:id="11"/>
      <w:r>
        <w:rPr>
          <w:rFonts w:hint="eastAsia" w:ascii="方正小标宋_GBK" w:eastAsia="方正小标宋_GBK"/>
          <w:color w:val="000000"/>
          <w:sz w:val="84"/>
          <w:szCs w:val="84"/>
        </w:rPr>
        <w:t>编制说明</w:t>
      </w:r>
    </w:p>
    <w:p>
      <w:pPr>
        <w:widowControl/>
        <w:rPr>
          <w:rFonts w:ascii="方正小标宋简体" w:eastAsia="方正小标宋简体"/>
          <w:color w:val="000000"/>
          <w:sz w:val="36"/>
          <w:szCs w:val="36"/>
        </w:rPr>
      </w:pPr>
    </w:p>
    <w:p>
      <w:pPr>
        <w:widowControl/>
        <w:rPr>
          <w:color w:val="000000"/>
          <w:sz w:val="36"/>
          <w:szCs w:val="36"/>
        </w:rPr>
      </w:pPr>
    </w:p>
    <w:p>
      <w:pPr>
        <w:widowControl/>
        <w:rPr>
          <w:color w:val="000000"/>
          <w:sz w:val="36"/>
          <w:szCs w:val="36"/>
        </w:rPr>
      </w:pPr>
    </w:p>
    <w:p>
      <w:pPr>
        <w:widowControl/>
        <w:ind w:firstLine="3520" w:firstLineChars="800"/>
        <w:rPr>
          <w:rFonts w:ascii="方正小标宋_GBK" w:eastAsia="方正小标宋_GBK" w:cs="方正小标宋_GBK"/>
          <w:color w:val="000000"/>
          <w:sz w:val="44"/>
          <w:szCs w:val="44"/>
        </w:rPr>
      </w:pPr>
      <w:bookmarkStart w:id="12" w:name="_Toc15377196"/>
      <w:bookmarkStart w:id="13" w:name="_Toc15396599"/>
      <w:r>
        <w:rPr>
          <w:rFonts w:hint="eastAsia" w:ascii="方正小标宋_GBK" w:eastAsia="方正小标宋_GBK" w:cs="方正小标宋_GBK"/>
          <w:color w:val="000000"/>
          <w:sz w:val="44"/>
          <w:szCs w:val="44"/>
        </w:rPr>
        <w:t>目  录</w:t>
      </w:r>
    </w:p>
    <w:p>
      <w:pPr>
        <w:widowControl/>
        <w:jc w:val="center"/>
        <w:rPr>
          <w:rFonts w:eastAsia="方正仿宋_GBK"/>
          <w:sz w:val="32"/>
          <w:szCs w:val="32"/>
        </w:rPr>
      </w:pPr>
      <w:r>
        <w:rPr>
          <w:rFonts w:eastAsia="方正仿宋_GBK"/>
          <w:color w:val="000000"/>
          <w:sz w:val="32"/>
          <w:szCs w:val="32"/>
        </w:rPr>
        <w:fldChar w:fldCharType="begin"/>
      </w:r>
      <w:r>
        <w:rPr>
          <w:rFonts w:eastAsia="方正仿宋_GBK"/>
          <w:color w:val="000000"/>
          <w:sz w:val="32"/>
          <w:szCs w:val="32"/>
        </w:rPr>
        <w:instrText xml:space="preserve"> TOC \o "1-2" \h \z \u </w:instrText>
      </w:r>
      <w:r>
        <w:rPr>
          <w:rFonts w:eastAsia="方正仿宋_GBK"/>
          <w:color w:val="000000"/>
          <w:sz w:val="32"/>
          <w:szCs w:val="32"/>
        </w:rPr>
        <w:fldChar w:fldCharType="separate"/>
      </w:r>
    </w:p>
    <w:p>
      <w:pPr>
        <w:pStyle w:val="10"/>
        <w:rPr>
          <w:rFonts w:ascii="Times New Roman" w:hAnsi="Times New Roman" w:eastAsia="方正仿宋_GBK"/>
          <w:sz w:val="32"/>
          <w:szCs w:val="32"/>
        </w:rPr>
      </w:pPr>
      <w:r>
        <w:rPr>
          <w:rFonts w:ascii="Times New Roman" w:hAnsi="Times New Roman" w:eastAsia="方正仿宋_GBK"/>
          <w:sz w:val="32"/>
          <w:szCs w:val="32"/>
        </w:rPr>
        <w:t>公开时间：2021年9月9日</w:t>
      </w:r>
    </w:p>
    <w:p>
      <w:pPr>
        <w:jc w:val="center"/>
        <w:rPr>
          <w:rFonts w:eastAsia="方正仿宋_GBK"/>
          <w:sz w:val="32"/>
          <w:szCs w:val="32"/>
        </w:rPr>
      </w:pPr>
    </w:p>
    <w:p>
      <w:pPr>
        <w:pStyle w:val="10"/>
        <w:rPr>
          <w:rFonts w:ascii="Times New Roman" w:hAnsi="Times New Roman" w:eastAsia="方正仿宋_GBK"/>
          <w:sz w:val="32"/>
          <w:szCs w:val="32"/>
        </w:rPr>
      </w:pPr>
      <w:r>
        <w:fldChar w:fldCharType="begin"/>
      </w:r>
      <w:r>
        <w:instrText xml:space="preserve">Hyperlink \l "_Toc15396599"</w:instrText>
      </w:r>
      <w:r>
        <w:fldChar w:fldCharType="separate"/>
      </w:r>
      <w:r>
        <w:rPr>
          <w:rFonts w:ascii="Times New Roman" w:hAnsi="Times New Roman" w:eastAsia="方正仿宋_GBK"/>
          <w:sz w:val="32"/>
          <w:szCs w:val="32"/>
        </w:rPr>
        <w:t>第一部分部门概况</w:t>
      </w:r>
      <w:r>
        <w:rPr>
          <w:rFonts w:ascii="Times New Roman" w:hAnsi="Times New Roman" w:eastAsia="方正仿宋_GBK"/>
          <w:sz w:val="32"/>
          <w:szCs w:val="32"/>
        </w:rPr>
        <w:tab/>
      </w:r>
      <w:r>
        <w:rPr>
          <w:rFonts w:ascii="Times New Roman" w:hAnsi="Times New Roman" w:eastAsia="方正仿宋_GBK"/>
          <w:sz w:val="32"/>
          <w:szCs w:val="32"/>
        </w:rPr>
        <w:t>4</w:t>
      </w:r>
      <w:r>
        <w:fldChar w:fldCharType="end"/>
      </w:r>
    </w:p>
    <w:p>
      <w:pPr>
        <w:pStyle w:val="11"/>
        <w:jc w:val="center"/>
        <w:rPr>
          <w:rFonts w:eastAsia="方正仿宋_GBK"/>
          <w:sz w:val="32"/>
          <w:szCs w:val="32"/>
        </w:rPr>
      </w:pPr>
      <w:r>
        <w:fldChar w:fldCharType="begin"/>
      </w:r>
      <w:r>
        <w:instrText xml:space="preserve">Hyperlink \l "_Toc15396600"</w:instrText>
      </w:r>
      <w:r>
        <w:fldChar w:fldCharType="separate"/>
      </w:r>
      <w:r>
        <w:rPr>
          <w:rFonts w:eastAsia="方正仿宋_GBK"/>
          <w:sz w:val="32"/>
          <w:szCs w:val="32"/>
        </w:rPr>
        <w:t>一、基本职能及主要工作</w:t>
      </w:r>
      <w:r>
        <w:rPr>
          <w:rFonts w:eastAsia="方正仿宋_GBK"/>
          <w:sz w:val="32"/>
          <w:szCs w:val="32"/>
        </w:rPr>
        <w:tab/>
      </w:r>
      <w:r>
        <w:rPr>
          <w:rFonts w:eastAsia="方正仿宋_GBK"/>
          <w:sz w:val="32"/>
          <w:szCs w:val="32"/>
        </w:rPr>
        <w:t>4</w:t>
      </w:r>
      <w:r>
        <w:fldChar w:fldCharType="end"/>
      </w:r>
    </w:p>
    <w:p>
      <w:pPr>
        <w:pStyle w:val="11"/>
        <w:jc w:val="center"/>
        <w:rPr>
          <w:rFonts w:eastAsia="方正仿宋_GBK"/>
          <w:sz w:val="32"/>
          <w:szCs w:val="32"/>
        </w:rPr>
      </w:pPr>
      <w:r>
        <w:fldChar w:fldCharType="begin"/>
      </w:r>
      <w:r>
        <w:instrText xml:space="preserve">Hyperlink \l "_Toc15396601"</w:instrText>
      </w:r>
      <w:r>
        <w:fldChar w:fldCharType="separate"/>
      </w:r>
      <w:r>
        <w:rPr>
          <w:rFonts w:eastAsia="方正仿宋_GBK"/>
          <w:sz w:val="32"/>
          <w:szCs w:val="32"/>
        </w:rPr>
        <w:t>二、机构设置</w:t>
      </w:r>
      <w:r>
        <w:rPr>
          <w:rFonts w:eastAsia="方正仿宋_GBK"/>
          <w:sz w:val="32"/>
          <w:szCs w:val="32"/>
        </w:rPr>
        <w:tab/>
      </w:r>
      <w:r>
        <w:rPr>
          <w:rFonts w:hint="eastAsia" w:eastAsia="方正仿宋_GBK"/>
          <w:sz w:val="32"/>
          <w:szCs w:val="32"/>
        </w:rPr>
        <w:t>22</w:t>
      </w:r>
      <w:r>
        <w:fldChar w:fldCharType="end"/>
      </w:r>
    </w:p>
    <w:p>
      <w:pPr>
        <w:pStyle w:val="10"/>
        <w:rPr>
          <w:rFonts w:ascii="Times New Roman" w:hAnsi="Times New Roman" w:eastAsia="方正仿宋_GBK"/>
          <w:sz w:val="32"/>
          <w:szCs w:val="32"/>
        </w:rPr>
      </w:pPr>
      <w:r>
        <w:fldChar w:fldCharType="begin"/>
      </w:r>
      <w:r>
        <w:instrText xml:space="preserve">Hyperlink \l "_Toc15396602"</w:instrText>
      </w:r>
      <w:r>
        <w:fldChar w:fldCharType="separate"/>
      </w:r>
      <w:r>
        <w:rPr>
          <w:rFonts w:ascii="Times New Roman" w:hAnsi="Times New Roman" w:eastAsia="方正仿宋_GBK"/>
          <w:sz w:val="32"/>
          <w:szCs w:val="32"/>
        </w:rPr>
        <w:t>第二部分 2020年度部门决算情况说明</w:t>
      </w:r>
      <w:r>
        <w:rPr>
          <w:rFonts w:ascii="Times New Roman" w:hAnsi="Times New Roman" w:eastAsia="方正仿宋_GBK"/>
          <w:sz w:val="32"/>
          <w:szCs w:val="32"/>
        </w:rPr>
        <w:tab/>
      </w:r>
      <w:r>
        <w:rPr>
          <w:rFonts w:hint="eastAsia" w:ascii="Times New Roman" w:hAnsi="Times New Roman" w:eastAsia="方正仿宋_GBK"/>
          <w:sz w:val="32"/>
          <w:szCs w:val="32"/>
        </w:rPr>
        <w:t>23</w:t>
      </w:r>
      <w:r>
        <w:fldChar w:fldCharType="end"/>
      </w:r>
    </w:p>
    <w:p>
      <w:pPr>
        <w:pStyle w:val="11"/>
        <w:jc w:val="center"/>
        <w:rPr>
          <w:rFonts w:eastAsia="方正仿宋_GBK"/>
          <w:sz w:val="32"/>
          <w:szCs w:val="32"/>
        </w:rPr>
      </w:pPr>
      <w:r>
        <w:fldChar w:fldCharType="begin"/>
      </w:r>
      <w:r>
        <w:instrText xml:space="preserve">Hyperlink \l "_Toc15396603"</w:instrText>
      </w:r>
      <w:r>
        <w:fldChar w:fldCharType="separate"/>
      </w:r>
      <w:r>
        <w:rPr>
          <w:rFonts w:eastAsia="方正仿宋_GBK"/>
          <w:bCs/>
          <w:sz w:val="32"/>
          <w:szCs w:val="32"/>
        </w:rPr>
        <w:t>一、</w:t>
      </w:r>
      <w:r>
        <w:rPr>
          <w:rFonts w:eastAsia="方正仿宋_GBK"/>
          <w:sz w:val="32"/>
          <w:szCs w:val="32"/>
        </w:rPr>
        <w:t>收</w:t>
      </w:r>
      <w:r>
        <w:rPr>
          <w:rFonts w:eastAsia="方正仿宋_GBK"/>
          <w:bCs/>
          <w:sz w:val="32"/>
          <w:szCs w:val="32"/>
        </w:rPr>
        <w:t>入支出决算总体情况说明</w:t>
      </w:r>
      <w:r>
        <w:rPr>
          <w:rFonts w:eastAsia="方正仿宋_GBK"/>
          <w:sz w:val="32"/>
          <w:szCs w:val="32"/>
        </w:rPr>
        <w:tab/>
      </w:r>
      <w:r>
        <w:rPr>
          <w:rFonts w:hint="eastAsia" w:eastAsia="方正仿宋_GBK"/>
          <w:sz w:val="32"/>
          <w:szCs w:val="32"/>
        </w:rPr>
        <w:t>23</w:t>
      </w:r>
      <w:r>
        <w:fldChar w:fldCharType="end"/>
      </w:r>
    </w:p>
    <w:p>
      <w:pPr>
        <w:pStyle w:val="11"/>
        <w:jc w:val="center"/>
        <w:rPr>
          <w:rFonts w:eastAsia="方正仿宋_GBK"/>
          <w:sz w:val="32"/>
          <w:szCs w:val="32"/>
        </w:rPr>
      </w:pPr>
      <w:r>
        <w:fldChar w:fldCharType="begin"/>
      </w:r>
      <w:r>
        <w:instrText xml:space="preserve">Hyperlink \l "_Toc15396604"</w:instrText>
      </w:r>
      <w:r>
        <w:fldChar w:fldCharType="separate"/>
      </w:r>
      <w:r>
        <w:rPr>
          <w:rFonts w:eastAsia="方正仿宋_GBK"/>
          <w:bCs/>
          <w:sz w:val="32"/>
          <w:szCs w:val="32"/>
        </w:rPr>
        <w:t>二、</w:t>
      </w:r>
      <w:r>
        <w:rPr>
          <w:rFonts w:eastAsia="方正仿宋_GBK"/>
          <w:sz w:val="32"/>
          <w:szCs w:val="32"/>
        </w:rPr>
        <w:t>收</w:t>
      </w:r>
      <w:r>
        <w:rPr>
          <w:rFonts w:eastAsia="方正仿宋_GBK"/>
          <w:bCs/>
          <w:sz w:val="32"/>
          <w:szCs w:val="32"/>
        </w:rPr>
        <w:t>入决算情况说明</w:t>
      </w:r>
      <w:r>
        <w:rPr>
          <w:rFonts w:eastAsia="方正仿宋_GBK"/>
          <w:sz w:val="32"/>
          <w:szCs w:val="32"/>
        </w:rPr>
        <w:tab/>
      </w:r>
      <w:r>
        <w:rPr>
          <w:rFonts w:hint="eastAsia" w:eastAsia="方正仿宋_GBK"/>
          <w:sz w:val="32"/>
          <w:szCs w:val="32"/>
        </w:rPr>
        <w:t>23</w:t>
      </w:r>
      <w:r>
        <w:fldChar w:fldCharType="end"/>
      </w:r>
    </w:p>
    <w:p>
      <w:pPr>
        <w:pStyle w:val="11"/>
        <w:jc w:val="center"/>
        <w:rPr>
          <w:rFonts w:eastAsia="方正仿宋_GBK"/>
          <w:sz w:val="32"/>
          <w:szCs w:val="32"/>
        </w:rPr>
      </w:pPr>
      <w:r>
        <w:fldChar w:fldCharType="begin"/>
      </w:r>
      <w:r>
        <w:instrText xml:space="preserve">Hyperlink \l "_Toc15396605"</w:instrText>
      </w:r>
      <w:r>
        <w:fldChar w:fldCharType="separate"/>
      </w:r>
      <w:r>
        <w:rPr>
          <w:rFonts w:eastAsia="方正仿宋_GBK"/>
          <w:bCs/>
          <w:sz w:val="32"/>
          <w:szCs w:val="32"/>
        </w:rPr>
        <w:t>三、</w:t>
      </w:r>
      <w:r>
        <w:rPr>
          <w:rFonts w:eastAsia="方正仿宋_GBK"/>
          <w:sz w:val="32"/>
          <w:szCs w:val="32"/>
        </w:rPr>
        <w:t>支</w:t>
      </w:r>
      <w:r>
        <w:rPr>
          <w:rFonts w:eastAsia="方正仿宋_GBK"/>
          <w:bCs/>
          <w:sz w:val="32"/>
          <w:szCs w:val="32"/>
        </w:rPr>
        <w:t>出决算情况说明</w:t>
      </w:r>
      <w:r>
        <w:rPr>
          <w:rFonts w:eastAsia="方正仿宋_GBK"/>
          <w:sz w:val="32"/>
          <w:szCs w:val="32"/>
        </w:rPr>
        <w:tab/>
      </w:r>
      <w:r>
        <w:rPr>
          <w:rFonts w:hint="eastAsia" w:eastAsia="方正仿宋_GBK"/>
          <w:sz w:val="32"/>
          <w:szCs w:val="32"/>
        </w:rPr>
        <w:t>23</w:t>
      </w:r>
      <w:r>
        <w:fldChar w:fldCharType="end"/>
      </w:r>
    </w:p>
    <w:p>
      <w:pPr>
        <w:pStyle w:val="11"/>
        <w:jc w:val="center"/>
        <w:rPr>
          <w:rFonts w:eastAsia="方正仿宋_GBK"/>
          <w:sz w:val="32"/>
          <w:szCs w:val="32"/>
        </w:rPr>
      </w:pPr>
      <w:r>
        <w:fldChar w:fldCharType="begin"/>
      </w:r>
      <w:r>
        <w:instrText xml:space="preserve">Hyperlink \l "_Toc15396606"</w:instrText>
      </w:r>
      <w:r>
        <w:fldChar w:fldCharType="separate"/>
      </w:r>
      <w:r>
        <w:rPr>
          <w:rFonts w:eastAsia="方正仿宋_GBK"/>
          <w:sz w:val="32"/>
          <w:szCs w:val="32"/>
        </w:rPr>
        <w:t>四、财</w:t>
      </w:r>
      <w:r>
        <w:rPr>
          <w:rFonts w:eastAsia="方正仿宋_GBK"/>
          <w:bCs/>
          <w:sz w:val="32"/>
          <w:szCs w:val="32"/>
        </w:rPr>
        <w:t>政拨款收入支出决算总体情况说明</w:t>
      </w:r>
      <w:r>
        <w:rPr>
          <w:rFonts w:eastAsia="方正仿宋_GBK"/>
          <w:sz w:val="32"/>
          <w:szCs w:val="32"/>
        </w:rPr>
        <w:tab/>
      </w:r>
      <w:r>
        <w:rPr>
          <w:rFonts w:hint="eastAsia" w:eastAsia="方正仿宋_GBK"/>
          <w:sz w:val="32"/>
          <w:szCs w:val="32"/>
        </w:rPr>
        <w:t>23</w:t>
      </w:r>
      <w:r>
        <w:fldChar w:fldCharType="end"/>
      </w:r>
    </w:p>
    <w:p>
      <w:pPr>
        <w:pStyle w:val="11"/>
        <w:jc w:val="center"/>
        <w:rPr>
          <w:rFonts w:eastAsia="方正仿宋_GBK"/>
          <w:sz w:val="32"/>
          <w:szCs w:val="32"/>
        </w:rPr>
      </w:pPr>
      <w:r>
        <w:fldChar w:fldCharType="begin"/>
      </w:r>
      <w:r>
        <w:instrText xml:space="preserve">Hyperlink \l "_Toc15396607"</w:instrText>
      </w:r>
      <w:r>
        <w:fldChar w:fldCharType="separate"/>
      </w:r>
      <w:r>
        <w:rPr>
          <w:rFonts w:eastAsia="方正仿宋_GBK"/>
          <w:sz w:val="32"/>
          <w:szCs w:val="32"/>
        </w:rPr>
        <w:t>五、一</w:t>
      </w:r>
      <w:r>
        <w:rPr>
          <w:rFonts w:eastAsia="方正仿宋_GBK"/>
          <w:bCs/>
          <w:sz w:val="32"/>
          <w:szCs w:val="32"/>
        </w:rPr>
        <w:t>般公共预算财政拨款支出决算情况说明</w:t>
      </w:r>
      <w:r>
        <w:rPr>
          <w:rFonts w:eastAsia="方正仿宋_GBK"/>
          <w:sz w:val="32"/>
          <w:szCs w:val="32"/>
        </w:rPr>
        <w:tab/>
      </w:r>
      <w:r>
        <w:rPr>
          <w:rFonts w:hint="eastAsia" w:eastAsia="方正仿宋_GBK"/>
          <w:sz w:val="32"/>
          <w:szCs w:val="32"/>
        </w:rPr>
        <w:t>23</w:t>
      </w:r>
      <w:r>
        <w:fldChar w:fldCharType="end"/>
      </w:r>
    </w:p>
    <w:p>
      <w:pPr>
        <w:pStyle w:val="11"/>
        <w:jc w:val="center"/>
        <w:rPr>
          <w:rFonts w:eastAsia="方正仿宋_GBK"/>
          <w:sz w:val="32"/>
          <w:szCs w:val="32"/>
        </w:rPr>
      </w:pPr>
      <w:r>
        <w:fldChar w:fldCharType="begin"/>
      </w:r>
      <w:r>
        <w:instrText xml:space="preserve">Hyperlink \l "_Toc15396608"</w:instrText>
      </w:r>
      <w:r>
        <w:fldChar w:fldCharType="separate"/>
      </w:r>
      <w:r>
        <w:rPr>
          <w:rFonts w:eastAsia="方正仿宋_GBK"/>
          <w:sz w:val="32"/>
          <w:szCs w:val="32"/>
        </w:rPr>
        <w:t>六、一</w:t>
      </w:r>
      <w:r>
        <w:rPr>
          <w:rFonts w:eastAsia="方正仿宋_GBK"/>
          <w:bCs/>
          <w:sz w:val="32"/>
          <w:szCs w:val="32"/>
        </w:rPr>
        <w:t>般公共预算财政拨款基本支出决算情况说明</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_Toc15396608 \h </w:instrText>
      </w:r>
      <w:r>
        <w:rPr>
          <w:rFonts w:eastAsia="方正仿宋_GBK"/>
          <w:sz w:val="32"/>
          <w:szCs w:val="32"/>
        </w:rPr>
        <w:fldChar w:fldCharType="separate"/>
      </w:r>
      <w:r>
        <w:rPr>
          <w:rFonts w:eastAsia="方正仿宋_GBK"/>
          <w:sz w:val="32"/>
          <w:szCs w:val="32"/>
        </w:rPr>
        <w:t>27</w:t>
      </w:r>
      <w:r>
        <w:rPr>
          <w:rFonts w:eastAsia="方正仿宋_GBK"/>
          <w:sz w:val="32"/>
          <w:szCs w:val="32"/>
        </w:rPr>
        <w:fldChar w:fldCharType="end"/>
      </w:r>
      <w:r>
        <w:fldChar w:fldCharType="end"/>
      </w:r>
    </w:p>
    <w:p>
      <w:pPr>
        <w:pStyle w:val="11"/>
        <w:jc w:val="center"/>
        <w:rPr>
          <w:rFonts w:eastAsia="方正仿宋_GBK"/>
          <w:sz w:val="32"/>
          <w:szCs w:val="32"/>
        </w:rPr>
      </w:pPr>
      <w:r>
        <w:fldChar w:fldCharType="begin"/>
      </w:r>
      <w:r>
        <w:instrText xml:space="preserve">Hyperlink \l "_Toc15396609"</w:instrText>
      </w:r>
      <w:r>
        <w:fldChar w:fldCharType="separate"/>
      </w:r>
      <w:r>
        <w:rPr>
          <w:rFonts w:eastAsia="方正仿宋_GBK"/>
          <w:sz w:val="32"/>
          <w:szCs w:val="32"/>
        </w:rPr>
        <w:t>七、“</w:t>
      </w:r>
      <w:r>
        <w:rPr>
          <w:rFonts w:eastAsia="方正仿宋_GBK"/>
          <w:bCs/>
          <w:sz w:val="32"/>
          <w:szCs w:val="32"/>
        </w:rPr>
        <w:t>三公”经费财政拨款支出决算情况说明</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_Toc15396609 \h </w:instrText>
      </w:r>
      <w:r>
        <w:rPr>
          <w:rFonts w:eastAsia="方正仿宋_GBK"/>
          <w:sz w:val="32"/>
          <w:szCs w:val="32"/>
        </w:rPr>
        <w:fldChar w:fldCharType="separate"/>
      </w:r>
      <w:r>
        <w:rPr>
          <w:rFonts w:eastAsia="方正仿宋_GBK"/>
          <w:sz w:val="32"/>
          <w:szCs w:val="32"/>
        </w:rPr>
        <w:t>28</w:t>
      </w:r>
      <w:r>
        <w:rPr>
          <w:rFonts w:eastAsia="方正仿宋_GBK"/>
          <w:sz w:val="32"/>
          <w:szCs w:val="32"/>
        </w:rPr>
        <w:fldChar w:fldCharType="end"/>
      </w:r>
      <w:r>
        <w:fldChar w:fldCharType="end"/>
      </w:r>
    </w:p>
    <w:p>
      <w:pPr>
        <w:pStyle w:val="11"/>
        <w:jc w:val="center"/>
        <w:rPr>
          <w:rFonts w:eastAsia="方正仿宋_GBK"/>
          <w:sz w:val="32"/>
          <w:szCs w:val="32"/>
        </w:rPr>
      </w:pPr>
      <w:r>
        <w:fldChar w:fldCharType="begin"/>
      </w:r>
      <w:r>
        <w:instrText xml:space="preserve">Hyperlink \l "_Toc15396610"</w:instrText>
      </w:r>
      <w:r>
        <w:fldChar w:fldCharType="separate"/>
      </w:r>
      <w:r>
        <w:rPr>
          <w:rFonts w:eastAsia="方正仿宋_GBK"/>
          <w:sz w:val="32"/>
          <w:szCs w:val="32"/>
        </w:rPr>
        <w:t>八、</w:t>
      </w:r>
      <w:r>
        <w:rPr>
          <w:rFonts w:eastAsia="方正仿宋_GBK"/>
          <w:bCs/>
          <w:sz w:val="32"/>
          <w:szCs w:val="32"/>
        </w:rPr>
        <w:t>政府性基金预算支出决算情况说明</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_Toc15396610 \h </w:instrText>
      </w:r>
      <w:r>
        <w:rPr>
          <w:rFonts w:eastAsia="方正仿宋_GBK"/>
          <w:sz w:val="32"/>
          <w:szCs w:val="32"/>
        </w:rPr>
        <w:fldChar w:fldCharType="separate"/>
      </w:r>
      <w:r>
        <w:rPr>
          <w:rFonts w:eastAsia="方正仿宋_GBK"/>
          <w:sz w:val="32"/>
          <w:szCs w:val="32"/>
        </w:rPr>
        <w:t>29</w:t>
      </w:r>
      <w:r>
        <w:rPr>
          <w:rFonts w:eastAsia="方正仿宋_GBK"/>
          <w:sz w:val="32"/>
          <w:szCs w:val="32"/>
        </w:rPr>
        <w:fldChar w:fldCharType="end"/>
      </w:r>
      <w:r>
        <w:fldChar w:fldCharType="end"/>
      </w:r>
    </w:p>
    <w:p>
      <w:pPr>
        <w:pStyle w:val="11"/>
        <w:jc w:val="center"/>
        <w:rPr>
          <w:rFonts w:eastAsia="方正仿宋_GBK"/>
          <w:sz w:val="32"/>
          <w:szCs w:val="32"/>
        </w:rPr>
      </w:pPr>
      <w:r>
        <w:fldChar w:fldCharType="begin"/>
      </w:r>
      <w:r>
        <w:instrText xml:space="preserve">Hyperlink \l "_Toc15396611"</w:instrText>
      </w:r>
      <w:r>
        <w:fldChar w:fldCharType="separate"/>
      </w:r>
      <w:r>
        <w:rPr>
          <w:rFonts w:eastAsia="方正仿宋_GBK"/>
          <w:bCs/>
          <w:sz w:val="32"/>
          <w:szCs w:val="32"/>
        </w:rPr>
        <w:t>九、</w:t>
      </w:r>
      <w:r>
        <w:rPr>
          <w:rFonts w:eastAsia="方正仿宋_GBK"/>
          <w:sz w:val="32"/>
          <w:szCs w:val="32"/>
        </w:rPr>
        <w:t xml:space="preserve"> 国</w:t>
      </w:r>
      <w:r>
        <w:rPr>
          <w:rFonts w:eastAsia="方正仿宋_GBK"/>
          <w:bCs/>
          <w:sz w:val="32"/>
          <w:szCs w:val="32"/>
        </w:rPr>
        <w:t>有资本经营预算支出决算情况说明</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_Toc15396611 \h </w:instrText>
      </w:r>
      <w:r>
        <w:rPr>
          <w:rFonts w:eastAsia="方正仿宋_GBK"/>
          <w:sz w:val="32"/>
          <w:szCs w:val="32"/>
        </w:rPr>
        <w:fldChar w:fldCharType="separate"/>
      </w:r>
      <w:r>
        <w:rPr>
          <w:rFonts w:eastAsia="方正仿宋_GBK"/>
          <w:sz w:val="32"/>
          <w:szCs w:val="32"/>
        </w:rPr>
        <w:t>29</w:t>
      </w:r>
      <w:r>
        <w:rPr>
          <w:rFonts w:eastAsia="方正仿宋_GBK"/>
          <w:sz w:val="32"/>
          <w:szCs w:val="32"/>
        </w:rPr>
        <w:fldChar w:fldCharType="end"/>
      </w:r>
      <w:r>
        <w:fldChar w:fldCharType="end"/>
      </w:r>
    </w:p>
    <w:p>
      <w:pPr>
        <w:pStyle w:val="11"/>
        <w:jc w:val="center"/>
        <w:rPr>
          <w:rFonts w:eastAsia="方正仿宋_GBK"/>
          <w:sz w:val="32"/>
          <w:szCs w:val="32"/>
        </w:rPr>
      </w:pPr>
      <w:r>
        <w:fldChar w:fldCharType="begin"/>
      </w:r>
      <w:r>
        <w:instrText xml:space="preserve">Hyperlink \l "_Toc15396611"</w:instrText>
      </w:r>
      <w:r>
        <w:fldChar w:fldCharType="separate"/>
      </w:r>
      <w:r>
        <w:rPr>
          <w:rFonts w:eastAsia="方正仿宋_GBK"/>
          <w:bCs/>
          <w:sz w:val="32"/>
          <w:szCs w:val="32"/>
        </w:rPr>
        <w:t>十、</w:t>
      </w:r>
      <w:r>
        <w:rPr>
          <w:rFonts w:eastAsia="方正仿宋_GBK"/>
          <w:sz w:val="32"/>
          <w:szCs w:val="32"/>
        </w:rPr>
        <w:t>预算绩效</w:t>
      </w:r>
      <w:r>
        <w:rPr>
          <w:rFonts w:eastAsia="方正仿宋_GBK"/>
          <w:bCs/>
          <w:sz w:val="32"/>
          <w:szCs w:val="32"/>
        </w:rPr>
        <w:t>情况说明</w:t>
      </w:r>
      <w:r>
        <w:rPr>
          <w:rFonts w:eastAsia="方正仿宋_GBK"/>
          <w:sz w:val="32"/>
          <w:szCs w:val="32"/>
        </w:rPr>
        <w:tab/>
      </w:r>
      <w:r>
        <w:rPr>
          <w:rFonts w:eastAsia="方正仿宋_GBK"/>
          <w:sz w:val="32"/>
          <w:szCs w:val="32"/>
        </w:rPr>
        <w:fldChar w:fldCharType="begin"/>
      </w:r>
      <w:r>
        <w:rPr>
          <w:rFonts w:eastAsia="方正仿宋_GBK"/>
          <w:sz w:val="32"/>
          <w:szCs w:val="32"/>
        </w:rPr>
        <w:instrText xml:space="preserve"> PAGEREF _Toc15396611 \h </w:instrText>
      </w:r>
      <w:r>
        <w:rPr>
          <w:rFonts w:eastAsia="方正仿宋_GBK"/>
          <w:sz w:val="32"/>
          <w:szCs w:val="32"/>
        </w:rPr>
        <w:fldChar w:fldCharType="separate"/>
      </w:r>
      <w:r>
        <w:rPr>
          <w:rFonts w:eastAsia="方正仿宋_GBK"/>
          <w:sz w:val="32"/>
          <w:szCs w:val="32"/>
        </w:rPr>
        <w:t>29</w:t>
      </w:r>
      <w:r>
        <w:rPr>
          <w:rFonts w:eastAsia="方正仿宋_GBK"/>
          <w:sz w:val="32"/>
          <w:szCs w:val="32"/>
        </w:rPr>
        <w:fldChar w:fldCharType="end"/>
      </w:r>
      <w:r>
        <w:fldChar w:fldCharType="end"/>
      </w:r>
    </w:p>
    <w:p>
      <w:pPr>
        <w:pStyle w:val="11"/>
        <w:jc w:val="center"/>
        <w:rPr>
          <w:rFonts w:eastAsia="方正仿宋_GBK"/>
          <w:sz w:val="32"/>
          <w:szCs w:val="32"/>
        </w:rPr>
      </w:pPr>
      <w:r>
        <w:fldChar w:fldCharType="begin"/>
      </w:r>
      <w:r>
        <w:instrText xml:space="preserve">Hyperlink \l "_Toc15396612"</w:instrText>
      </w:r>
      <w:r>
        <w:fldChar w:fldCharType="separate"/>
      </w:r>
      <w:r>
        <w:rPr>
          <w:rFonts w:eastAsia="方正仿宋_GBK"/>
          <w:sz w:val="32"/>
          <w:szCs w:val="32"/>
        </w:rPr>
        <w:t>十</w:t>
      </w:r>
      <w:r>
        <w:rPr>
          <w:rFonts w:eastAsia="方正仿宋_GBK"/>
          <w:bCs/>
          <w:sz w:val="32"/>
          <w:szCs w:val="32"/>
        </w:rPr>
        <w:t>一、其他重要事项的情况说明</w:t>
      </w:r>
      <w:r>
        <w:rPr>
          <w:rFonts w:eastAsia="方正仿宋_GBK"/>
          <w:sz w:val="32"/>
          <w:szCs w:val="32"/>
        </w:rPr>
        <w:tab/>
      </w:r>
      <w:r>
        <w:rPr>
          <w:rFonts w:hint="eastAsia" w:eastAsia="方正仿宋_GBK"/>
          <w:sz w:val="32"/>
          <w:szCs w:val="32"/>
        </w:rPr>
        <w:t>40</w:t>
      </w:r>
      <w:r>
        <w:fldChar w:fldCharType="end"/>
      </w:r>
    </w:p>
    <w:p>
      <w:pPr>
        <w:pStyle w:val="10"/>
        <w:rPr>
          <w:rFonts w:ascii="Times New Roman" w:hAnsi="Times New Roman" w:eastAsia="方正仿宋_GBK"/>
          <w:sz w:val="32"/>
          <w:szCs w:val="32"/>
        </w:rPr>
      </w:pPr>
      <w:r>
        <w:fldChar w:fldCharType="begin"/>
      </w:r>
      <w:r>
        <w:instrText xml:space="preserve">Hyperlink \l "_Toc15396613"</w:instrText>
      </w:r>
      <w:r>
        <w:fldChar w:fldCharType="separate"/>
      </w:r>
      <w:r>
        <w:rPr>
          <w:rFonts w:ascii="Times New Roman" w:hAnsi="Times New Roman" w:eastAsia="方正仿宋_GBK"/>
          <w:bCs/>
          <w:kern w:val="44"/>
          <w:sz w:val="32"/>
          <w:szCs w:val="32"/>
        </w:rPr>
        <w:t>第三部分</w:t>
      </w:r>
      <w:r>
        <w:rPr>
          <w:rFonts w:ascii="Times New Roman" w:hAnsi="Times New Roman" w:eastAsia="方正仿宋_GBK"/>
          <w:sz w:val="32"/>
          <w:szCs w:val="32"/>
        </w:rPr>
        <w:t xml:space="preserve"> 名</w:t>
      </w:r>
      <w:r>
        <w:rPr>
          <w:rFonts w:ascii="Times New Roman" w:hAnsi="Times New Roman" w:eastAsia="方正仿宋_GBK"/>
          <w:bCs/>
          <w:kern w:val="44"/>
          <w:sz w:val="32"/>
          <w:szCs w:val="32"/>
        </w:rPr>
        <w:t>词解释</w:t>
      </w:r>
      <w:r>
        <w:rPr>
          <w:rFonts w:ascii="Times New Roman" w:hAnsi="Times New Roman" w:eastAsia="方正仿宋_GBK"/>
          <w:sz w:val="32"/>
          <w:szCs w:val="32"/>
        </w:rPr>
        <w:tab/>
      </w:r>
      <w:r>
        <w:fldChar w:fldCharType="end"/>
      </w:r>
      <w:r>
        <w:rPr>
          <w:rFonts w:hint="eastAsia" w:ascii="Times New Roman" w:hAnsi="Times New Roman" w:eastAsia="方正仿宋_GBK"/>
          <w:sz w:val="32"/>
          <w:szCs w:val="32"/>
        </w:rPr>
        <w:t>41</w:t>
      </w:r>
    </w:p>
    <w:p>
      <w:pPr>
        <w:pStyle w:val="10"/>
        <w:rPr>
          <w:rFonts w:ascii="Times New Roman" w:hAnsi="Times New Roman" w:eastAsia="方正仿宋_GBK"/>
          <w:sz w:val="32"/>
          <w:szCs w:val="32"/>
        </w:rPr>
      </w:pPr>
      <w:r>
        <w:fldChar w:fldCharType="begin"/>
      </w:r>
      <w:r>
        <w:instrText xml:space="preserve">Hyperlink \l "_Toc15396614"</w:instrText>
      </w:r>
      <w:r>
        <w:fldChar w:fldCharType="separate"/>
      </w:r>
      <w:r>
        <w:rPr>
          <w:rFonts w:ascii="Times New Roman" w:hAnsi="Times New Roman" w:eastAsia="方正仿宋_GBK"/>
          <w:sz w:val="32"/>
          <w:szCs w:val="32"/>
        </w:rPr>
        <w:t>第</w:t>
      </w:r>
      <w:r>
        <w:rPr>
          <w:rFonts w:ascii="Times New Roman" w:hAnsi="Times New Roman" w:eastAsia="方正仿宋_GBK"/>
          <w:bCs/>
          <w:kern w:val="44"/>
          <w:sz w:val="32"/>
          <w:szCs w:val="32"/>
        </w:rPr>
        <w:t>四部分附件</w:t>
      </w:r>
      <w:r>
        <w:rPr>
          <w:rFonts w:ascii="Times New Roman" w:hAnsi="Times New Roman" w:eastAsia="方正仿宋_GBK"/>
          <w:sz w:val="32"/>
          <w:szCs w:val="32"/>
        </w:rPr>
        <w:tab/>
      </w:r>
      <w:r>
        <w:fldChar w:fldCharType="end"/>
      </w:r>
      <w:r>
        <w:rPr>
          <w:rFonts w:hint="eastAsia" w:ascii="Times New Roman" w:hAnsi="Times New Roman" w:eastAsia="方正仿宋_GBK"/>
          <w:sz w:val="32"/>
          <w:szCs w:val="32"/>
        </w:rPr>
        <w:t>46</w:t>
      </w:r>
    </w:p>
    <w:p>
      <w:pPr>
        <w:pStyle w:val="11"/>
        <w:jc w:val="center"/>
        <w:rPr>
          <w:rFonts w:eastAsia="方正仿宋_GBK"/>
          <w:sz w:val="32"/>
          <w:szCs w:val="32"/>
        </w:rPr>
      </w:pPr>
      <w:r>
        <w:fldChar w:fldCharType="begin"/>
      </w:r>
      <w:r>
        <w:instrText xml:space="preserve">Hyperlink \l "_Toc15396615"</w:instrText>
      </w:r>
      <w:r>
        <w:fldChar w:fldCharType="separate"/>
      </w:r>
      <w:r>
        <w:rPr>
          <w:rFonts w:eastAsia="方正仿宋_GBK"/>
          <w:kern w:val="44"/>
          <w:sz w:val="32"/>
          <w:szCs w:val="32"/>
        </w:rPr>
        <w:t>附件1</w:t>
      </w:r>
      <w:r>
        <w:rPr>
          <w:rFonts w:eastAsia="方正仿宋_GBK"/>
          <w:sz w:val="32"/>
          <w:szCs w:val="32"/>
        </w:rPr>
        <w:tab/>
      </w:r>
      <w:r>
        <w:fldChar w:fldCharType="end"/>
      </w:r>
      <w:r>
        <w:rPr>
          <w:rFonts w:hint="eastAsia" w:eastAsia="方正仿宋_GBK"/>
          <w:sz w:val="32"/>
          <w:szCs w:val="32"/>
        </w:rPr>
        <w:t>46</w:t>
      </w:r>
    </w:p>
    <w:p>
      <w:pPr>
        <w:pStyle w:val="11"/>
        <w:jc w:val="center"/>
        <w:rPr>
          <w:rFonts w:eastAsia="方正仿宋_GBK"/>
          <w:sz w:val="32"/>
          <w:szCs w:val="32"/>
        </w:rPr>
      </w:pPr>
      <w:r>
        <w:fldChar w:fldCharType="begin"/>
      </w:r>
      <w:r>
        <w:instrText xml:space="preserve">Hyperlink \l "_Toc15396617"</w:instrText>
      </w:r>
      <w:r>
        <w:fldChar w:fldCharType="separate"/>
      </w:r>
      <w:r>
        <w:rPr>
          <w:rFonts w:eastAsia="方正仿宋_GBK"/>
          <w:kern w:val="44"/>
          <w:sz w:val="32"/>
          <w:szCs w:val="32"/>
        </w:rPr>
        <w:t>附件2</w:t>
      </w:r>
      <w:r>
        <w:rPr>
          <w:rFonts w:eastAsia="方正仿宋_GBK"/>
          <w:sz w:val="32"/>
          <w:szCs w:val="32"/>
        </w:rPr>
        <w:tab/>
      </w:r>
      <w:r>
        <w:fldChar w:fldCharType="end"/>
      </w:r>
      <w:r>
        <w:rPr>
          <w:rFonts w:hint="eastAsia" w:eastAsia="方正仿宋_GBK"/>
          <w:sz w:val="32"/>
          <w:szCs w:val="32"/>
        </w:rPr>
        <w:t>50</w:t>
      </w:r>
    </w:p>
    <w:p>
      <w:pPr>
        <w:pStyle w:val="10"/>
        <w:rPr>
          <w:rFonts w:ascii="Times New Roman" w:hAnsi="Times New Roman" w:eastAsia="方正仿宋_GBK"/>
          <w:sz w:val="32"/>
          <w:szCs w:val="32"/>
        </w:rPr>
      </w:pPr>
      <w:r>
        <w:fldChar w:fldCharType="begin"/>
      </w:r>
      <w:r>
        <w:instrText xml:space="preserve">Hyperlink \l "_Toc15396618"</w:instrText>
      </w:r>
      <w:r>
        <w:fldChar w:fldCharType="separate"/>
      </w:r>
      <w:r>
        <w:rPr>
          <w:rFonts w:ascii="Times New Roman" w:hAnsi="Times New Roman" w:eastAsia="方正仿宋_GBK"/>
          <w:sz w:val="32"/>
          <w:szCs w:val="32"/>
        </w:rPr>
        <w:t>第</w:t>
      </w:r>
      <w:r>
        <w:rPr>
          <w:rFonts w:ascii="Times New Roman" w:hAnsi="Times New Roman" w:eastAsia="方正仿宋_GBK"/>
          <w:bCs/>
          <w:kern w:val="44"/>
          <w:sz w:val="32"/>
          <w:szCs w:val="32"/>
        </w:rPr>
        <w:t>五部分附表</w:t>
      </w:r>
      <w:r>
        <w:rPr>
          <w:rFonts w:ascii="Times New Roman" w:hAnsi="Times New Roman" w:eastAsia="方正仿宋_GBK"/>
          <w:sz w:val="32"/>
          <w:szCs w:val="32"/>
        </w:rPr>
        <w:tab/>
      </w:r>
      <w:r>
        <w:fldChar w:fldCharType="end"/>
      </w:r>
      <w:r>
        <w:rPr>
          <w:rFonts w:ascii="Times New Roman" w:hAnsi="Times New Roman" w:eastAsia="方正仿宋_GBK"/>
          <w:sz w:val="32"/>
          <w:szCs w:val="32"/>
        </w:rPr>
        <w:t>5</w:t>
      </w:r>
      <w:r>
        <w:rPr>
          <w:rFonts w:hint="eastAsia" w:ascii="Times New Roman" w:hAnsi="Times New Roman" w:eastAsia="方正仿宋_GBK"/>
          <w:sz w:val="32"/>
          <w:szCs w:val="32"/>
        </w:rPr>
        <w:t>3</w:t>
      </w:r>
    </w:p>
    <w:p>
      <w:pPr>
        <w:pStyle w:val="11"/>
        <w:jc w:val="center"/>
        <w:rPr>
          <w:rFonts w:eastAsia="方正仿宋_GBK"/>
          <w:sz w:val="32"/>
          <w:szCs w:val="32"/>
        </w:rPr>
      </w:pPr>
      <w:r>
        <w:rPr>
          <w:rFonts w:eastAsia="方正仿宋_GBK"/>
          <w:sz w:val="32"/>
          <w:szCs w:val="32"/>
        </w:rPr>
        <w:t>一、</w:t>
      </w:r>
      <w:r>
        <w:fldChar w:fldCharType="begin"/>
      </w:r>
      <w:r>
        <w:instrText xml:space="preserve">Hyperlink \l "_Toc15396619"</w:instrText>
      </w:r>
      <w:r>
        <w:fldChar w:fldCharType="separate"/>
      </w:r>
      <w:r>
        <w:rPr>
          <w:rFonts w:eastAsia="方正仿宋_GBK"/>
          <w:sz w:val="32"/>
          <w:szCs w:val="32"/>
        </w:rPr>
        <w:t>收入支出决算总表</w:t>
      </w:r>
      <w:r>
        <w:rPr>
          <w:rFonts w:eastAsia="方正仿宋_GBK"/>
          <w:sz w:val="32"/>
          <w:szCs w:val="32"/>
        </w:rPr>
        <w:tab/>
      </w:r>
      <w:r>
        <w:fldChar w:fldCharType="end"/>
      </w:r>
      <w:r>
        <w:rPr>
          <w:rFonts w:eastAsia="方正仿宋_GBK"/>
          <w:sz w:val="32"/>
          <w:szCs w:val="32"/>
        </w:rPr>
        <w:t>5</w:t>
      </w:r>
      <w:r>
        <w:rPr>
          <w:rFonts w:hint="eastAsia" w:eastAsia="方正仿宋_GBK"/>
          <w:sz w:val="32"/>
          <w:szCs w:val="32"/>
        </w:rPr>
        <w:t>3</w:t>
      </w:r>
    </w:p>
    <w:p>
      <w:pPr>
        <w:pStyle w:val="11"/>
        <w:jc w:val="center"/>
        <w:rPr>
          <w:rFonts w:eastAsia="方正仿宋_GBK"/>
          <w:sz w:val="32"/>
          <w:szCs w:val="32"/>
        </w:rPr>
      </w:pPr>
      <w:r>
        <w:rPr>
          <w:rFonts w:eastAsia="方正仿宋_GBK"/>
          <w:sz w:val="32"/>
          <w:szCs w:val="32"/>
        </w:rPr>
        <w:t>二、</w:t>
      </w:r>
      <w:r>
        <w:fldChar w:fldCharType="begin"/>
      </w:r>
      <w:r>
        <w:instrText xml:space="preserve">Hyperlink \l "_Toc15396620"</w:instrText>
      </w:r>
      <w:r>
        <w:fldChar w:fldCharType="separate"/>
      </w:r>
      <w:r>
        <w:rPr>
          <w:rFonts w:eastAsia="方正仿宋_GBK"/>
          <w:sz w:val="32"/>
          <w:szCs w:val="32"/>
        </w:rPr>
        <w:t>收入总表</w:t>
      </w:r>
      <w:r>
        <w:rPr>
          <w:rFonts w:eastAsia="方正仿宋_GBK"/>
          <w:sz w:val="32"/>
          <w:szCs w:val="32"/>
        </w:rPr>
        <w:tab/>
      </w:r>
      <w:r>
        <w:fldChar w:fldCharType="end"/>
      </w:r>
      <w:r>
        <w:rPr>
          <w:rFonts w:eastAsia="方正仿宋_GBK"/>
          <w:sz w:val="32"/>
          <w:szCs w:val="32"/>
        </w:rPr>
        <w:t>5</w:t>
      </w:r>
      <w:r>
        <w:rPr>
          <w:rFonts w:hint="eastAsia" w:eastAsia="方正仿宋_GBK"/>
          <w:sz w:val="32"/>
          <w:szCs w:val="32"/>
        </w:rPr>
        <w:t>3</w:t>
      </w:r>
    </w:p>
    <w:p>
      <w:pPr>
        <w:pStyle w:val="11"/>
        <w:jc w:val="center"/>
        <w:rPr>
          <w:rFonts w:eastAsia="方正仿宋_GBK"/>
          <w:sz w:val="32"/>
          <w:szCs w:val="32"/>
        </w:rPr>
      </w:pPr>
      <w:r>
        <w:rPr>
          <w:rFonts w:eastAsia="方正仿宋_GBK"/>
          <w:sz w:val="32"/>
          <w:szCs w:val="32"/>
        </w:rPr>
        <w:t>三、</w:t>
      </w:r>
      <w:r>
        <w:fldChar w:fldCharType="begin"/>
      </w:r>
      <w:r>
        <w:instrText xml:space="preserve">Hyperlink \l "_Toc15396621"</w:instrText>
      </w:r>
      <w:r>
        <w:fldChar w:fldCharType="separate"/>
      </w:r>
      <w:r>
        <w:rPr>
          <w:rFonts w:eastAsia="方正仿宋_GBK"/>
          <w:sz w:val="32"/>
          <w:szCs w:val="32"/>
        </w:rPr>
        <w:t>支出总表</w:t>
      </w:r>
      <w:r>
        <w:rPr>
          <w:rFonts w:eastAsia="方正仿宋_GBK"/>
          <w:sz w:val="32"/>
          <w:szCs w:val="32"/>
        </w:rPr>
        <w:tab/>
      </w:r>
      <w:r>
        <w:fldChar w:fldCharType="end"/>
      </w:r>
      <w:r>
        <w:rPr>
          <w:rFonts w:eastAsia="方正仿宋_GBK"/>
          <w:sz w:val="32"/>
          <w:szCs w:val="32"/>
        </w:rPr>
        <w:t>5</w:t>
      </w:r>
      <w:r>
        <w:rPr>
          <w:rFonts w:hint="eastAsia" w:eastAsia="方正仿宋_GBK"/>
          <w:sz w:val="32"/>
          <w:szCs w:val="32"/>
        </w:rPr>
        <w:t>3</w:t>
      </w:r>
    </w:p>
    <w:p>
      <w:pPr>
        <w:pStyle w:val="11"/>
        <w:jc w:val="center"/>
        <w:rPr>
          <w:rFonts w:eastAsia="方正仿宋_GBK"/>
          <w:sz w:val="32"/>
          <w:szCs w:val="32"/>
        </w:rPr>
      </w:pPr>
      <w:r>
        <w:rPr>
          <w:rFonts w:eastAsia="方正仿宋_GBK"/>
          <w:sz w:val="32"/>
          <w:szCs w:val="32"/>
        </w:rPr>
        <w:t>四、</w:t>
      </w:r>
      <w:r>
        <w:fldChar w:fldCharType="begin"/>
      </w:r>
      <w:r>
        <w:instrText xml:space="preserve">Hyperlink \l "_Toc15396622"</w:instrText>
      </w:r>
      <w:r>
        <w:fldChar w:fldCharType="separate"/>
      </w:r>
      <w:r>
        <w:rPr>
          <w:rFonts w:eastAsia="方正仿宋_GBK"/>
          <w:sz w:val="32"/>
          <w:szCs w:val="32"/>
        </w:rPr>
        <w:t>财政拨款收入支出决算总表</w:t>
      </w:r>
      <w:r>
        <w:rPr>
          <w:rFonts w:eastAsia="方正仿宋_GBK"/>
          <w:sz w:val="32"/>
          <w:szCs w:val="32"/>
        </w:rPr>
        <w:tab/>
      </w:r>
      <w:r>
        <w:fldChar w:fldCharType="end"/>
      </w:r>
      <w:r>
        <w:rPr>
          <w:rFonts w:eastAsia="方正仿宋_GBK"/>
          <w:sz w:val="32"/>
          <w:szCs w:val="32"/>
        </w:rPr>
        <w:t>5</w:t>
      </w:r>
      <w:r>
        <w:rPr>
          <w:rFonts w:hint="eastAsia" w:eastAsia="方正仿宋_GBK"/>
          <w:sz w:val="32"/>
          <w:szCs w:val="32"/>
        </w:rPr>
        <w:t>3</w:t>
      </w:r>
    </w:p>
    <w:p>
      <w:pPr>
        <w:pStyle w:val="11"/>
        <w:jc w:val="center"/>
        <w:rPr>
          <w:rFonts w:eastAsia="方正仿宋_GBK"/>
          <w:sz w:val="32"/>
          <w:szCs w:val="32"/>
        </w:rPr>
      </w:pPr>
      <w:r>
        <w:rPr>
          <w:rFonts w:eastAsia="方正仿宋_GBK"/>
          <w:sz w:val="32"/>
          <w:szCs w:val="32"/>
        </w:rPr>
        <w:t>五、</w:t>
      </w:r>
      <w:r>
        <w:fldChar w:fldCharType="begin"/>
      </w:r>
      <w:r>
        <w:instrText xml:space="preserve">Hyperlink \l "_Toc15396623"</w:instrText>
      </w:r>
      <w:r>
        <w:fldChar w:fldCharType="separate"/>
      </w:r>
      <w:r>
        <w:rPr>
          <w:rFonts w:eastAsia="方正仿宋_GBK"/>
          <w:sz w:val="32"/>
          <w:szCs w:val="32"/>
        </w:rPr>
        <w:t>财政拨款支出决算明细表（政府经济分类科目）</w:t>
      </w:r>
      <w:r>
        <w:rPr>
          <w:rFonts w:eastAsia="方正仿宋_GBK"/>
          <w:sz w:val="32"/>
          <w:szCs w:val="32"/>
        </w:rPr>
        <w:tab/>
      </w:r>
      <w:r>
        <w:fldChar w:fldCharType="end"/>
      </w:r>
      <w:r>
        <w:rPr>
          <w:rFonts w:eastAsia="方正仿宋_GBK"/>
          <w:sz w:val="32"/>
          <w:szCs w:val="32"/>
        </w:rPr>
        <w:t>5</w:t>
      </w:r>
      <w:r>
        <w:rPr>
          <w:rFonts w:hint="eastAsia" w:eastAsia="方正仿宋_GBK"/>
          <w:sz w:val="32"/>
          <w:szCs w:val="32"/>
        </w:rPr>
        <w:t>3</w:t>
      </w:r>
    </w:p>
    <w:p>
      <w:pPr>
        <w:pStyle w:val="11"/>
        <w:jc w:val="center"/>
        <w:rPr>
          <w:rFonts w:eastAsia="方正仿宋_GBK"/>
          <w:sz w:val="32"/>
          <w:szCs w:val="32"/>
        </w:rPr>
      </w:pPr>
      <w:r>
        <w:rPr>
          <w:rFonts w:eastAsia="方正仿宋_GBK"/>
          <w:sz w:val="32"/>
          <w:szCs w:val="32"/>
        </w:rPr>
        <w:t>六、</w:t>
      </w:r>
      <w:r>
        <w:fldChar w:fldCharType="begin"/>
      </w:r>
      <w:r>
        <w:instrText xml:space="preserve">Hyperlink \l "_Toc15396624"</w:instrText>
      </w:r>
      <w:r>
        <w:fldChar w:fldCharType="separate"/>
      </w:r>
      <w:r>
        <w:rPr>
          <w:rFonts w:eastAsia="方正仿宋_GBK"/>
          <w:sz w:val="32"/>
          <w:szCs w:val="32"/>
        </w:rPr>
        <w:t>一般公共预算财政拨款支出决算表</w:t>
      </w:r>
      <w:r>
        <w:rPr>
          <w:rFonts w:eastAsia="方正仿宋_GBK"/>
          <w:sz w:val="32"/>
          <w:szCs w:val="32"/>
        </w:rPr>
        <w:tab/>
      </w:r>
      <w:r>
        <w:fldChar w:fldCharType="end"/>
      </w:r>
      <w:r>
        <w:rPr>
          <w:rFonts w:eastAsia="方正仿宋_GBK"/>
          <w:sz w:val="32"/>
          <w:szCs w:val="32"/>
        </w:rPr>
        <w:t>5</w:t>
      </w:r>
      <w:r>
        <w:rPr>
          <w:rFonts w:hint="eastAsia" w:eastAsia="方正仿宋_GBK"/>
          <w:sz w:val="32"/>
          <w:szCs w:val="32"/>
        </w:rPr>
        <w:t>3</w:t>
      </w:r>
    </w:p>
    <w:p>
      <w:pPr>
        <w:pStyle w:val="11"/>
        <w:jc w:val="center"/>
        <w:rPr>
          <w:rFonts w:eastAsia="方正仿宋_GBK"/>
          <w:sz w:val="32"/>
          <w:szCs w:val="32"/>
        </w:rPr>
      </w:pPr>
      <w:r>
        <w:rPr>
          <w:rFonts w:eastAsia="方正仿宋_GBK"/>
          <w:sz w:val="32"/>
          <w:szCs w:val="32"/>
        </w:rPr>
        <w:t>七、</w:t>
      </w:r>
      <w:r>
        <w:fldChar w:fldCharType="begin"/>
      </w:r>
      <w:r>
        <w:instrText xml:space="preserve">Hyperlink \l "_Toc15396625"</w:instrText>
      </w:r>
      <w:r>
        <w:fldChar w:fldCharType="separate"/>
      </w:r>
      <w:r>
        <w:rPr>
          <w:rFonts w:eastAsia="方正仿宋_GBK"/>
          <w:sz w:val="32"/>
          <w:szCs w:val="32"/>
        </w:rPr>
        <w:t>一般公共预算财政拨款支出决算明细表</w:t>
      </w:r>
      <w:r>
        <w:rPr>
          <w:rFonts w:eastAsia="方正仿宋_GBK"/>
          <w:sz w:val="32"/>
          <w:szCs w:val="32"/>
        </w:rPr>
        <w:tab/>
      </w:r>
      <w:r>
        <w:fldChar w:fldCharType="end"/>
      </w:r>
      <w:r>
        <w:rPr>
          <w:rFonts w:eastAsia="方正仿宋_GBK"/>
          <w:sz w:val="32"/>
          <w:szCs w:val="32"/>
        </w:rPr>
        <w:t>5</w:t>
      </w:r>
      <w:r>
        <w:rPr>
          <w:rFonts w:hint="eastAsia" w:eastAsia="方正仿宋_GBK"/>
          <w:sz w:val="32"/>
          <w:szCs w:val="32"/>
        </w:rPr>
        <w:t>3</w:t>
      </w:r>
    </w:p>
    <w:p>
      <w:pPr>
        <w:pStyle w:val="11"/>
        <w:jc w:val="center"/>
        <w:rPr>
          <w:rFonts w:eastAsia="方正仿宋_GBK"/>
          <w:sz w:val="32"/>
          <w:szCs w:val="32"/>
        </w:rPr>
      </w:pPr>
      <w:r>
        <w:rPr>
          <w:rFonts w:eastAsia="方正仿宋_GBK"/>
          <w:sz w:val="32"/>
          <w:szCs w:val="32"/>
        </w:rPr>
        <w:t>八、</w:t>
      </w:r>
      <w:r>
        <w:fldChar w:fldCharType="begin"/>
      </w:r>
      <w:r>
        <w:instrText xml:space="preserve">Hyperlink \l "_Toc15396626"</w:instrText>
      </w:r>
      <w:r>
        <w:fldChar w:fldCharType="separate"/>
      </w:r>
      <w:r>
        <w:rPr>
          <w:rFonts w:eastAsia="方正仿宋_GBK"/>
          <w:sz w:val="32"/>
          <w:szCs w:val="32"/>
        </w:rPr>
        <w:t>一般公共预算财政拨款基本支出决算表</w:t>
      </w:r>
      <w:r>
        <w:rPr>
          <w:rFonts w:eastAsia="方正仿宋_GBK"/>
          <w:sz w:val="32"/>
          <w:szCs w:val="32"/>
        </w:rPr>
        <w:tab/>
      </w:r>
      <w:r>
        <w:fldChar w:fldCharType="end"/>
      </w:r>
      <w:r>
        <w:rPr>
          <w:rFonts w:eastAsia="方正仿宋_GBK"/>
          <w:sz w:val="32"/>
          <w:szCs w:val="32"/>
        </w:rPr>
        <w:t>5</w:t>
      </w:r>
      <w:r>
        <w:rPr>
          <w:rFonts w:hint="eastAsia" w:eastAsia="方正仿宋_GBK"/>
          <w:sz w:val="32"/>
          <w:szCs w:val="32"/>
        </w:rPr>
        <w:t>3</w:t>
      </w:r>
    </w:p>
    <w:p>
      <w:pPr>
        <w:pStyle w:val="11"/>
        <w:jc w:val="center"/>
        <w:rPr>
          <w:rFonts w:eastAsia="方正仿宋_GBK"/>
          <w:sz w:val="32"/>
          <w:szCs w:val="32"/>
        </w:rPr>
      </w:pPr>
      <w:r>
        <w:rPr>
          <w:rFonts w:eastAsia="方正仿宋_GBK"/>
          <w:sz w:val="32"/>
          <w:szCs w:val="32"/>
        </w:rPr>
        <w:t>九、</w:t>
      </w:r>
      <w:r>
        <w:fldChar w:fldCharType="begin"/>
      </w:r>
      <w:r>
        <w:instrText xml:space="preserve">Hyperlink \l "_Toc15396627"</w:instrText>
      </w:r>
      <w:r>
        <w:fldChar w:fldCharType="separate"/>
      </w:r>
      <w:r>
        <w:rPr>
          <w:rFonts w:eastAsia="方正仿宋_GBK"/>
          <w:sz w:val="32"/>
          <w:szCs w:val="32"/>
        </w:rPr>
        <w:t>一般公共预算财政拨款项目支出决算表</w:t>
      </w:r>
      <w:r>
        <w:rPr>
          <w:rFonts w:eastAsia="方正仿宋_GBK"/>
          <w:sz w:val="32"/>
          <w:szCs w:val="32"/>
        </w:rPr>
        <w:tab/>
      </w:r>
      <w:r>
        <w:fldChar w:fldCharType="end"/>
      </w:r>
      <w:r>
        <w:rPr>
          <w:rFonts w:eastAsia="方正仿宋_GBK"/>
          <w:sz w:val="32"/>
          <w:szCs w:val="32"/>
        </w:rPr>
        <w:t>5</w:t>
      </w:r>
      <w:r>
        <w:rPr>
          <w:rFonts w:hint="eastAsia" w:eastAsia="方正仿宋_GBK"/>
          <w:sz w:val="32"/>
          <w:szCs w:val="32"/>
        </w:rPr>
        <w:t>3</w:t>
      </w:r>
    </w:p>
    <w:p>
      <w:pPr>
        <w:pStyle w:val="11"/>
        <w:jc w:val="center"/>
        <w:rPr>
          <w:rFonts w:eastAsia="方正仿宋_GBK"/>
          <w:sz w:val="32"/>
          <w:szCs w:val="32"/>
        </w:rPr>
      </w:pPr>
      <w:r>
        <w:rPr>
          <w:rFonts w:eastAsia="方正仿宋_GBK"/>
          <w:sz w:val="32"/>
          <w:szCs w:val="32"/>
        </w:rPr>
        <w:t>十、</w:t>
      </w:r>
      <w:r>
        <w:fldChar w:fldCharType="begin"/>
      </w:r>
      <w:r>
        <w:instrText xml:space="preserve">Hyperlink \l "_Toc15396628"</w:instrText>
      </w:r>
      <w:r>
        <w:fldChar w:fldCharType="separate"/>
      </w:r>
      <w:r>
        <w:rPr>
          <w:rFonts w:eastAsia="方正仿宋_GBK"/>
          <w:sz w:val="32"/>
          <w:szCs w:val="32"/>
        </w:rPr>
        <w:t>一般公共预算财政拨款“三公”经费支出决算表</w:t>
      </w:r>
      <w:r>
        <w:rPr>
          <w:rFonts w:eastAsia="方正仿宋_GBK"/>
          <w:sz w:val="32"/>
          <w:szCs w:val="32"/>
        </w:rPr>
        <w:tab/>
      </w:r>
      <w:r>
        <w:fldChar w:fldCharType="end"/>
      </w:r>
      <w:r>
        <w:rPr>
          <w:rFonts w:eastAsia="方正仿宋_GBK"/>
          <w:sz w:val="32"/>
          <w:szCs w:val="32"/>
        </w:rPr>
        <w:t>5</w:t>
      </w:r>
      <w:r>
        <w:rPr>
          <w:rFonts w:hint="eastAsia" w:eastAsia="方正仿宋_GBK"/>
          <w:sz w:val="32"/>
          <w:szCs w:val="32"/>
        </w:rPr>
        <w:t>3</w:t>
      </w:r>
    </w:p>
    <w:p>
      <w:pPr>
        <w:pStyle w:val="11"/>
        <w:jc w:val="center"/>
        <w:rPr>
          <w:rFonts w:eastAsia="方正仿宋_GBK"/>
          <w:sz w:val="32"/>
          <w:szCs w:val="32"/>
        </w:rPr>
      </w:pPr>
      <w:r>
        <w:rPr>
          <w:rFonts w:eastAsia="方正仿宋_GBK"/>
          <w:sz w:val="32"/>
          <w:szCs w:val="32"/>
        </w:rPr>
        <w:t>十一、</w:t>
      </w:r>
      <w:r>
        <w:fldChar w:fldCharType="begin"/>
      </w:r>
      <w:r>
        <w:instrText xml:space="preserve">Hyperlink \l "_Toc15396629"</w:instrText>
      </w:r>
      <w:r>
        <w:fldChar w:fldCharType="separate"/>
      </w:r>
      <w:r>
        <w:rPr>
          <w:rFonts w:eastAsia="方正仿宋_GBK"/>
          <w:sz w:val="32"/>
          <w:szCs w:val="32"/>
        </w:rPr>
        <w:t>政府性基金预算财政拨款收入支出决算表</w:t>
      </w:r>
      <w:r>
        <w:rPr>
          <w:rFonts w:eastAsia="方正仿宋_GBK"/>
          <w:sz w:val="32"/>
          <w:szCs w:val="32"/>
        </w:rPr>
        <w:tab/>
      </w:r>
      <w:r>
        <w:fldChar w:fldCharType="end"/>
      </w:r>
      <w:r>
        <w:rPr>
          <w:rFonts w:eastAsia="方正仿宋_GBK"/>
          <w:sz w:val="32"/>
          <w:szCs w:val="32"/>
        </w:rPr>
        <w:t>5</w:t>
      </w:r>
      <w:r>
        <w:rPr>
          <w:rFonts w:hint="eastAsia" w:eastAsia="方正仿宋_GBK"/>
          <w:sz w:val="32"/>
          <w:szCs w:val="32"/>
        </w:rPr>
        <w:t>3</w:t>
      </w:r>
    </w:p>
    <w:p>
      <w:pPr>
        <w:pStyle w:val="11"/>
        <w:jc w:val="center"/>
        <w:rPr>
          <w:rFonts w:eastAsia="方正仿宋_GBK"/>
          <w:sz w:val="32"/>
          <w:szCs w:val="32"/>
        </w:rPr>
      </w:pPr>
      <w:r>
        <w:rPr>
          <w:rFonts w:eastAsia="方正仿宋_GBK"/>
          <w:sz w:val="32"/>
          <w:szCs w:val="32"/>
        </w:rPr>
        <w:t>十二、</w:t>
      </w:r>
      <w:r>
        <w:fldChar w:fldCharType="begin"/>
      </w:r>
      <w:r>
        <w:instrText xml:space="preserve">Hyperlink \l "_Toc15396630"</w:instrText>
      </w:r>
      <w:r>
        <w:fldChar w:fldCharType="separate"/>
      </w:r>
      <w:r>
        <w:rPr>
          <w:rFonts w:eastAsia="方正仿宋_GBK"/>
          <w:sz w:val="32"/>
          <w:szCs w:val="32"/>
        </w:rPr>
        <w:t>政府性基金预算财政拨款“三公”经费支出决算表</w:t>
      </w:r>
      <w:r>
        <w:fldChar w:fldCharType="end"/>
      </w:r>
      <w:r>
        <w:rPr>
          <w:rFonts w:eastAsia="方正仿宋_GBK"/>
          <w:sz w:val="32"/>
          <w:szCs w:val="32"/>
        </w:rPr>
        <w:t>5</w:t>
      </w:r>
      <w:r>
        <w:rPr>
          <w:rFonts w:hint="eastAsia" w:eastAsia="方正仿宋_GBK"/>
          <w:sz w:val="32"/>
          <w:szCs w:val="32"/>
        </w:rPr>
        <w:t>3</w:t>
      </w:r>
    </w:p>
    <w:p>
      <w:pPr>
        <w:pStyle w:val="11"/>
        <w:jc w:val="center"/>
        <w:rPr>
          <w:rFonts w:eastAsia="方正仿宋_GBK"/>
          <w:sz w:val="32"/>
          <w:szCs w:val="32"/>
        </w:rPr>
      </w:pPr>
      <w:r>
        <w:rPr>
          <w:rFonts w:eastAsia="方正仿宋_GBK"/>
          <w:sz w:val="32"/>
          <w:szCs w:val="32"/>
        </w:rPr>
        <w:t>十三、</w:t>
      </w:r>
      <w:r>
        <w:fldChar w:fldCharType="begin"/>
      </w:r>
      <w:r>
        <w:instrText xml:space="preserve">Hyperlink \l "_Toc15396631"</w:instrText>
      </w:r>
      <w:r>
        <w:fldChar w:fldCharType="separate"/>
      </w:r>
      <w:r>
        <w:rPr>
          <w:rFonts w:eastAsia="方正仿宋_GBK"/>
          <w:sz w:val="32"/>
          <w:szCs w:val="32"/>
        </w:rPr>
        <w:t>国有资本经营预算财政拨款收入支出决算表</w:t>
      </w:r>
      <w:r>
        <w:rPr>
          <w:rFonts w:eastAsia="方正仿宋_GBK"/>
          <w:sz w:val="32"/>
          <w:szCs w:val="32"/>
        </w:rPr>
        <w:tab/>
      </w:r>
      <w:r>
        <w:fldChar w:fldCharType="end"/>
      </w:r>
      <w:r>
        <w:rPr>
          <w:rFonts w:eastAsia="方正仿宋_GBK"/>
          <w:sz w:val="32"/>
          <w:szCs w:val="32"/>
        </w:rPr>
        <w:t>5</w:t>
      </w:r>
      <w:r>
        <w:rPr>
          <w:rFonts w:hint="eastAsia" w:eastAsia="方正仿宋_GBK"/>
          <w:sz w:val="32"/>
          <w:szCs w:val="32"/>
        </w:rPr>
        <w:t>3</w:t>
      </w:r>
    </w:p>
    <w:p>
      <w:pPr>
        <w:pStyle w:val="11"/>
        <w:jc w:val="center"/>
        <w:rPr>
          <w:rFonts w:eastAsia="方正仿宋_GBK"/>
          <w:sz w:val="32"/>
          <w:szCs w:val="32"/>
        </w:rPr>
      </w:pPr>
      <w:r>
        <w:rPr>
          <w:rFonts w:eastAsia="方正仿宋_GBK"/>
          <w:sz w:val="32"/>
          <w:szCs w:val="32"/>
        </w:rPr>
        <w:t>十四、国有资本经营预算财政拨款支出决算表</w:t>
      </w:r>
      <w:r>
        <w:fldChar w:fldCharType="begin"/>
      </w:r>
      <w:r>
        <w:instrText xml:space="preserve">Hyperlink \l "_Toc15396631"</w:instrText>
      </w:r>
      <w:r>
        <w:fldChar w:fldCharType="separate"/>
      </w:r>
      <w:r>
        <w:rPr>
          <w:rFonts w:eastAsia="方正仿宋_GBK"/>
          <w:sz w:val="32"/>
          <w:szCs w:val="32"/>
        </w:rPr>
        <w:t>支出决算表</w:t>
      </w:r>
      <w:r>
        <w:rPr>
          <w:rFonts w:eastAsia="方正仿宋_GBK"/>
          <w:sz w:val="32"/>
          <w:szCs w:val="32"/>
        </w:rPr>
        <w:tab/>
      </w:r>
      <w:r>
        <w:fldChar w:fldCharType="end"/>
      </w:r>
      <w:r>
        <w:rPr>
          <w:rFonts w:eastAsia="方正仿宋_GBK"/>
          <w:sz w:val="32"/>
          <w:szCs w:val="32"/>
        </w:rPr>
        <w:t>5</w:t>
      </w:r>
      <w:r>
        <w:rPr>
          <w:rFonts w:hint="eastAsia" w:eastAsia="方正仿宋_GBK"/>
          <w:sz w:val="32"/>
          <w:szCs w:val="32"/>
        </w:rPr>
        <w:t>3</w:t>
      </w:r>
    </w:p>
    <w:p>
      <w:pPr>
        <w:rPr>
          <w:rFonts w:eastAsia="方正仿宋_GBK"/>
          <w:sz w:val="32"/>
          <w:szCs w:val="32"/>
        </w:rPr>
      </w:pPr>
    </w:p>
    <w:p>
      <w:pPr>
        <w:rPr>
          <w:rFonts w:eastAsia="方正仿宋_GBK"/>
          <w:sz w:val="32"/>
          <w:szCs w:val="32"/>
        </w:rPr>
      </w:pPr>
    </w:p>
    <w:p>
      <w:pPr>
        <w:widowControl/>
        <w:spacing w:line="578" w:lineRule="exact"/>
        <w:jc w:val="center"/>
        <w:rPr>
          <w:rStyle w:val="17"/>
          <w:rFonts w:ascii="方正小标宋_GBK" w:eastAsia="方正小标宋_GBK" w:cs="方正小标宋_GBK"/>
          <w:b w:val="0"/>
          <w:bCs w:val="0"/>
        </w:rPr>
      </w:pPr>
      <w:r>
        <w:rPr>
          <w:rFonts w:eastAsia="方正仿宋_GBK"/>
          <w:color w:val="000000"/>
          <w:sz w:val="32"/>
          <w:szCs w:val="32"/>
        </w:rPr>
        <w:fldChar w:fldCharType="end"/>
      </w:r>
      <w:r>
        <w:rPr>
          <w:rFonts w:hint="eastAsia" w:ascii="方正小标宋_GBK" w:eastAsia="方正小标宋_GBK" w:cs="方正小标宋_GBK"/>
          <w:sz w:val="44"/>
          <w:szCs w:val="44"/>
        </w:rPr>
        <w:t>第一部分　</w:t>
      </w:r>
      <w:r>
        <w:rPr>
          <w:rStyle w:val="17"/>
          <w:rFonts w:hint="eastAsia" w:ascii="方正小标宋_GBK" w:eastAsia="方正小标宋_GBK" w:cs="方正小标宋_GBK"/>
          <w:b w:val="0"/>
          <w:bCs w:val="0"/>
        </w:rPr>
        <w:t>部门概况</w:t>
      </w:r>
      <w:bookmarkEnd w:id="12"/>
      <w:bookmarkEnd w:id="13"/>
    </w:p>
    <w:p>
      <w:pPr>
        <w:widowControl/>
        <w:spacing w:line="578" w:lineRule="exact"/>
        <w:jc w:val="center"/>
        <w:rPr>
          <w:rStyle w:val="17"/>
          <w:rFonts w:ascii="方正小标宋_GBK" w:eastAsia="方正小标宋_GBK" w:cs="方正小标宋_GBK"/>
          <w:b w:val="0"/>
          <w:bCs w:val="0"/>
        </w:rPr>
      </w:pPr>
    </w:p>
    <w:p>
      <w:pPr>
        <w:pStyle w:val="3"/>
        <w:spacing w:before="0" w:after="0" w:line="578" w:lineRule="exact"/>
        <w:ind w:firstLine="640" w:firstLineChars="200"/>
        <w:rPr>
          <w:rStyle w:val="18"/>
          <w:rFonts w:ascii="方正黑体_GBK" w:eastAsia="方正黑体_GBK" w:cs="方正黑体_GBK"/>
          <w:b w:val="0"/>
          <w:bCs w:val="0"/>
          <w:color w:val="000000"/>
        </w:rPr>
      </w:pPr>
      <w:bookmarkStart w:id="14" w:name="_Toc15396600"/>
      <w:bookmarkStart w:id="15" w:name="_Toc15377197"/>
      <w:r>
        <w:rPr>
          <w:rFonts w:hint="eastAsia" w:ascii="方正黑体_GBK" w:eastAsia="方正黑体_GBK" w:cs="方正黑体_GBK"/>
          <w:b w:val="0"/>
          <w:bCs w:val="0"/>
          <w:color w:val="000000"/>
        </w:rPr>
        <w:t>一、基</w:t>
      </w:r>
      <w:r>
        <w:rPr>
          <w:rStyle w:val="18"/>
          <w:rFonts w:hint="eastAsia" w:ascii="方正黑体_GBK" w:eastAsia="方正黑体_GBK" w:cs="方正黑体_GBK"/>
          <w:b w:val="0"/>
          <w:bCs w:val="0"/>
          <w:color w:val="000000"/>
        </w:rPr>
        <w:t>本职能及主要工作</w:t>
      </w:r>
      <w:bookmarkEnd w:id="14"/>
      <w:bookmarkEnd w:id="15"/>
    </w:p>
    <w:p>
      <w:pPr>
        <w:pStyle w:val="5"/>
        <w:adjustRightInd w:val="0"/>
        <w:snapToGrid w:val="0"/>
        <w:spacing w:before="30" w:beforeLines="0" w:line="578" w:lineRule="exact"/>
        <w:ind w:firstLine="640" w:firstLineChars="200"/>
        <w:outlineLvl w:val="2"/>
        <w:rPr>
          <w:rFonts w:ascii="方正楷体_GBK" w:eastAsia="方正楷体_GBK" w:cs="方正楷体_GBK"/>
          <w:color w:val="000000"/>
          <w:sz w:val="32"/>
          <w:szCs w:val="32"/>
        </w:rPr>
      </w:pPr>
      <w:bookmarkStart w:id="16" w:name="_Toc15377198"/>
      <w:bookmarkStart w:id="17" w:name="_Toc15378445"/>
      <w:r>
        <w:rPr>
          <w:rFonts w:hint="eastAsia" w:ascii="方正楷体_GBK" w:eastAsia="方正楷体_GBK" w:cs="方正楷体_GBK"/>
          <w:color w:val="000000"/>
          <w:sz w:val="32"/>
          <w:szCs w:val="32"/>
        </w:rPr>
        <w:t>（一）主要职能</w:t>
      </w:r>
      <w:bookmarkEnd w:id="16"/>
      <w:bookmarkEnd w:id="17"/>
    </w:p>
    <w:p>
      <w:pPr>
        <w:pStyle w:val="5"/>
        <w:adjustRightInd w:val="0"/>
        <w:snapToGrid w:val="0"/>
        <w:spacing w:before="30" w:beforeLines="0" w:line="578" w:lineRule="exact"/>
        <w:ind w:firstLine="668" w:firstLineChars="209"/>
        <w:rPr>
          <w:rFonts w:ascii="Times New Roman" w:hAnsi="Times New Roman" w:eastAsia="方正仿宋_GBK"/>
          <w:color w:val="000000"/>
          <w:sz w:val="32"/>
          <w:szCs w:val="32"/>
        </w:rPr>
      </w:pPr>
      <w:bookmarkStart w:id="18" w:name="_Toc15377199"/>
      <w:bookmarkStart w:id="19" w:name="_Toc15378446"/>
      <w:r>
        <w:rPr>
          <w:rFonts w:ascii="Times New Roman" w:hAnsi="Times New Roman" w:eastAsia="方正仿宋_GBK"/>
          <w:sz w:val="32"/>
          <w:szCs w:val="32"/>
        </w:rPr>
        <w:t>达川区三里坪街道办事处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三里坪街道经济发展、改善人民生活、保持辖区社会稳定、偿还村级债务、搞好社区建设和加快村级基础设施建设工作。</w:t>
      </w:r>
    </w:p>
    <w:p>
      <w:pPr>
        <w:pStyle w:val="5"/>
        <w:adjustRightInd w:val="0"/>
        <w:snapToGrid w:val="0"/>
        <w:spacing w:before="30" w:beforeLines="0" w:line="578" w:lineRule="exact"/>
        <w:ind w:firstLine="640" w:firstLineChars="200"/>
        <w:outlineLvl w:val="2"/>
        <w:rPr>
          <w:rFonts w:ascii="方正楷体_GBK" w:eastAsia="方正楷体_GBK" w:cs="方正楷体_GBK"/>
          <w:color w:val="000000"/>
          <w:sz w:val="32"/>
          <w:szCs w:val="32"/>
        </w:rPr>
      </w:pPr>
      <w:r>
        <w:rPr>
          <w:rFonts w:ascii="方正楷体_GBK" w:eastAsia="方正楷体_GBK" w:cs="方正楷体_GBK"/>
          <w:color w:val="000000"/>
          <w:sz w:val="32"/>
          <w:szCs w:val="32"/>
        </w:rPr>
        <w:t>（二）2020年重点工作完成情况</w:t>
      </w:r>
      <w:bookmarkEnd w:id="18"/>
      <w:bookmarkEnd w:id="19"/>
    </w:p>
    <w:p>
      <w:pPr>
        <w:numPr>
          <w:ilvl w:val="0"/>
          <w:numId w:val="1"/>
        </w:numPr>
        <w:spacing w:line="578" w:lineRule="exact"/>
        <w:ind w:left="0" w:firstLine="640" w:firstLineChars="200"/>
        <w:rPr>
          <w:rFonts w:ascii="方正楷体_GBK" w:eastAsia="方正楷体_GBK" w:cs="方正楷体_GBK"/>
          <w:kern w:val="0"/>
          <w:sz w:val="32"/>
          <w:szCs w:val="32"/>
        </w:rPr>
      </w:pPr>
      <w:bookmarkStart w:id="20" w:name="_Toc15396601"/>
      <w:bookmarkStart w:id="21" w:name="_Toc15377200"/>
      <w:r>
        <w:rPr>
          <w:rFonts w:hint="eastAsia" w:ascii="方正楷体_GBK" w:eastAsia="方正楷体_GBK" w:cs="方正楷体_GBK"/>
          <w:kern w:val="0"/>
          <w:sz w:val="32"/>
          <w:szCs w:val="32"/>
        </w:rPr>
        <w:t>经济持续健康发展</w:t>
      </w:r>
    </w:p>
    <w:p>
      <w:pPr>
        <w:spacing w:line="578" w:lineRule="exact"/>
        <w:ind w:firstLine="640" w:firstLineChars="200"/>
        <w:rPr>
          <w:rFonts w:eastAsia="方正仿宋_GBK"/>
          <w:kern w:val="0"/>
          <w:sz w:val="32"/>
          <w:szCs w:val="32"/>
        </w:rPr>
      </w:pPr>
      <w:r>
        <w:rPr>
          <w:rFonts w:eastAsia="方正仿宋_GBK"/>
          <w:kern w:val="0"/>
          <w:sz w:val="32"/>
          <w:szCs w:val="32"/>
        </w:rPr>
        <w:t>（1）群众收入水平持续增长</w:t>
      </w:r>
    </w:p>
    <w:p>
      <w:pPr>
        <w:spacing w:line="578" w:lineRule="exact"/>
        <w:ind w:firstLine="640" w:firstLineChars="200"/>
        <w:rPr>
          <w:rFonts w:eastAsia="方正仿宋_GBK"/>
          <w:kern w:val="0"/>
          <w:sz w:val="32"/>
          <w:szCs w:val="32"/>
        </w:rPr>
      </w:pPr>
      <w:r>
        <w:rPr>
          <w:rFonts w:eastAsia="方正仿宋_GBK"/>
          <w:kern w:val="0"/>
          <w:sz w:val="32"/>
          <w:szCs w:val="32"/>
        </w:rPr>
        <w:t>2020全年，三里坪街道GDP完成107639万元，同比增长0.36%%，社会消费品零售总额完成35292.9万元，辖区内城市居民人均可支配收入27781元，同比增长%，农民人均纯收入15036元，同比增长%。</w:t>
      </w:r>
    </w:p>
    <w:p>
      <w:pPr>
        <w:spacing w:line="578" w:lineRule="exact"/>
        <w:ind w:firstLine="640" w:firstLineChars="200"/>
        <w:rPr>
          <w:rFonts w:eastAsia="方正仿宋_GBK"/>
          <w:kern w:val="0"/>
          <w:sz w:val="32"/>
          <w:szCs w:val="32"/>
        </w:rPr>
      </w:pPr>
      <w:r>
        <w:rPr>
          <w:rFonts w:eastAsia="方正仿宋_GBK"/>
          <w:kern w:val="0"/>
          <w:sz w:val="32"/>
          <w:szCs w:val="32"/>
        </w:rPr>
        <w:t>（2）工业稳健发展</w:t>
      </w:r>
    </w:p>
    <w:p>
      <w:pPr>
        <w:spacing w:line="578" w:lineRule="exact"/>
        <w:ind w:firstLine="640" w:firstLineChars="200"/>
        <w:rPr>
          <w:rFonts w:eastAsia="方正仿宋_GBK"/>
          <w:kern w:val="0"/>
          <w:sz w:val="32"/>
          <w:szCs w:val="32"/>
        </w:rPr>
      </w:pPr>
      <w:r>
        <w:rPr>
          <w:rFonts w:eastAsia="方正仿宋_GBK"/>
          <w:kern w:val="0"/>
          <w:sz w:val="32"/>
          <w:szCs w:val="32"/>
        </w:rPr>
        <w:t>新增企业数0个，规模以上工业完成产值34719万元、同比增长-39.8%，销售产值34719万元，同比增长-39.8%，主营业务收入32678万元，同比增长-41.2%，实现利润1754万元，同比增长-42.7%。</w:t>
      </w:r>
    </w:p>
    <w:p>
      <w:pPr>
        <w:numPr>
          <w:ilvl w:val="0"/>
          <w:numId w:val="2"/>
        </w:numPr>
        <w:spacing w:line="578" w:lineRule="exact"/>
        <w:ind w:left="0" w:firstLine="640" w:firstLineChars="200"/>
        <w:rPr>
          <w:rFonts w:eastAsia="方正仿宋_GBK"/>
          <w:kern w:val="0"/>
          <w:sz w:val="32"/>
          <w:szCs w:val="32"/>
        </w:rPr>
      </w:pPr>
      <w:r>
        <w:rPr>
          <w:rFonts w:eastAsia="方正仿宋_GBK"/>
          <w:kern w:val="0"/>
          <w:sz w:val="32"/>
          <w:szCs w:val="32"/>
        </w:rPr>
        <w:t>农、林、牧业持续发展</w:t>
      </w:r>
    </w:p>
    <w:p>
      <w:pPr>
        <w:spacing w:line="578" w:lineRule="exact"/>
        <w:ind w:firstLine="640" w:firstLineChars="200"/>
        <w:rPr>
          <w:rFonts w:eastAsia="方正仿宋_GBK"/>
          <w:kern w:val="0"/>
          <w:sz w:val="32"/>
          <w:szCs w:val="32"/>
        </w:rPr>
      </w:pPr>
      <w:r>
        <w:rPr>
          <w:rFonts w:eastAsia="方正仿宋_GBK"/>
          <w:kern w:val="0"/>
          <w:sz w:val="32"/>
          <w:szCs w:val="32"/>
        </w:rPr>
        <w:t>一是继续抓好农业耕地地力保护补贴、农机安全、农业政策性保险、农业生产资料监管及精准扶贫工作。2020年度全街道耕地地力保护补贴1220户3892人，补贴面积1800.4亩，补贴金额263398.52元；水稻专项补贴289户，补贴面积360.97亩，补贴金额22069.71元。购机补贴6户7台机具，补贴金额4200元。与辖区内农机手签订农机安全生产责任书68份。街道共入保水稻89亩、玉米102.4亩，收取农业保险费4780元。对辖区10家农资门市开展10次大检查，充分保证了农业生产资料的安全。二是巩固造林绿化成果，林业生态建设提质增效，林业发展成果巩固工作有序开展。全面开展春季义务植树活动栽桂花、银杏0.5万余株，以点带面，促进植树造林蓬勃开展。天然林保护工程顺利实施。全面落实6091.53万亩集体公益林管护任务，共落实专职护林员和生态护林员8人，签订管护合同25余份，完成兑付2020年度生态效益补偿资金10.20万余元。认真落实森林防火责任制，街道与村、区林保中心与林业站、林业站与各护林员层层签订《森林防火目标责任书》11份，落实聋、哑、痴、呆、幼、老等特殊人群管护人员21人。积极开展森林防火宣传活动，共出动宣传车15次，发放森林防火手册1000余本、宣传资料4800余份，悬挂固定标牌345余幅，新增固定标语15余条。强化火源管控，共设立专职巡山护林员6人，生态护林员2人，开展与明月江街道、盘石镇、翠屏街道联防等办法，同时推行村村联防、组组联防、户户联防，加大重点时段、重点区域管控，严禁林区、林缘违规用火。修订了《森林防火应急预案和森林火灾应急处置办法》，调整充实森林火灾扑救应急队员，提升森林火灾处置能力。今年全街道未发生一起森林火灾。加强林业有害生物监测预报和除治工作，监测覆盖率达100%。今年秋季，通过监测和调查，在辖区仍然存在松材线虫病，通过市、区政府统筹，今年目前完成了三支除治公司进驻。目前，疫木应急除治施工正在进行，预计在年底前完成疫木应急除治工作任务的70%。专职管护人员和生态护林员8人，均已落实到山头地块，全天巡逻。三是全面做好了畜牧工作。严格按照《动物检疫管理办法》《畜禽及产品产地准出和市场准入》《禽类检疫操作规程》执行，全年来共检疫牛5200多头、禽30.4万余只、牛肉产品39.8万公斤、禽产品68.6万公斤，坚持对检疫不合格畜禽及产品不准出场，共检出不合格牛肉产品129公斤、禽类115只、禽产品252公斤，并按有关规定进行了无害化处理。从而督使了辖区内无一例畜产品食品安全事件发生，确保了人民大众“舌尖上”的安全。全年辖区生猪存栏1500头、牛存栏12头、羊存栏42只、家禽存栏1467只，严格按照五个一的要求，坚持做到"四不漏"的原则。全年共免疫猪口蹄疫、猪瘟疫苗2800头份，牛、羊口蹄疫苗167头（只），禽流感疫苗1.26万余只，五大重大动物疫病疫密度均达98%以上，应免率达100%。全年共免疫犬只的狂犬病疫苗280只份，应免率达100%，耳标佩戴率达到了100%；对人畜共患病进行了筛查和净化，确保了辖区公共卫生安全。免费发放消毒药1500公斤，消毒散养户952户次，对定点屠宰场、牲畜交易市场、集贸市场畜禽及产品摊点等消毒面积达2.35万余平米，有效控制了疾病的发生和传播。加强了非洲猪瘟病的防控。在辖区农贸市场及交通要道等处张贴了非洲猪瘟防控知识宣传、防控非洲猪瘟通告，对学校食堂、大型酒店巡查了泔水去向，对各饲养生猪的村社进行了是否饲喂泔水排查等。在辖区达州高速路口成立了非洲猪瘟临时检查站，安排值守工作人员对进出的车辆进行了全天24小时检查，并对车辆进行了全面消毒灭菌，检查中对合规调进生猪及产品进行了登记备案，对不符合相对规定进入的按非洲猪瘟相关规定进行了劝返及无害化处理。</w:t>
      </w:r>
    </w:p>
    <w:p>
      <w:pPr>
        <w:numPr>
          <w:ilvl w:val="0"/>
          <w:numId w:val="2"/>
        </w:numPr>
        <w:spacing w:line="578" w:lineRule="exact"/>
        <w:ind w:left="0" w:firstLine="640" w:firstLineChars="200"/>
        <w:rPr>
          <w:rFonts w:eastAsia="方正仿宋_GBK"/>
          <w:kern w:val="0"/>
          <w:sz w:val="32"/>
          <w:szCs w:val="32"/>
        </w:rPr>
      </w:pPr>
      <w:r>
        <w:rPr>
          <w:rFonts w:eastAsia="方正仿宋_GBK"/>
          <w:kern w:val="0"/>
          <w:sz w:val="32"/>
          <w:szCs w:val="32"/>
        </w:rPr>
        <w:t>河长制工作持续向好</w:t>
      </w:r>
    </w:p>
    <w:p>
      <w:pPr>
        <w:spacing w:line="578" w:lineRule="exact"/>
        <w:ind w:firstLine="640" w:firstLineChars="200"/>
        <w:rPr>
          <w:rFonts w:eastAsia="方正仿宋_GBK"/>
          <w:kern w:val="0"/>
          <w:sz w:val="32"/>
          <w:szCs w:val="32"/>
        </w:rPr>
      </w:pPr>
      <w:r>
        <w:rPr>
          <w:rFonts w:eastAsia="方正仿宋_GBK"/>
          <w:kern w:val="0"/>
          <w:sz w:val="32"/>
          <w:szCs w:val="32"/>
        </w:rPr>
        <w:t>街道、村（社区）二级河（湖）长制工作机构有效运行，街道级河长每月按时巡查河道，并建立工作台账。继续加大七里沟河道黑臭水体整治力度，着重对七里沟沿河一带村居民聚居点污水的收集与处理，减少污水对环境的再次污染，通过四大措施“加强治理、截污控源、清淤疏导、绿化和美化工程”切实改善流域内水质现状，提高河流出境断面水质达标率，促进生态环境改善。积极开展河湖清四乱，对河道管理范围内乱占、乱倾、乱堆、乱建等问题，发现一处、清理一处、销号一处。全年共清理生活垃圾150立方，清理修复河道面积1万余平方米，固废物300余立方米，确保河道岸线随时干净整治。</w:t>
      </w:r>
    </w:p>
    <w:p>
      <w:pPr>
        <w:numPr>
          <w:ilvl w:val="0"/>
          <w:numId w:val="2"/>
        </w:numPr>
        <w:spacing w:line="578" w:lineRule="exact"/>
        <w:ind w:left="0" w:firstLine="640" w:firstLineChars="200"/>
        <w:rPr>
          <w:rFonts w:eastAsia="方正仿宋_GBK"/>
          <w:kern w:val="0"/>
          <w:sz w:val="32"/>
          <w:szCs w:val="32"/>
        </w:rPr>
      </w:pPr>
      <w:r>
        <w:rPr>
          <w:rFonts w:eastAsia="方正仿宋_GBK"/>
          <w:kern w:val="0"/>
          <w:sz w:val="32"/>
          <w:szCs w:val="32"/>
        </w:rPr>
        <w:t>汇聚最大合力坚决打赢脱贫攻坚战</w:t>
      </w:r>
    </w:p>
    <w:p>
      <w:pPr>
        <w:spacing w:line="578" w:lineRule="exact"/>
        <w:ind w:firstLine="640" w:firstLineChars="200"/>
        <w:rPr>
          <w:rFonts w:eastAsia="方正仿宋_GBK"/>
          <w:kern w:val="0"/>
          <w:sz w:val="32"/>
          <w:szCs w:val="32"/>
        </w:rPr>
      </w:pPr>
      <w:r>
        <w:rPr>
          <w:rFonts w:eastAsia="方正仿宋_GBK"/>
          <w:kern w:val="0"/>
          <w:sz w:val="32"/>
          <w:szCs w:val="32"/>
        </w:rPr>
        <w:t>三里坪街道处紧扣中央、省、市、区脱贫攻坚总体要求，聚焦落实“两不愁、三保障”和“四个好”要求，精准编制扶贫项目规划，精准制定帮扶措施，始终坚持问题导向、靶向施策、以上率下，全面融合集体智慧，厘清工作目标、明晰工作思路、创新工作举措、落实工作责任，全力推动区域脱贫攻坚工作有力有序展开：一是产业扶贫。三里坪街道围绕对象精准化、产业特色化、载体园区化、经营组织化、技能专业化“五化同步”思路，优先发展优质核桃、脆李、樱桃、脆桃、生态养殖等特色产业，实现村村有致富产业、户户有脱贫项目。二是硬件扶贫：大力推进基础设施建设，改善群众生产生活环境条件。以村道扩宽、通组道路硬化为重点，大力实施交通扶贫项目，目前，全街道1个贫困村的所有通组道路实现全面硬化。解决了高岩村自来水工程，确保了全街道人口安全饮水达标。全面完成农网升级改造工程，所有贫困户生活生产用电需求均得到有力保障。同时统筹解决了非贫困村、非贫困户广播电视问题。三是刚性扶贫。对农村低保、五保、残疾人等特殊困难群众，通过各级政府和社会力量进行“兜底”式扶贫，保障其基础生活。同时，在开展低保“精准复核”中，将人均纯收入低于我区农村最低生活保障线的绝对贫困人口等符合政策的贫困人口，纳入农村低保政策，实现应保尽保、“兜底”式救济截。至目前，脱贫群众100户272人，其中：2014年脱贫34户99人，2015年脱贫28户78人，2016年脱贫12户30人，2017年脱贫23户61人，2018年脱贫2户4人。</w:t>
      </w:r>
    </w:p>
    <w:p>
      <w:pPr>
        <w:spacing w:line="578" w:lineRule="exact"/>
        <w:ind w:firstLine="640" w:firstLineChars="200"/>
        <w:rPr>
          <w:rFonts w:eastAsia="方正仿宋_GBK"/>
          <w:kern w:val="0"/>
          <w:sz w:val="32"/>
          <w:szCs w:val="32"/>
        </w:rPr>
      </w:pPr>
      <w:r>
        <w:rPr>
          <w:rFonts w:eastAsia="方正仿宋_GBK"/>
          <w:kern w:val="0"/>
          <w:sz w:val="32"/>
          <w:szCs w:val="32"/>
        </w:rPr>
        <w:t>（6）坚持不懈抓好疫情防控工作</w:t>
      </w:r>
    </w:p>
    <w:p>
      <w:pPr>
        <w:spacing w:line="578" w:lineRule="exact"/>
        <w:ind w:firstLine="640" w:firstLineChars="200"/>
        <w:rPr>
          <w:rFonts w:eastAsia="方正仿宋_GBK"/>
          <w:kern w:val="0"/>
          <w:sz w:val="32"/>
          <w:szCs w:val="32"/>
        </w:rPr>
      </w:pPr>
      <w:r>
        <w:rPr>
          <w:rFonts w:eastAsia="方正仿宋_GBK"/>
          <w:kern w:val="0"/>
          <w:sz w:val="32"/>
          <w:szCs w:val="32"/>
        </w:rPr>
        <w:t>疫情发生以来，街道成立了疫情防控指挥部，制定了应急预案，召开专题会议15次，及时传达中央、省、市、区关于疫情防控工作最新要求。组织村（社区）全体干部开展“亮相、下沉、定心、暖心”四大行动，参与走访党员人数1872人，社区工作者283人，志愿者人数1372人，同时全力做好疫情防控知识宣传、外来人员摸排管控和小区封闭管理等工作。全街道防控宣传氛围浓厚，每个楼院小区均有小广播宣传防控知识。共悬挂横幅375条，发放倡议书7000份，宣传单60000份，张贴通告1500份。疫情期间共走访户数5346户，摸排总人数52969人，截止2020年11月29日，重点人员385人。做核酸总数190人。湖北返达97人、武汉返达33。北京高风险2人，深圳中风险1个，密切接触12个，一般接触2人。</w:t>
      </w:r>
    </w:p>
    <w:p>
      <w:pPr>
        <w:pStyle w:val="8"/>
        <w:spacing w:line="578" w:lineRule="exact"/>
        <w:ind w:firstLine="640" w:firstLineChars="200"/>
        <w:rPr>
          <w:rFonts w:eastAsia="方正仿宋_GBK"/>
          <w:sz w:val="32"/>
          <w:szCs w:val="32"/>
        </w:rPr>
      </w:pPr>
      <w:r>
        <w:rPr>
          <w:rFonts w:eastAsia="方正仿宋_GBK"/>
          <w:sz w:val="32"/>
          <w:szCs w:val="32"/>
        </w:rPr>
        <w:t>（7）全方位提升物业管理服务质量</w:t>
      </w:r>
    </w:p>
    <w:p>
      <w:pPr>
        <w:pStyle w:val="8"/>
        <w:spacing w:line="578" w:lineRule="exact"/>
        <w:ind w:firstLine="640" w:firstLineChars="200"/>
        <w:jc w:val="both"/>
        <w:rPr>
          <w:rFonts w:eastAsia="方正仿宋_GBK"/>
          <w:sz w:val="32"/>
          <w:szCs w:val="32"/>
        </w:rPr>
      </w:pPr>
      <w:r>
        <w:rPr>
          <w:rFonts w:eastAsia="方正仿宋_GBK"/>
          <w:sz w:val="32"/>
          <w:szCs w:val="32"/>
        </w:rPr>
        <w:t>指导辖区老旧小区进行物业引进选聘，指导辖区业委会的换届选举工作，与相关职能部门协调协作，对辖区的乱搭乱建行业进行强力制止。近期对“阳光问廉”曝光问题进行强力整改。党工委办事处主要领导对“阳光问廉”曝光的物业服务质量不高的问题亲自召集物管公司进行安排部署，到各物业小区亲自督查整改落实情况。目前金都景苑已安装了监控设施、水池旁的腐烂木质栏杆已维修、休闲座椅已更换维修、小区路面进行了维修、对单元入户大厅已刷白、防火门已更换维修、楼顶种菜进行了强制清理，并由物管公司进行植绿、新增了宣传标语。金都景苑已基本整改完毕。其他物业小区也按照整改要求正在强力推进，于11月底前全街道能全面完成整改。</w:t>
      </w:r>
    </w:p>
    <w:p>
      <w:pPr>
        <w:numPr>
          <w:ilvl w:val="0"/>
          <w:numId w:val="1"/>
        </w:numPr>
        <w:spacing w:line="578" w:lineRule="exact"/>
        <w:ind w:left="0" w:firstLine="640" w:firstLineChars="200"/>
        <w:rPr>
          <w:rFonts w:ascii="方正楷体_GBK" w:eastAsia="方正楷体_GBK" w:cs="方正楷体_GBK"/>
          <w:kern w:val="0"/>
          <w:sz w:val="32"/>
          <w:szCs w:val="32"/>
        </w:rPr>
      </w:pPr>
      <w:r>
        <w:rPr>
          <w:rFonts w:hint="eastAsia" w:ascii="方正楷体_GBK" w:eastAsia="方正楷体_GBK" w:cs="方正楷体_GBK"/>
          <w:kern w:val="0"/>
          <w:sz w:val="32"/>
          <w:szCs w:val="32"/>
        </w:rPr>
        <w:t>社会秩序和谐稳定</w:t>
      </w:r>
    </w:p>
    <w:p>
      <w:pPr>
        <w:numPr>
          <w:ilvl w:val="0"/>
          <w:numId w:val="3"/>
        </w:numPr>
        <w:spacing w:line="578" w:lineRule="exact"/>
        <w:ind w:left="0" w:firstLine="640" w:firstLineChars="200"/>
        <w:rPr>
          <w:rFonts w:eastAsia="方正仿宋_GBK"/>
          <w:kern w:val="0"/>
          <w:sz w:val="32"/>
          <w:szCs w:val="32"/>
        </w:rPr>
      </w:pPr>
      <w:r>
        <w:rPr>
          <w:rFonts w:eastAsia="方正仿宋_GBK"/>
          <w:kern w:val="0"/>
          <w:sz w:val="32"/>
          <w:szCs w:val="32"/>
        </w:rPr>
        <w:t>信访综治维稳工作有序</w:t>
      </w:r>
    </w:p>
    <w:p>
      <w:pPr>
        <w:spacing w:line="578" w:lineRule="exact"/>
        <w:ind w:firstLine="640" w:firstLineChars="200"/>
        <w:rPr>
          <w:rFonts w:eastAsia="方正仿宋_GBK"/>
          <w:kern w:val="0"/>
          <w:sz w:val="32"/>
          <w:szCs w:val="32"/>
        </w:rPr>
      </w:pPr>
      <w:r>
        <w:rPr>
          <w:rFonts w:eastAsia="方正仿宋_GBK"/>
          <w:kern w:val="0"/>
          <w:sz w:val="32"/>
          <w:szCs w:val="32"/>
        </w:rPr>
        <w:t>三里坪街道处于城乡结合部，矛盾纠纷众多，辖区信访维稳工作极其繁重。主要涉及涉军群体300余人，启悦府购房户123户、失独（伤残）家庭73户，川交四处、襄渝铁路50人，90年代未分配大中专学生6人和物业管理纠纷等方面。街道认真落实“315”群众工作法，始终坚持法治思维、坚守政策底线，坚持情理相融、体现人文关怀，依纪依法开展信访维稳工作。一是全力做好重点群体稳定工作。在全国“两会”、省市“两会”、区“三会”期间等重大时间节点（时期）做到重点信访人员、重大信访事项一人一方案，一案一责任领导，一对一稳控，确保重大维稳时间段无人非访主要领导现场处置，亲自接访重大信访事件。对目前信访热度高的七彩春天、店子梁社区农贸市场等问题，主要领导均亲自现场处置，亲自接访，多方协调。二是及时处置回复信访事项。今年处置市委书记信箱17件、市长热线94件，区委书记信箱14件、凤凰山下论坛77件、群众来信2件、群众来访15件。接访及时、耐心劝返。全街道到市接访5次，到区接访8次。每次接访都在规定时间之内到场并将信访人员劝返。三是综治、防邪工作常抓不懈。开展了对邪教人员的教转、帮扶工作，继续巩固已经教育转化的涉邪人员，进一步建立、健全街道反邪教“关爱之家”工作站队伍。对重点涉邪人员落实邪教包案，加强监管。对街道3名重点“法轮功”邪教人员，落实领导包保，在各社区落实专人监管。在重大节假日期间，对所有邪教人员落实监管，每天由各社区上报邪教人员情况。网格员开展 “一标三实”的入户登记清理工作，严格控制外来人口中各类刑事案件和治安案件的滋生。录入精神障碍患128条，每月对严重精神障碍患走访3次以上，上传和处理各类事件10783条。</w:t>
      </w:r>
    </w:p>
    <w:p>
      <w:pPr>
        <w:spacing w:line="578" w:lineRule="exact"/>
        <w:ind w:firstLine="640" w:firstLineChars="200"/>
        <w:rPr>
          <w:rFonts w:eastAsia="方正仿宋_GBK"/>
          <w:kern w:val="0"/>
          <w:sz w:val="32"/>
          <w:szCs w:val="32"/>
        </w:rPr>
      </w:pPr>
      <w:r>
        <w:rPr>
          <w:rFonts w:eastAsia="方正仿宋_GBK"/>
          <w:kern w:val="0"/>
          <w:sz w:val="32"/>
          <w:szCs w:val="32"/>
        </w:rPr>
        <w:t>（2）司法行政工作全面推进</w:t>
      </w:r>
    </w:p>
    <w:p>
      <w:pPr>
        <w:spacing w:line="578" w:lineRule="exact"/>
        <w:ind w:firstLine="640" w:firstLineChars="200"/>
        <w:rPr>
          <w:rFonts w:eastAsia="方正仿宋_GBK"/>
          <w:kern w:val="0"/>
          <w:sz w:val="32"/>
          <w:szCs w:val="32"/>
        </w:rPr>
      </w:pPr>
      <w:r>
        <w:rPr>
          <w:rFonts w:eastAsia="方正仿宋_GBK"/>
          <w:kern w:val="0"/>
          <w:sz w:val="32"/>
          <w:szCs w:val="32"/>
        </w:rPr>
        <w:t>2020年，街道围绕创建市级、省级法治建设示范街道，积极推行普法先行、依法治政、司法助民、厉法安城的“四法”工作模式，以法治精神统领全街道工作。一是积极开展人民调解工作，到目前为止，化解各类矛盾纠纷700余件，调解成功率99%，为当事人挽回经济损失400余万元。有效地保障了本辖区的稳定、平安、和谐。二是管教实行“立体管控、多元教育”工作模式。GPS定位监控、QQ、微信补充监管，定时走访、定点监控为一体的管教格局。开展集中教育、个别教育、微信教育等多元教育方式，实现“管得住、管得好”的目标。到目前为止在矫人员55人，2020年度共解矫31人，无一例脱管漏管。三是抓好了法制宣传工作。继续开展“量身”普法，以“七五”普法规划为指引，“法律七进”为载体，以街道、村（社区）、法治宣传小分队、法治宣传员、法律明白人、学法中心户为引领，开展“量时、量地、量需、量情”为主的量身式普法。2020年共开展法治宣传12场（次）、法治知识讲座15场（次）。四是构建“三支队伍”，即“垂线型”法治宣传队伍、“网状型”人民调解队伍、“互补型”法律服务队伍。</w:t>
      </w:r>
    </w:p>
    <w:p>
      <w:pPr>
        <w:spacing w:line="578" w:lineRule="exact"/>
        <w:ind w:firstLine="640" w:firstLineChars="200"/>
        <w:rPr>
          <w:rFonts w:eastAsia="方正仿宋_GBK"/>
          <w:kern w:val="0"/>
          <w:sz w:val="32"/>
          <w:szCs w:val="32"/>
        </w:rPr>
      </w:pPr>
      <w:r>
        <w:rPr>
          <w:rFonts w:eastAsia="方正仿宋_GBK"/>
          <w:kern w:val="0"/>
          <w:sz w:val="32"/>
          <w:szCs w:val="32"/>
        </w:rPr>
        <w:t>（3）安全生产工作态势平稳</w:t>
      </w:r>
    </w:p>
    <w:p>
      <w:pPr>
        <w:widowControl/>
        <w:spacing w:line="578" w:lineRule="exact"/>
        <w:ind w:firstLine="640" w:firstLineChars="200"/>
        <w:jc w:val="left"/>
        <w:rPr>
          <w:rFonts w:eastAsia="方正仿宋_GBK"/>
          <w:kern w:val="0"/>
          <w:sz w:val="32"/>
          <w:szCs w:val="32"/>
        </w:rPr>
      </w:pPr>
      <w:r>
        <w:rPr>
          <w:rFonts w:eastAsia="方正仿宋_GBK"/>
          <w:kern w:val="0"/>
          <w:sz w:val="32"/>
          <w:szCs w:val="32"/>
        </w:rPr>
        <w:t>制定各类专项检查文件18份，落实了安全生产工作具体的措施和考核办法，成立应急队伍11支。签订各大类目标责任书110余份，召开安全生产工作例会及专项工作会议10余次。制定总体预案和专项预案共18份。开展了消防安全、地质灾害安全、非煤矿山安全、学校安全、农村道路安全、人员密集场所、特种设备、危险化学品、森林防火、水利设施安全、在建工地安全、食品安全大排查60余次。开展消防、地质灾害等各类应急演练6次。在安全社区建设过程中，完善了治安巡逻、老年人志愿服务、关爱留守儿童志愿服务、义务消防、党员志愿者5大类志愿者服务队，共计2151余人。成立了工作场所安全、消防安全、交通安全、社会治安安全、居家及老年人、残疾人安全、学校安全、食品安全、环境及防灾减灾安全8个工作组项目。开展了3次红十字培训会，共计180人参加，制定展板200个、发放宣传资料3万余份，我街道于7月底已顺利通过省级安全社区建设全面验收。</w:t>
      </w:r>
    </w:p>
    <w:p>
      <w:pPr>
        <w:numPr>
          <w:ilvl w:val="0"/>
          <w:numId w:val="1"/>
        </w:numPr>
        <w:spacing w:line="578" w:lineRule="exact"/>
        <w:ind w:left="0" w:firstLine="640" w:firstLineChars="200"/>
        <w:contextualSpacing/>
        <w:rPr>
          <w:rFonts w:ascii="方正楷体_GBK" w:eastAsia="方正楷体_GBK" w:cs="方正楷体_GBK"/>
          <w:kern w:val="0"/>
          <w:sz w:val="32"/>
          <w:szCs w:val="32"/>
        </w:rPr>
      </w:pPr>
      <w:r>
        <w:rPr>
          <w:rFonts w:hint="eastAsia" w:ascii="方正楷体_GBK" w:eastAsia="方正楷体_GBK" w:cs="方正楷体_GBK"/>
          <w:kern w:val="0"/>
          <w:sz w:val="32"/>
          <w:szCs w:val="32"/>
        </w:rPr>
        <w:t>文、教、科技工作大力开展</w:t>
      </w:r>
    </w:p>
    <w:p>
      <w:pPr>
        <w:spacing w:line="578" w:lineRule="exact"/>
        <w:ind w:firstLine="707" w:firstLineChars="221"/>
        <w:contextualSpacing/>
        <w:rPr>
          <w:rFonts w:eastAsia="方正仿宋_GBK"/>
          <w:kern w:val="0"/>
          <w:sz w:val="32"/>
          <w:szCs w:val="32"/>
        </w:rPr>
      </w:pPr>
      <w:r>
        <w:rPr>
          <w:rFonts w:eastAsia="方正仿宋_GBK"/>
          <w:kern w:val="0"/>
          <w:sz w:val="32"/>
          <w:szCs w:val="32"/>
        </w:rPr>
        <w:t>文体教育工作全面发展。一是安装完成贫困村非贫困户卫星直播接收设备15台，完成对各村贫困户卫星直播接收设备逐一巡查维护。二是完成辖区1个村农村公益电影24个工作日，合计24场的放映任务及9个社区农村公益电影135个工作日，合计135场次的放映任务。三是实时巡查维护各站点远程教育设备，指导和监督各站点远程教育节目的下载、收看及资料的整理和归档。四是规范农家书屋。对各站点农家书屋图书进行了意见收集，对各站点农家书屋开放情况进行不定期巡查，监督指导图书借阅簿等资料的登记与归档情况。科技工作取得显著成绩。街道创建省级科普示范社区2个、市级示范社区1个，全年开展科普宣传5次，发放宣传资料2600份。</w:t>
      </w:r>
    </w:p>
    <w:p>
      <w:pPr>
        <w:numPr>
          <w:ilvl w:val="0"/>
          <w:numId w:val="1"/>
        </w:numPr>
        <w:spacing w:line="578" w:lineRule="exact"/>
        <w:ind w:left="0" w:firstLine="640" w:firstLineChars="200"/>
        <w:rPr>
          <w:rFonts w:ascii="方正楷体_GBK" w:eastAsia="方正楷体_GBK" w:cs="方正楷体_GBK"/>
          <w:kern w:val="0"/>
          <w:sz w:val="32"/>
          <w:szCs w:val="32"/>
        </w:rPr>
      </w:pPr>
      <w:r>
        <w:rPr>
          <w:rFonts w:hint="eastAsia" w:ascii="方正楷体_GBK" w:eastAsia="方正楷体_GBK" w:cs="方正楷体_GBK"/>
          <w:kern w:val="0"/>
          <w:sz w:val="32"/>
          <w:szCs w:val="32"/>
        </w:rPr>
        <w:t>社会事业健康发展</w:t>
      </w:r>
    </w:p>
    <w:p>
      <w:pPr>
        <w:spacing w:line="578" w:lineRule="exact"/>
        <w:ind w:firstLine="640" w:firstLineChars="200"/>
        <w:rPr>
          <w:rFonts w:eastAsia="方正仿宋_GBK"/>
          <w:kern w:val="0"/>
          <w:sz w:val="32"/>
          <w:szCs w:val="32"/>
        </w:rPr>
      </w:pPr>
      <w:r>
        <w:rPr>
          <w:rFonts w:eastAsia="方正仿宋_GBK"/>
          <w:kern w:val="0"/>
          <w:sz w:val="32"/>
          <w:szCs w:val="32"/>
        </w:rPr>
        <w:t>（1）计生工作持续稳步推进</w:t>
      </w:r>
    </w:p>
    <w:p>
      <w:pPr>
        <w:spacing w:line="578" w:lineRule="exact"/>
        <w:ind w:firstLine="640" w:firstLineChars="200"/>
        <w:rPr>
          <w:rFonts w:eastAsia="方正仿宋_GBK"/>
          <w:kern w:val="0"/>
          <w:sz w:val="32"/>
          <w:szCs w:val="32"/>
        </w:rPr>
      </w:pPr>
      <w:r>
        <w:rPr>
          <w:rFonts w:eastAsia="方正仿宋_GBK"/>
          <w:kern w:val="0"/>
          <w:sz w:val="32"/>
          <w:szCs w:val="32"/>
        </w:rPr>
        <w:t>2020年共上报出生人口571人，符合政策生育的569人，不符合政策生育的2人，计生率为99.6%。生育服务证发放571人，今年8月，并组织各村、社区专干进行了为期三个月的育龄妇女基础信息核查，在国家数据质量评估工作中，正确率达96.2%。独生子女父母奖励金年前已申报1447人，发放独生子女费68340余元。2020年新增农村部分计划生育家庭奖励扶助政策对象共47人，特扶7人。三里坪街道计生办为解决群众办证难的情况下大胆简化手续，减少程序，为了减少群众少跑路，主动承担跟对方计生办打电话或者QQ联系的方式核实育龄妇女的婚育情况。</w:t>
      </w:r>
    </w:p>
    <w:p>
      <w:pPr>
        <w:spacing w:line="578" w:lineRule="exact"/>
        <w:ind w:firstLine="640" w:firstLineChars="200"/>
        <w:rPr>
          <w:rFonts w:eastAsia="方正仿宋_GBK"/>
          <w:kern w:val="0"/>
          <w:sz w:val="32"/>
          <w:szCs w:val="32"/>
        </w:rPr>
      </w:pPr>
      <w:r>
        <w:rPr>
          <w:rFonts w:eastAsia="方正仿宋_GBK"/>
          <w:kern w:val="0"/>
          <w:sz w:val="32"/>
          <w:szCs w:val="32"/>
        </w:rPr>
        <w:t>（2）城市管理品质提升</w:t>
      </w:r>
    </w:p>
    <w:p>
      <w:pPr>
        <w:spacing w:line="578" w:lineRule="exact"/>
        <w:ind w:firstLine="640" w:firstLineChars="200"/>
        <w:rPr>
          <w:rFonts w:eastAsia="方正仿宋_GBK"/>
          <w:kern w:val="0"/>
          <w:sz w:val="32"/>
          <w:szCs w:val="32"/>
        </w:rPr>
      </w:pPr>
      <w:r>
        <w:rPr>
          <w:rFonts w:eastAsia="方正仿宋_GBK"/>
          <w:kern w:val="0"/>
          <w:sz w:val="32"/>
          <w:szCs w:val="32"/>
        </w:rPr>
        <w:t>一是抓好创建“全国文明城市”工作。重点开展十类突出“脏乱差”整治行动：社区组织联创单位和志愿者共2800余人次参与到社区工作中，开展环境卫生大整治，有力促进了社区创建工作的开展。据统计，在创建工作期间，共计清理山头菜地类地薄膜、窝棚等垃圾800余处、城市出入干支道及连接线各类垃圾1200余处、村湾边坡白色垃圾700余处、小区（院落）杂物800余处、背街小巷卫生死角1800余处。“除四害”工作：2020年春、秋季统一投放鼠药共2150公斤，同时深入开展防鼠、灭鼠和鼠类传播疾病的防治知识宣传，提高群众的防病意识。环境卫生整治：整治老旧小区37个、院坝23个、背街小巷17条，清理堆码物1000余车，对辖区内800余个单元梯间喷绘和粘贴的“牛皮癣”小广告进行粉刷和清理，整治污水横流100余处。油化道路8000余平方米，整治“蜘蛛网”3000余米，施画停车位线3000余米。整治楼顶菜地60余处。全面落实“门前三包”责任义务：与门店经营者、单位及物业公司签订“门前三包”责任书5500余份，努力实现创建工作，全民参与。为形成上下联动、持续推进的氛围，推动创建各项工作顺利有效进行，组织党员干部深入楼院召开院坝会200余次，入户宣传50000余户，发放创建宣传资料30000余份，制作宣传展板200余个、宣传横幅80余幅、易拉宝80余个，通过多形式、多层次、多视角的宣传，着力提高创建工作的知晓率、认同率、参与率和支持率。二是加大环保工作力度。今冬明春腌腊制品熏制监管工作中，各村（社区）召开院坝宣传会50余起，张贴宣传单20000余张，拆除违规熏制点约12余处。在重污染天气期间，根据空气质量对应的预警级别，分级采取相应的重污染应急措施，加强巡查，减轻大气污染，保护公众健康。春节期间主城区烟花爆竹燃放管控工作中，街道办、各村（社区）严格落实三四级网格化管理，组建了10支巡查队伍，对河道沿线、重点地段、重点时段进行监管巡查，引导市民文明、有序燃放。督促、引导辖区40余家排污企业按期完成排污许可网上登记工作。秸秆禁烧大气污防治工作中，街道办成立了秸秆禁烧领导小组，组建2个督查小组在辖区督查，街道办与各村社区签订秸秆禁烧责任书10份。督促各村（社区）成立秸秆禁烧巡查队伍，坚持24小时值班。各村（社区）在主要道路沿线、田间、地头悬挂秸秆禁烧公告50余处，发放宣传资料1500余份，发现秸秆燃烧110余起，劝导了140余起，制止了70余起。不定期对辖区170余家污染企业、小作坊进行巡查监管，继续完善、更新街道排污企业台账。全面落实河长制工作，对辖区4条河流，25口堰塘开展定期和不定期巡查，更换河长制公示牌6块，宣传标语8幅，修改河长制工作8项机制，督促七里沟河道黑臭水体整治工程完成项目总进度98%，确保按照原中央环保督察组制定的整改时序完成。保障环境保护三级网格正常运行，完善环境保护三级网格巡查监管台账，指导村（社区）正常运行环境保护四级网格，并补充完善四级网格相关台账。更新、完善和补充辖区企业“一企一档，一乡一册”台账。扎实做好迎接第二轮第二批央督的准备工作，认真排查梳理整改长江经济带各类生态环境问题，对中央、省环保督察组交办的环境问题进行了再巡查，再检查、逐条逐项梳理，并再次核实整改效果，确保了中央、省环保督察组交办件落实到位，整改到位。建立环境保护信访台账，今年环境保护工作接到信访投诉3起，处理回复3起，不定期对去年信访投诉件进行“回头看”。主动与区生态环境局、翠屏街道、杨柳街道在四合社区领域广场同步开展“6.5”世界环境日宣传活动，活动现场为市民发放了环保手提袋5000余个、环保宣传单10000余份。同时，为市民讲解了生态环境法律知识，倡导大家养成低碳、环保的生活习惯。</w:t>
      </w:r>
    </w:p>
    <w:p>
      <w:pPr>
        <w:spacing w:line="578" w:lineRule="exact"/>
        <w:ind w:firstLine="640" w:firstLineChars="200"/>
        <w:rPr>
          <w:rFonts w:eastAsia="方正仿宋_GBK"/>
          <w:kern w:val="0"/>
          <w:sz w:val="32"/>
          <w:szCs w:val="32"/>
        </w:rPr>
      </w:pPr>
      <w:r>
        <w:rPr>
          <w:rFonts w:eastAsia="方正仿宋_GBK"/>
          <w:kern w:val="0"/>
          <w:sz w:val="32"/>
          <w:szCs w:val="32"/>
        </w:rPr>
        <w:t>（3）民生工程落实有效</w:t>
      </w:r>
    </w:p>
    <w:p>
      <w:pPr>
        <w:spacing w:line="578" w:lineRule="exact"/>
        <w:ind w:firstLine="627" w:firstLineChars="196"/>
        <w:rPr>
          <w:rFonts w:eastAsia="方正仿宋_GBK"/>
          <w:kern w:val="0"/>
          <w:sz w:val="32"/>
          <w:szCs w:val="32"/>
        </w:rPr>
      </w:pPr>
      <w:r>
        <w:rPr>
          <w:rFonts w:eastAsia="方正仿宋_GBK"/>
          <w:kern w:val="0"/>
          <w:sz w:val="32"/>
          <w:szCs w:val="32"/>
        </w:rPr>
        <w:t>2020年街道已全面实行民政服务对象资金通过惠民惠农“一卡通”社会保障卡的发放工作。完成城区部分道路更名后标准地名标志设置安装328个，新增城乡低保15户；新增困难残疾人生活补贴8人，临时生活救助88人，特殊病种医疗救助55人，城乡医疗救助15人，重点优抚对象医疗救助5人；新增高龄老人津贴134人；新增重度残疾人护理补贴15人；新增残疾人生活救助32人；贫困精神病人住院救助7人次；贫困精神病人服药救助7人；已完成1519名残疾人“量体裁衣”式服务平台的录入；换发第三代残疾人证401人次；完成“金保网”中各项救助的资金发放；街道及村（社区）退役军人服务站牌子上墙“光荣之家”的悬挂工作圆满完成，截至目前，重点优抚对象有486人。今年以来，从社区为据点开展宣传活动，发放城乡居民社会养老保险,医保及就业服务和管理指南等宣传资料2350余份，辖区城乡居民社会养老保险免费领取暂停人员53人，居保退保人数60人，参保缴费人数344人，死亡注销人数30人。医疗保险参保缴费人数完成45736人，居民养老保险认证人数达1262人，社保认证人数达4987人，为失业再就业人员办理社保补贴378人，为失业人员办理就业失业登记证258人；农村贫困劳动力数据更新235人，解决30名城镇失业人员再就业，解决5名农村贫困低收入家庭人员就业。</w:t>
      </w:r>
    </w:p>
    <w:p>
      <w:pPr>
        <w:numPr>
          <w:ilvl w:val="0"/>
          <w:numId w:val="4"/>
        </w:numPr>
        <w:spacing w:line="578" w:lineRule="exact"/>
        <w:ind w:left="0" w:firstLine="640" w:firstLineChars="200"/>
        <w:rPr>
          <w:rFonts w:eastAsia="方正仿宋_GBK"/>
          <w:kern w:val="0"/>
          <w:sz w:val="32"/>
          <w:szCs w:val="32"/>
        </w:rPr>
      </w:pPr>
      <w:r>
        <w:rPr>
          <w:rFonts w:eastAsia="方正仿宋_GBK"/>
          <w:kern w:val="0"/>
          <w:sz w:val="32"/>
          <w:szCs w:val="32"/>
        </w:rPr>
        <w:t>推进村级建制调整及社区优化工作</w:t>
      </w:r>
    </w:p>
    <w:p>
      <w:pPr>
        <w:spacing w:line="578" w:lineRule="exact"/>
        <w:ind w:firstLine="640" w:firstLineChars="200"/>
        <w:rPr>
          <w:rFonts w:eastAsia="方正仿宋_GBK"/>
          <w:kern w:val="0"/>
          <w:sz w:val="32"/>
          <w:szCs w:val="32"/>
        </w:rPr>
      </w:pPr>
      <w:r>
        <w:rPr>
          <w:rFonts w:eastAsia="方正仿宋_GBK"/>
          <w:kern w:val="0"/>
          <w:sz w:val="32"/>
          <w:szCs w:val="32"/>
        </w:rPr>
        <w:t>村级建制调整。按照区委、区政府的部署，在街道实施村级建制调整改革。在深入调查研究、广泛征求群众意见和建议、精心策划方案的基础上，规范程序，依法操作，快速推进。于2020年5月15日区政府批准将七里沟村改为七里沟社区（城市社区），减少村1个，减幅达50%，圆满完成此次村级建制调整改革任务。社区建制调整。为认真贯彻落实《达州市达川区社区建制调整和社区治理优化实施方案》（达川委发〔2020〕6号）精神，三里坪街道召开社区建制调整动员会，成立社区建制调整工作领导小组，在深入调查研究、广泛征求意见基础上，针对辖区管理人口多、区划不科学、有效治理难、服务压力大的问题，制定了社区建制调整方案，拟新成立三个社区（佳乐社区、领域社区、南滨社区），拟将四合社区、曹家梁社区、梧桐梁社区、三里坪社区、店子梁社区的管辖范围进行调整，目前社区调整方案（草案）正在公示，广泛征求意见。</w:t>
      </w:r>
    </w:p>
    <w:p>
      <w:pPr>
        <w:spacing w:line="578" w:lineRule="exact"/>
        <w:ind w:firstLine="200"/>
        <w:rPr>
          <w:rFonts w:eastAsia="方正仿宋_GBK"/>
          <w:kern w:val="0"/>
          <w:sz w:val="32"/>
          <w:szCs w:val="32"/>
        </w:rPr>
      </w:pPr>
      <w:r>
        <w:rPr>
          <w:rFonts w:eastAsia="方正仿宋_GBK"/>
          <w:kern w:val="0"/>
          <w:sz w:val="32"/>
          <w:szCs w:val="32"/>
        </w:rPr>
        <w:t>（5）党建工作真抓实干</w:t>
      </w:r>
    </w:p>
    <w:p>
      <w:pPr>
        <w:spacing w:line="578" w:lineRule="exact"/>
        <w:ind w:firstLine="640" w:firstLineChars="200"/>
        <w:rPr>
          <w:rFonts w:eastAsia="方正仿宋_GBK"/>
          <w:kern w:val="0"/>
          <w:sz w:val="32"/>
          <w:szCs w:val="32"/>
        </w:rPr>
      </w:pPr>
      <w:r>
        <w:rPr>
          <w:rFonts w:eastAsia="方正仿宋_GBK"/>
          <w:kern w:val="0"/>
          <w:sz w:val="32"/>
          <w:szCs w:val="32"/>
        </w:rPr>
        <w:t>坚决贯彻党的十九大精神，坚持以习近平新时代中国特色社会主义思想为指导，全面落实新时代党的建设总要求，以党的政治建设为统领，以“不忘初心、牢记使命”主题教育为重点，统筹推进领导班子和干部队伍建设、基层党组织和党员队伍建设，引领城市社会治理创新，引领政治生态巩固发展，着力为全街道经济社会发展提供强有力的组织保证。一是全面落实党建责任。街道党工委定期召开专题会议研究部署党建工作，抓实村（社区）党组织书记抓党建工作述职评议考核工作。实行基层党建联系点制度，街道班子成员指导所联系村（社区）党建工作。街道党工委选派两新党建指导员，定期指导辖区两新党组织的党建工作。二是夯实思想理论武装。扎实开展理论学习，在学深悟透上下功夫，持续深入学习贯彻习近平新时代中国特色社会主义思想，推进不忘初心、牢记使命常态化、制度化。全年累计开展中心组集中学习12次，各村（社区）利用“党员活动日”“三会一课”等活动载体，多形式、分层次、全覆盖开展学习宣传活动。三是推进基层党组织全面进步全面过硬。街道党工委紧扣省委、市委、区委加强基层服务型党组织建设一系列部署要求，大力实施党建引领工程，深入实施城市社区“三亮三联三引”工作法，切实推动以城市党建为引领，引导居民以“德治、法治、自治”为结合，着力构建新型社区治理和服务体系。目前已完成2个示范小区党支部建设和1个社区党群服务中心亲民化改造。四是推进党支部“标准工作法”。坚持融入日常、抓在经常，推动学做结合、知行合一，持续深化“党员活动日”活动，持续开展“两学一做”，严格落实中心组学习制度、党支部“三会一课”记实报告制度，继续开展“两学一做”，进一步凝聚思想共识、汇聚发展合力。五是深入实施“细胞强健工程”。按照“控制数量、优化结构、提高质量、发挥作用”的总要求，按照党章始终把政治标准放在首位的要求，落实政治审查制度，有计划、有步骤做好发展党员工作，提高发展党员质量。</w:t>
      </w:r>
      <w:r>
        <w:rPr>
          <w:rFonts w:hint="eastAsia" w:eastAsia="方正仿宋_GBK"/>
          <w:kern w:val="0"/>
          <w:sz w:val="32"/>
          <w:szCs w:val="32"/>
          <w:lang w:eastAsia="zh-CN"/>
        </w:rPr>
        <w:t>截至目前</w:t>
      </w:r>
      <w:r>
        <w:rPr>
          <w:rFonts w:eastAsia="方正仿宋_GBK"/>
          <w:kern w:val="0"/>
          <w:sz w:val="32"/>
          <w:szCs w:val="32"/>
        </w:rPr>
        <w:t>，2020年度新发展党员15名，研究预备党员转正12名，预计全年新发展党员数将达25名，占2020年发展党员指导计划数的125%。六是全力推进疫情防控和复工复产。疫情防控工作开展以来，辖区各党支部主动请战，党员先锋队、志愿者服务队24小时待命，坚决做到守土负责、守土担责、守土尽责。动员辖区千余名党员自愿捐款30余万元用于支持新冠肺炎疫情防控工作。坚持党建引领，全力做好外出务工人员返岗，走访指导辖区各企业复工复产。七是持续开展城乡党建结对共建活动。结合创城工作持续开展“双报到”服务，按照“四单制”（居民点单、社区党组织下单、机关党组织接单、党员买单）服务模式，完善共驻共建机制。</w:t>
      </w:r>
    </w:p>
    <w:p>
      <w:pPr>
        <w:spacing w:line="578" w:lineRule="exact"/>
        <w:ind w:firstLine="640" w:firstLineChars="200"/>
        <w:rPr>
          <w:rFonts w:eastAsia="方正仿宋_GBK"/>
          <w:kern w:val="0"/>
          <w:sz w:val="32"/>
          <w:szCs w:val="32"/>
        </w:rPr>
      </w:pPr>
      <w:r>
        <w:rPr>
          <w:rFonts w:eastAsia="方正仿宋_GBK"/>
          <w:kern w:val="0"/>
          <w:sz w:val="32"/>
          <w:szCs w:val="32"/>
        </w:rPr>
        <w:t>（6）全面落实从严治党</w:t>
      </w:r>
    </w:p>
    <w:p>
      <w:pPr>
        <w:spacing w:line="578" w:lineRule="exact"/>
        <w:ind w:firstLine="640" w:firstLineChars="200"/>
        <w:rPr>
          <w:rFonts w:eastAsia="方正仿宋_GBK"/>
          <w:kern w:val="0"/>
          <w:sz w:val="32"/>
          <w:szCs w:val="32"/>
        </w:rPr>
      </w:pPr>
      <w:r>
        <w:rPr>
          <w:rFonts w:eastAsia="方正仿宋_GBK"/>
          <w:kern w:val="0"/>
          <w:sz w:val="32"/>
          <w:szCs w:val="32"/>
        </w:rPr>
        <w:t>一是开展学习、宣传、教育工作。压紧压实反腐倡廉责任。研究制定全年党风廉政建设工作计划、目标任务和责任分解，根据两个责任的要求，制发《2020年党风廉政建设工作要点》，细化领导班子成员的主体责任，强化纪工委监督责任。出台了《关于严禁党员干部参赌敛财的通知》《开展八大活动推进党风廉政建设社会评价工作方案》《关于进一步加强机关干部管理的通知》《三里坪街道“千名纪检监察干部进万家”主题活动实施方案》《三里坪街道”廉韵三里坪、携手楼院行”主题活动实施方案》强力整治干部作风问题和关于作风建设深化年活动内容。在元旦、春节、清明等重要时间节点向全街道党员领导干部发送廉政提醒短信250余条。街道结合“民情户户通”活动和民情直通车，12340宣传活动工作，强化宣传，营造浓厚氛围，充分利用社区LED屏幕，工作微信群、QQ群、微信平台公众号。二是认真开展12340及“民情户户通”活动。街道推行“三个一”工作机制：一个月一次院坝会、建立一条快车道--民情直通车、印发一张便民卡。通过民情户户通走访活动，充分利用院坝会、有奖知识问答，流动宣传车、办黑板报，建立民情直通车，网上快处群众诉求等形式，大力开展12340宣传工作，做到宣传全覆盖、诉求全受理、过程全公开、结果全反馈、内容全知晓，切实提高辖区群众幸福感、获得感。街道各社区积极搭建党群干群“连心桥”，构筑民情民意“快车道”—民情直通车：便民卡片发放到户、多点征求意见建议、坝坝会议直面群众、网格管理精细到人、处置回访网上在线。“门前三包”促进“12340”宣传全覆盖。街道采用了“门前三包”的方式，制作了“12340”宣传画，张贴于辖区临街的门市、商铺，并要求辖区门市、商铺业主知晓、参与12340宣传工作，形成“12340”宣传全覆盖、全参与、全知晓的工作格局。在全街道范围内广泛开展“作风建设深化年”、结合“严禁党员干部参赌敛财”活动，着力整治干部在作风方面和“在岗不作为、履职不担当”方面的突出问题，以整顿作风入手，坚持监督、查处、追责、曝光“四管齐下”，把纠正“作风”往深里抓、实里做。自“民情户户通”活动开展以来街道机关干部以及9个社区、1个村共计400余名干部走访了42755户，收集问题3339个，已经解决问题1251个。三是信访举报，案件查处工作。2020年1月至今共收到上级转办5件信访举报件，都及时给予了信访人一个满意的回复，现已全部了结；截至目前共立案4件。</w:t>
      </w:r>
    </w:p>
    <w:p>
      <w:pPr>
        <w:spacing w:line="578" w:lineRule="exact"/>
        <w:ind w:firstLine="640" w:firstLineChars="200"/>
        <w:rPr>
          <w:rFonts w:eastAsia="方正仿宋_GBK"/>
          <w:kern w:val="0"/>
          <w:sz w:val="32"/>
          <w:szCs w:val="32"/>
        </w:rPr>
      </w:pPr>
      <w:r>
        <w:rPr>
          <w:rFonts w:eastAsia="方正仿宋_GBK"/>
          <w:kern w:val="0"/>
          <w:sz w:val="32"/>
          <w:szCs w:val="32"/>
        </w:rPr>
        <w:t xml:space="preserve">（7）重点项目成绩斐然  </w:t>
      </w:r>
      <w:r>
        <w:rPr>
          <w:rFonts w:eastAsia="方正仿宋_GBK"/>
          <w:kern w:val="0"/>
          <w:sz w:val="32"/>
          <w:szCs w:val="32"/>
        </w:rPr>
        <w:br w:type="textWrapping"/>
      </w:r>
      <w:r>
        <w:rPr>
          <w:rFonts w:eastAsia="方正仿宋_GBK"/>
          <w:kern w:val="0"/>
          <w:sz w:val="32"/>
          <w:szCs w:val="32"/>
        </w:rPr>
        <w:t>全面推进重点项目建设。2020年牵头或协助区级相关部门，继续扎实推进三里坪人文生态区、小河嘴片区等重点工程的征地拆迁工作。2020年三里坪街道办事处在区重点项目中负责拆迁建设及协调的有南滨路一段防洪堤建设项目、九龙湖大道项目、雷山大道项目、建设水泥厂房屋征收项目、雷音铺大桥连接路项目（含樱花特色小镇）、E线大桥项目、七里沟黑臭水体整治项目、高岩村乡村振兴项目、曹家梁社区老旧小区改造项目、三里坪社区活动阵地打造项目、龙王潭公园项目。所有项目共完成征地3500余亩，拆迁480余户达1500人以上的房屋，拆迁房屋总面积约15万平方米，搬迁坟墓1000余座。南滨路一段防洪堤建设项目和七里沟黑臭水体整治项目投资建设约1.528亿元，已基本完成；曹家梁社区老旧小区改造项目投资已经完成1100万元；雷山大道项目、雷音铺大桥连接路项目（含樱花特色小镇）、九龙湖大道项目正在紧张施工；所有项目已完成征地拆迁任务的90%以上，为施工进场开展好了大量前期工作。街道党工委班子成员每人牵头1-2个甚至多个项目，组建工作组，“5+2”、“白+黑”全年无休、攻坚克难、迅速推进，圆满完成区委区政府交办的艰巨的征拆任务。矛盾纠纷化解措施得力，辖区未发生一起因征拆矛盾到区级及以上的信访上访集访事件。为全区征拆工作树立了标杆，多次得到区上主要领导和各项目指挥长的高度肯定，为达川区城市建设和推进城郊城市化进程做出了卓越贡献。</w:t>
      </w:r>
    </w:p>
    <w:p>
      <w:pPr>
        <w:pStyle w:val="3"/>
        <w:spacing w:before="0" w:after="0" w:line="578" w:lineRule="exact"/>
        <w:ind w:firstLine="640" w:firstLineChars="200"/>
        <w:rPr>
          <w:rFonts w:ascii="方正黑体_GBK" w:eastAsia="方正黑体_GBK" w:cs="方正黑体_GBK"/>
          <w:b w:val="0"/>
          <w:bCs w:val="0"/>
          <w:color w:val="000000"/>
        </w:rPr>
      </w:pPr>
      <w:r>
        <w:rPr>
          <w:rFonts w:ascii="方正黑体_GBK" w:eastAsia="方正黑体_GBK" w:cs="方正黑体_GBK"/>
          <w:b w:val="0"/>
          <w:bCs w:val="0"/>
          <w:color w:val="000000"/>
        </w:rPr>
        <w:t>二、机构设置</w:t>
      </w:r>
      <w:bookmarkEnd w:id="20"/>
      <w:bookmarkEnd w:id="21"/>
    </w:p>
    <w:p>
      <w:pPr>
        <w:pStyle w:val="12"/>
        <w:shd w:val="clear" w:color="auto" w:fill="FFFFFF"/>
        <w:spacing w:before="0" w:beforeAutospacing="0" w:after="0" w:afterAutospacing="0" w:line="578" w:lineRule="exact"/>
        <w:ind w:firstLine="640" w:firstLineChars="200"/>
        <w:rPr>
          <w:rFonts w:ascii="Times New Roman" w:hAnsi="Times New Roman" w:eastAsia="方正仿宋_GBK" w:cs="Times New Roman"/>
          <w:sz w:val="32"/>
          <w:szCs w:val="32"/>
        </w:rPr>
      </w:pPr>
      <w:bookmarkStart w:id="22" w:name="_Toc15377204"/>
      <w:bookmarkStart w:id="23" w:name="_Toc15396602"/>
      <w:r>
        <w:rPr>
          <w:rFonts w:ascii="Times New Roman" w:hAnsi="Times New Roman" w:eastAsia="方正仿宋_GBK" w:cs="Times New Roman"/>
          <w:sz w:val="32"/>
          <w:szCs w:val="32"/>
        </w:rPr>
        <w:t>达州市达川区人民政府三里坪街道办事处下属二级预算单位4个，其中行政单位1个，其他事业单位3个。主要包括：达州市达川区人民政府三里坪街道办事处、达州市达川区三里坪社会事业发展中心、达州市达川区三里坪便民服务中心、达州市达川区三里坪社区管理中心。</w:t>
      </w:r>
    </w:p>
    <w:p>
      <w:pPr>
        <w:pStyle w:val="12"/>
        <w:shd w:val="clear" w:color="auto" w:fill="FFFFFF"/>
        <w:spacing w:before="0" w:beforeAutospacing="0" w:after="0" w:afterAutospacing="0" w:line="578" w:lineRule="exact"/>
        <w:ind w:firstLine="640" w:firstLineChars="200"/>
        <w:rPr>
          <w:rFonts w:ascii="Times New Roman" w:hAnsi="Times New Roman" w:eastAsia="方正仿宋_GBK" w:cs="Times New Roman"/>
          <w:sz w:val="32"/>
          <w:szCs w:val="32"/>
        </w:rPr>
      </w:pPr>
    </w:p>
    <w:p>
      <w:pPr>
        <w:pStyle w:val="12"/>
        <w:shd w:val="clear" w:color="auto" w:fill="FFFFFF"/>
        <w:spacing w:before="0" w:beforeAutospacing="0" w:after="0" w:afterAutospacing="0" w:line="578" w:lineRule="exact"/>
        <w:ind w:firstLine="640" w:firstLineChars="200"/>
        <w:rPr>
          <w:rFonts w:ascii="Times New Roman" w:hAnsi="Times New Roman" w:eastAsia="方正仿宋_GBK" w:cs="Times New Roman"/>
          <w:sz w:val="32"/>
          <w:szCs w:val="32"/>
        </w:rPr>
      </w:pPr>
    </w:p>
    <w:p>
      <w:pPr>
        <w:pStyle w:val="12"/>
        <w:shd w:val="clear" w:color="auto" w:fill="FFFFFF"/>
        <w:spacing w:before="0" w:beforeAutospacing="0" w:after="0" w:afterAutospacing="0" w:line="578" w:lineRule="exact"/>
        <w:ind w:firstLine="640" w:firstLineChars="200"/>
        <w:rPr>
          <w:rFonts w:ascii="Times New Roman" w:hAnsi="Times New Roman" w:eastAsia="方正仿宋_GBK" w:cs="Times New Roman"/>
          <w:sz w:val="32"/>
          <w:szCs w:val="32"/>
        </w:rPr>
      </w:pPr>
    </w:p>
    <w:p>
      <w:pPr>
        <w:pStyle w:val="12"/>
        <w:shd w:val="clear" w:color="auto" w:fill="FFFFFF"/>
        <w:spacing w:before="0" w:beforeAutospacing="0" w:after="0" w:afterAutospacing="0" w:line="578" w:lineRule="exact"/>
        <w:ind w:firstLine="640" w:firstLineChars="200"/>
        <w:rPr>
          <w:rFonts w:ascii="Times New Roman" w:hAnsi="Times New Roman" w:eastAsia="方正仿宋_GBK" w:cs="Times New Roman"/>
          <w:sz w:val="32"/>
          <w:szCs w:val="32"/>
        </w:rPr>
      </w:pPr>
    </w:p>
    <w:p>
      <w:pPr>
        <w:pStyle w:val="12"/>
        <w:shd w:val="clear" w:color="auto" w:fill="FFFFFF"/>
        <w:spacing w:before="0" w:beforeAutospacing="0" w:after="0" w:afterAutospacing="0" w:line="578" w:lineRule="exact"/>
        <w:ind w:firstLine="640" w:firstLineChars="200"/>
        <w:rPr>
          <w:rFonts w:ascii="Times New Roman" w:hAnsi="Times New Roman" w:eastAsia="方正仿宋_GBK" w:cs="Times New Roman"/>
          <w:sz w:val="32"/>
          <w:szCs w:val="32"/>
        </w:rPr>
      </w:pPr>
    </w:p>
    <w:p>
      <w:pPr>
        <w:pStyle w:val="12"/>
        <w:shd w:val="clear" w:color="auto" w:fill="FFFFFF"/>
        <w:spacing w:before="0" w:beforeAutospacing="0" w:after="0" w:afterAutospacing="0" w:line="578" w:lineRule="exact"/>
        <w:ind w:firstLine="640" w:firstLineChars="200"/>
        <w:rPr>
          <w:rFonts w:ascii="Times New Roman" w:hAnsi="Times New Roman" w:eastAsia="方正仿宋_GBK" w:cs="Times New Roman"/>
          <w:sz w:val="32"/>
          <w:szCs w:val="32"/>
        </w:rPr>
      </w:pPr>
    </w:p>
    <w:p>
      <w:pPr>
        <w:pStyle w:val="12"/>
        <w:shd w:val="clear" w:color="auto" w:fill="FFFFFF"/>
        <w:spacing w:before="0" w:beforeAutospacing="0" w:after="0" w:afterAutospacing="0" w:line="578" w:lineRule="exact"/>
        <w:ind w:firstLine="640" w:firstLineChars="200"/>
        <w:rPr>
          <w:rFonts w:ascii="Times New Roman" w:hAnsi="Times New Roman" w:eastAsia="方正仿宋_GBK" w:cs="Times New Roman"/>
          <w:sz w:val="32"/>
          <w:szCs w:val="32"/>
        </w:rPr>
      </w:pPr>
    </w:p>
    <w:p>
      <w:pPr>
        <w:pStyle w:val="12"/>
        <w:shd w:val="clear" w:color="auto" w:fill="FFFFFF"/>
        <w:spacing w:before="0" w:beforeAutospacing="0" w:after="0" w:afterAutospacing="0" w:line="578" w:lineRule="exact"/>
        <w:ind w:firstLine="640" w:firstLineChars="200"/>
        <w:rPr>
          <w:rFonts w:ascii="Times New Roman" w:hAnsi="Times New Roman" w:eastAsia="方正仿宋_GBK" w:cs="Times New Roman"/>
          <w:sz w:val="32"/>
          <w:szCs w:val="32"/>
        </w:rPr>
      </w:pPr>
    </w:p>
    <w:p>
      <w:pPr>
        <w:pStyle w:val="12"/>
        <w:shd w:val="clear" w:color="auto" w:fill="FFFFFF"/>
        <w:spacing w:before="0" w:beforeAutospacing="0" w:after="0" w:afterAutospacing="0" w:line="578" w:lineRule="exact"/>
        <w:ind w:firstLine="640" w:firstLineChars="200"/>
        <w:rPr>
          <w:rFonts w:ascii="Times New Roman" w:hAnsi="Times New Roman" w:eastAsia="方正仿宋_GBK" w:cs="Times New Roman"/>
          <w:sz w:val="32"/>
          <w:szCs w:val="32"/>
        </w:rPr>
      </w:pPr>
    </w:p>
    <w:p>
      <w:pPr>
        <w:pStyle w:val="12"/>
        <w:shd w:val="clear" w:color="auto" w:fill="FFFFFF"/>
        <w:spacing w:before="0" w:beforeAutospacing="0" w:after="0" w:afterAutospacing="0" w:line="578" w:lineRule="exact"/>
        <w:ind w:firstLine="640" w:firstLineChars="200"/>
        <w:rPr>
          <w:rFonts w:ascii="Times New Roman" w:hAnsi="Times New Roman" w:eastAsia="方正仿宋_GBK" w:cs="Times New Roman"/>
          <w:sz w:val="32"/>
          <w:szCs w:val="32"/>
        </w:rPr>
      </w:pPr>
    </w:p>
    <w:p>
      <w:pPr>
        <w:pStyle w:val="2"/>
        <w:spacing w:before="0" w:after="0" w:line="640" w:lineRule="exact"/>
        <w:jc w:val="center"/>
        <w:rPr>
          <w:rStyle w:val="17"/>
          <w:rFonts w:ascii="方正小标宋_GBK" w:eastAsia="方正小标宋_GBK" w:cs="方正小标宋_GBK"/>
          <w:b w:val="0"/>
          <w:bCs w:val="0"/>
          <w:color w:val="000000"/>
        </w:rPr>
      </w:pPr>
      <w:r>
        <w:rPr>
          <w:rFonts w:hint="eastAsia" w:ascii="方正小标宋_GBK" w:eastAsia="方正小标宋_GBK" w:cs="方正小标宋_GBK"/>
          <w:b w:val="0"/>
          <w:bCs w:val="0"/>
          <w:color w:val="000000"/>
        </w:rPr>
        <w:t>第二部分　</w:t>
      </w:r>
      <w:r>
        <w:rPr>
          <w:rStyle w:val="17"/>
          <w:rFonts w:hint="eastAsia" w:ascii="方正小标宋_GBK" w:eastAsia="方正小标宋_GBK" w:cs="方正小标宋_GBK"/>
          <w:b w:val="0"/>
          <w:bCs w:val="0"/>
          <w:color w:val="000000"/>
        </w:rPr>
        <w:t>2020年度部门决算情况说明</w:t>
      </w:r>
      <w:bookmarkEnd w:id="22"/>
      <w:bookmarkEnd w:id="23"/>
    </w:p>
    <w:p/>
    <w:p>
      <w:pPr>
        <w:pStyle w:val="3"/>
        <w:spacing w:before="0" w:after="0" w:line="578" w:lineRule="exact"/>
        <w:ind w:firstLine="640" w:firstLineChars="200"/>
        <w:rPr>
          <w:rFonts w:ascii="方正黑体_GBK" w:eastAsia="方正黑体_GBK" w:cs="方正黑体_GBK"/>
          <w:b w:val="0"/>
          <w:bCs w:val="0"/>
        </w:rPr>
      </w:pPr>
      <w:bookmarkStart w:id="24" w:name="_Toc15396603"/>
      <w:bookmarkStart w:id="25" w:name="_Toc15377205"/>
      <w:r>
        <w:rPr>
          <w:rFonts w:hint="eastAsia" w:ascii="方正黑体_GBK" w:eastAsia="方正黑体_GBK" w:cs="方正黑体_GBK"/>
          <w:b w:val="0"/>
          <w:bCs w:val="0"/>
          <w:color w:val="000000"/>
        </w:rPr>
        <w:t>一、收</w:t>
      </w:r>
      <w:r>
        <w:rPr>
          <w:rFonts w:hint="eastAsia" w:ascii="方正黑体_GBK" w:eastAsia="方正黑体_GBK" w:cs="方正黑体_GBK"/>
          <w:b w:val="0"/>
          <w:bCs w:val="0"/>
        </w:rPr>
        <w:t>入支出决算总体情况说明</w:t>
      </w:r>
      <w:bookmarkEnd w:id="24"/>
      <w:bookmarkEnd w:id="25"/>
    </w:p>
    <w:p>
      <w:pPr>
        <w:spacing w:line="578" w:lineRule="exact"/>
        <w:ind w:firstLine="640" w:firstLineChars="200"/>
        <w:rPr>
          <w:rFonts w:eastAsia="方正仿宋_GBK"/>
          <w:color w:val="000000"/>
          <w:sz w:val="32"/>
          <w:szCs w:val="32"/>
        </w:rPr>
      </w:pPr>
      <w:r>
        <w:rPr>
          <w:rFonts w:eastAsia="方正仿宋_GBK"/>
          <w:color w:val="000000"/>
          <w:sz w:val="32"/>
          <w:szCs w:val="32"/>
        </w:rPr>
        <w:t>2020年度收、支总计8368.04万元。与2019年相比，收、支总计各增加1169.35万元，增加16.24%。主要变动原因是基金同比上年增加幅度较大。</w:t>
      </w:r>
    </w:p>
    <w:p>
      <w:pPr>
        <w:pStyle w:val="3"/>
        <w:spacing w:before="0" w:after="0" w:line="578" w:lineRule="exact"/>
        <w:ind w:firstLine="640" w:firstLineChars="200"/>
        <w:rPr>
          <w:rFonts w:ascii="方正黑体_GBK" w:eastAsia="方正黑体_GBK" w:cs="方正黑体_GBK"/>
          <w:b w:val="0"/>
          <w:bCs w:val="0"/>
          <w:color w:val="000000"/>
        </w:rPr>
      </w:pPr>
      <w:bookmarkStart w:id="26" w:name="_Toc15377206"/>
      <w:bookmarkStart w:id="27" w:name="_Toc15396604"/>
      <w:r>
        <w:rPr>
          <w:rFonts w:ascii="方正黑体_GBK" w:eastAsia="方正黑体_GBK" w:cs="方正黑体_GBK"/>
          <w:b w:val="0"/>
          <w:bCs w:val="0"/>
          <w:color w:val="000000"/>
        </w:rPr>
        <w:t>二、收入决算情况说明</w:t>
      </w:r>
      <w:bookmarkEnd w:id="26"/>
      <w:bookmarkEnd w:id="27"/>
    </w:p>
    <w:p>
      <w:pPr>
        <w:spacing w:line="578" w:lineRule="exact"/>
        <w:ind w:firstLine="640" w:firstLineChars="200"/>
        <w:outlineLvl w:val="1"/>
        <w:rPr>
          <w:rFonts w:eastAsia="方正仿宋_GBK"/>
          <w:color w:val="000000"/>
          <w:sz w:val="32"/>
          <w:szCs w:val="32"/>
        </w:rPr>
      </w:pPr>
      <w:r>
        <w:rPr>
          <w:rFonts w:eastAsia="方正仿宋_GBK"/>
          <w:color w:val="000000"/>
          <w:sz w:val="32"/>
          <w:szCs w:val="32"/>
        </w:rPr>
        <w:t>2020年本年收入合计8368.04万元，其中：一般公共预算财政拨款收入2099.31万元，占25.09%；政府性基金预算财政拨款收入6268.73万元，占74.91%；上级补助收入0万元，占0%；事业收入0万元，占0%；经营收入0万元，占0%；附属单位上缴收入0万元，占0%；其他收入0万元，占0%。</w:t>
      </w:r>
    </w:p>
    <w:p>
      <w:pPr>
        <w:pStyle w:val="3"/>
        <w:spacing w:before="0" w:after="0" w:line="578" w:lineRule="exact"/>
        <w:ind w:firstLine="640" w:firstLineChars="200"/>
        <w:rPr>
          <w:rFonts w:ascii="方正黑体_GBK" w:eastAsia="方正黑体_GBK" w:cs="方正黑体_GBK"/>
          <w:b w:val="0"/>
          <w:bCs w:val="0"/>
          <w:color w:val="000000"/>
        </w:rPr>
      </w:pPr>
      <w:bookmarkStart w:id="28" w:name="_Toc15377207"/>
      <w:bookmarkStart w:id="29" w:name="_Toc15396605"/>
      <w:r>
        <w:rPr>
          <w:rFonts w:ascii="方正黑体_GBK" w:eastAsia="方正黑体_GBK" w:cs="方正黑体_GBK"/>
          <w:b w:val="0"/>
          <w:bCs w:val="0"/>
          <w:color w:val="000000"/>
        </w:rPr>
        <w:t>三、支出决算情况说明</w:t>
      </w:r>
      <w:bookmarkEnd w:id="28"/>
      <w:bookmarkEnd w:id="29"/>
    </w:p>
    <w:p>
      <w:pPr>
        <w:spacing w:line="578" w:lineRule="exact"/>
        <w:ind w:firstLine="640" w:firstLineChars="200"/>
        <w:outlineLvl w:val="1"/>
        <w:rPr>
          <w:rFonts w:eastAsia="方正仿宋_GBK"/>
          <w:color w:val="000000"/>
          <w:sz w:val="32"/>
          <w:szCs w:val="32"/>
        </w:rPr>
      </w:pPr>
      <w:r>
        <w:rPr>
          <w:rFonts w:eastAsia="方正仿宋_GBK"/>
          <w:color w:val="000000"/>
          <w:sz w:val="32"/>
          <w:szCs w:val="32"/>
        </w:rPr>
        <w:t>2020年本年支出合计8368.04万元，其中：基本支出1659.27万元，占19.83%；项目支出6708.77万元，占80.17%；上缴上级支出0万元，占0%；经营支出0万元，占0%；对附属单位补助支出0万元，占0%。</w:t>
      </w:r>
    </w:p>
    <w:p>
      <w:pPr>
        <w:pStyle w:val="3"/>
        <w:spacing w:before="0" w:after="0" w:line="578" w:lineRule="exact"/>
        <w:ind w:firstLine="640" w:firstLineChars="200"/>
        <w:rPr>
          <w:rFonts w:ascii="方正黑体_GBK" w:eastAsia="方正黑体_GBK" w:cs="方正黑体_GBK"/>
          <w:b w:val="0"/>
          <w:bCs w:val="0"/>
          <w:color w:val="000000"/>
        </w:rPr>
      </w:pPr>
      <w:bookmarkStart w:id="30" w:name="_Toc15396606"/>
      <w:bookmarkStart w:id="31" w:name="_Toc15377208"/>
      <w:r>
        <w:rPr>
          <w:rFonts w:ascii="方正黑体_GBK" w:eastAsia="方正黑体_GBK" w:cs="方正黑体_GBK"/>
          <w:b w:val="0"/>
          <w:bCs w:val="0"/>
          <w:color w:val="000000"/>
        </w:rPr>
        <w:t>四、财政拨款收入支出决算总体情况说明</w:t>
      </w:r>
      <w:bookmarkEnd w:id="30"/>
      <w:bookmarkEnd w:id="31"/>
    </w:p>
    <w:p>
      <w:pPr>
        <w:spacing w:line="578" w:lineRule="exact"/>
        <w:ind w:firstLine="640"/>
        <w:rPr>
          <w:rFonts w:eastAsia="方正仿宋_GBK"/>
          <w:color w:val="000000"/>
          <w:sz w:val="32"/>
          <w:szCs w:val="32"/>
        </w:rPr>
      </w:pPr>
      <w:r>
        <w:rPr>
          <w:rFonts w:eastAsia="方正仿宋_GBK"/>
          <w:color w:val="000000"/>
          <w:sz w:val="32"/>
          <w:szCs w:val="32"/>
        </w:rPr>
        <w:t>2020年财政拨款收、支总计8368.04万元。与2019年相比，财政拨款收、支总计各增加1169.35万元，增加16.24%。主要变动原因是基金同比上年增加幅度较大。</w:t>
      </w:r>
    </w:p>
    <w:p>
      <w:pPr>
        <w:pStyle w:val="3"/>
        <w:spacing w:before="0" w:after="0" w:line="578" w:lineRule="exact"/>
        <w:ind w:firstLine="640" w:firstLineChars="200"/>
        <w:rPr>
          <w:rFonts w:ascii="方正黑体_GBK" w:eastAsia="方正黑体_GBK" w:cs="方正黑体_GBK"/>
          <w:b w:val="0"/>
          <w:bCs w:val="0"/>
          <w:color w:val="000000"/>
        </w:rPr>
      </w:pPr>
      <w:bookmarkStart w:id="32" w:name="_Toc15377209"/>
      <w:bookmarkStart w:id="33" w:name="_Toc15396607"/>
      <w:r>
        <w:rPr>
          <w:rFonts w:ascii="方正黑体_GBK" w:eastAsia="方正黑体_GBK" w:cs="方正黑体_GBK"/>
          <w:b w:val="0"/>
          <w:bCs w:val="0"/>
          <w:color w:val="000000"/>
        </w:rPr>
        <w:t>五、一般公共预算财政拨款支出决算情况说明</w:t>
      </w:r>
      <w:bookmarkEnd w:id="32"/>
      <w:bookmarkEnd w:id="33"/>
    </w:p>
    <w:p>
      <w:pPr>
        <w:spacing w:line="578" w:lineRule="exact"/>
        <w:ind w:firstLine="640" w:firstLineChars="200"/>
        <w:outlineLvl w:val="2"/>
        <w:rPr>
          <w:rFonts w:ascii="方正楷体_GBK" w:eastAsia="方正楷体_GBK" w:cs="方正楷体_GBK"/>
          <w:color w:val="000000"/>
          <w:sz w:val="32"/>
          <w:szCs w:val="32"/>
        </w:rPr>
      </w:pPr>
      <w:bookmarkStart w:id="34" w:name="_Toc15377210"/>
      <w:r>
        <w:rPr>
          <w:rFonts w:hint="eastAsia" w:ascii="方正楷体_GBK" w:eastAsia="方正楷体_GBK" w:cs="方正楷体_GBK"/>
          <w:color w:val="000000"/>
          <w:sz w:val="32"/>
          <w:szCs w:val="32"/>
        </w:rPr>
        <w:t>（一）一般公共预算财政拨款支出决算总体情况</w:t>
      </w:r>
      <w:bookmarkEnd w:id="34"/>
    </w:p>
    <w:p>
      <w:pPr>
        <w:spacing w:line="578" w:lineRule="exact"/>
        <w:ind w:firstLine="640" w:firstLineChars="200"/>
        <w:rPr>
          <w:rFonts w:eastAsia="方正仿宋_GBK"/>
          <w:sz w:val="32"/>
          <w:szCs w:val="32"/>
        </w:rPr>
      </w:pPr>
      <w:r>
        <w:rPr>
          <w:rFonts w:eastAsia="方正仿宋_GBK"/>
          <w:color w:val="000000"/>
          <w:sz w:val="32"/>
          <w:szCs w:val="32"/>
        </w:rPr>
        <w:t>2020年一般公共预算财政拨款支出2099.31万元，占本年支出合计的25.09%。与2019年相比，一般公共预算财政拨款减少136.38万元，减少6.1%。主要变动原因是公用经费压减，政府性基金预算财政拨款增加</w:t>
      </w:r>
      <w:r>
        <w:rPr>
          <w:rFonts w:eastAsia="方正仿宋_GBK"/>
          <w:sz w:val="32"/>
          <w:szCs w:val="32"/>
        </w:rPr>
        <w:t>。</w:t>
      </w:r>
    </w:p>
    <w:p>
      <w:pPr>
        <w:spacing w:line="578" w:lineRule="exact"/>
        <w:ind w:firstLine="640" w:firstLineChars="200"/>
        <w:outlineLvl w:val="2"/>
        <w:rPr>
          <w:rFonts w:ascii="方正楷体_GBK" w:eastAsia="方正楷体_GBK" w:cs="方正楷体_GBK"/>
          <w:color w:val="000000"/>
          <w:sz w:val="32"/>
          <w:szCs w:val="32"/>
        </w:rPr>
      </w:pPr>
      <w:bookmarkStart w:id="35" w:name="_Toc15377211"/>
      <w:r>
        <w:rPr>
          <w:rFonts w:ascii="方正楷体_GBK" w:eastAsia="方正楷体_GBK" w:cs="方正楷体_GBK"/>
          <w:color w:val="000000"/>
          <w:sz w:val="32"/>
          <w:szCs w:val="32"/>
        </w:rPr>
        <w:t>（二）一般公共预算财政拨款支出决算结构情况</w:t>
      </w:r>
      <w:bookmarkEnd w:id="35"/>
    </w:p>
    <w:p>
      <w:pPr>
        <w:spacing w:line="578" w:lineRule="exact"/>
        <w:ind w:firstLine="640"/>
        <w:rPr>
          <w:rFonts w:eastAsia="方正仿宋_GBK"/>
          <w:color w:val="000000"/>
          <w:sz w:val="32"/>
          <w:szCs w:val="32"/>
        </w:rPr>
      </w:pPr>
      <w:r>
        <w:rPr>
          <w:rFonts w:eastAsia="方正仿宋_GBK"/>
          <w:color w:val="000000"/>
          <w:sz w:val="32"/>
          <w:szCs w:val="32"/>
        </w:rPr>
        <w:t>2020年一般公共预算财政拨款支出2099.31万元，主要用于以下方面:一般公共服务（类）支出593.52万元，占28.27%；文化旅游体育与传媒（类）支出67.89万元，占3.23%；社会保障和就业（类）支出448.19万元，占21.35%；卫生健康支出37.34万元，占1.78%；</w:t>
      </w:r>
      <w:r>
        <w:rPr>
          <w:rFonts w:eastAsia="方正仿宋_GBK"/>
          <w:sz w:val="32"/>
          <w:szCs w:val="32"/>
        </w:rPr>
        <w:t>城乡社区支出（类）支出</w:t>
      </w:r>
      <w:r>
        <w:rPr>
          <w:rFonts w:eastAsia="方正仿宋_GBK"/>
          <w:color w:val="000000"/>
          <w:sz w:val="32"/>
          <w:szCs w:val="32"/>
        </w:rPr>
        <w:t>644.81万元，占30.72%；农林水支出（类）支出202.92万元，占9.67%；住房保障支出54.64万元，占2.6%；其他支出50万元，占2.38%。</w:t>
      </w:r>
    </w:p>
    <w:p>
      <w:pPr>
        <w:spacing w:line="578" w:lineRule="exact"/>
        <w:ind w:firstLine="640" w:firstLineChars="200"/>
        <w:outlineLvl w:val="2"/>
        <w:rPr>
          <w:rFonts w:ascii="方正楷体_GBK" w:eastAsia="方正楷体_GBK" w:cs="方正楷体_GBK"/>
          <w:color w:val="000000"/>
          <w:sz w:val="32"/>
          <w:szCs w:val="32"/>
        </w:rPr>
      </w:pPr>
      <w:bookmarkStart w:id="36" w:name="_Toc15377212"/>
      <w:r>
        <w:rPr>
          <w:rFonts w:ascii="方正楷体_GBK" w:eastAsia="方正楷体_GBK" w:cs="方正楷体_GBK"/>
          <w:color w:val="000000"/>
          <w:sz w:val="32"/>
          <w:szCs w:val="32"/>
        </w:rPr>
        <w:t>（三）一般公共预算财政拨款支出决算具体情况</w:t>
      </w:r>
      <w:bookmarkEnd w:id="36"/>
    </w:p>
    <w:p>
      <w:pPr>
        <w:spacing w:line="578" w:lineRule="exact"/>
        <w:ind w:firstLine="640" w:firstLineChars="200"/>
        <w:outlineLvl w:val="2"/>
        <w:rPr>
          <w:rFonts w:eastAsia="方正仿宋_GBK"/>
          <w:color w:val="000000"/>
          <w:sz w:val="32"/>
          <w:szCs w:val="32"/>
        </w:rPr>
      </w:pPr>
      <w:bookmarkStart w:id="37" w:name="_Toc15378460"/>
      <w:bookmarkStart w:id="38" w:name="_Toc15377213"/>
      <w:bookmarkStart w:id="39" w:name="_Toc15377444"/>
      <w:r>
        <w:rPr>
          <w:rFonts w:eastAsia="方正仿宋_GBK"/>
          <w:color w:val="000000"/>
          <w:sz w:val="32"/>
          <w:szCs w:val="32"/>
        </w:rPr>
        <w:t>2020年一般公共预算支出决算数为2099.31万元，</w:t>
      </w:r>
      <w:r>
        <w:rPr>
          <w:rStyle w:val="15"/>
          <w:rFonts w:eastAsia="方正仿宋_GBK"/>
          <w:b w:val="0"/>
          <w:color w:val="000000"/>
          <w:sz w:val="32"/>
          <w:szCs w:val="32"/>
        </w:rPr>
        <w:t>完成预算100%。其中：</w:t>
      </w:r>
      <w:bookmarkEnd w:id="37"/>
      <w:bookmarkEnd w:id="38"/>
      <w:bookmarkEnd w:id="39"/>
    </w:p>
    <w:p>
      <w:pPr>
        <w:numPr>
          <w:ilvl w:val="0"/>
          <w:numId w:val="5"/>
        </w:numPr>
        <w:spacing w:line="578" w:lineRule="exact"/>
        <w:ind w:left="0" w:firstLine="640" w:firstLineChars="200"/>
        <w:rPr>
          <w:rStyle w:val="15"/>
          <w:rFonts w:eastAsia="方正仿宋_GBK"/>
          <w:b w:val="0"/>
          <w:color w:val="000000"/>
          <w:sz w:val="32"/>
          <w:szCs w:val="32"/>
        </w:rPr>
      </w:pPr>
      <w:r>
        <w:rPr>
          <w:rStyle w:val="15"/>
          <w:rFonts w:eastAsia="方正仿宋_GBK"/>
          <w:b w:val="0"/>
          <w:color w:val="000000"/>
          <w:sz w:val="32"/>
          <w:szCs w:val="32"/>
        </w:rPr>
        <w:t>一般公共服务：</w:t>
      </w:r>
    </w:p>
    <w:p>
      <w:pPr>
        <w:spacing w:line="578" w:lineRule="exact"/>
        <w:ind w:firstLine="640" w:firstLineChars="200"/>
        <w:rPr>
          <w:rStyle w:val="15"/>
          <w:rFonts w:eastAsia="方正仿宋_GBK"/>
          <w:b w:val="0"/>
          <w:color w:val="000000"/>
          <w:sz w:val="32"/>
          <w:szCs w:val="32"/>
        </w:rPr>
      </w:pPr>
      <w:r>
        <w:rPr>
          <w:rStyle w:val="15"/>
          <w:rFonts w:eastAsia="方正仿宋_GBK"/>
          <w:b w:val="0"/>
          <w:color w:val="000000"/>
          <w:sz w:val="32"/>
          <w:szCs w:val="32"/>
        </w:rPr>
        <w:t>2010301一般公共服务支出（类）政府办公厅（室）及相关机构事务（款）行政运行（项）支出决算为</w:t>
      </w:r>
      <w:r>
        <w:rPr>
          <w:rFonts w:eastAsia="方正仿宋_GBK"/>
          <w:color w:val="000000"/>
          <w:sz w:val="32"/>
          <w:szCs w:val="32"/>
        </w:rPr>
        <w:t>287.13</w:t>
      </w:r>
      <w:r>
        <w:rPr>
          <w:rStyle w:val="15"/>
          <w:rFonts w:eastAsia="方正仿宋_GBK"/>
          <w:b w:val="0"/>
          <w:color w:val="000000"/>
          <w:sz w:val="32"/>
          <w:szCs w:val="32"/>
        </w:rPr>
        <w:t>万元，完成预算100%，决算数等于预算数。</w:t>
      </w:r>
    </w:p>
    <w:p>
      <w:pPr>
        <w:spacing w:line="578" w:lineRule="exact"/>
        <w:ind w:firstLine="640" w:firstLineChars="200"/>
        <w:rPr>
          <w:rFonts w:eastAsia="方正仿宋_GBK"/>
          <w:color w:val="000000"/>
          <w:sz w:val="32"/>
          <w:szCs w:val="32"/>
        </w:rPr>
      </w:pPr>
      <w:r>
        <w:rPr>
          <w:rStyle w:val="15"/>
          <w:rFonts w:eastAsia="方正仿宋_GBK"/>
          <w:b w:val="0"/>
          <w:color w:val="000000"/>
          <w:sz w:val="32"/>
          <w:szCs w:val="32"/>
        </w:rPr>
        <w:t>2010302一般公共服务支出（类）政府办公厅（室）及相关机构事务（款）一般行政管理事务（项）支出决算为231万元，完成预算100%，决算数等于预算数。</w:t>
      </w:r>
    </w:p>
    <w:p>
      <w:pPr>
        <w:spacing w:line="578" w:lineRule="exact"/>
        <w:ind w:firstLine="640" w:firstLineChars="200"/>
        <w:rPr>
          <w:rStyle w:val="15"/>
          <w:rFonts w:eastAsia="方正仿宋_GBK"/>
          <w:b w:val="0"/>
          <w:color w:val="000000"/>
          <w:sz w:val="32"/>
          <w:szCs w:val="32"/>
        </w:rPr>
      </w:pPr>
      <w:r>
        <w:rPr>
          <w:rStyle w:val="15"/>
          <w:rFonts w:eastAsia="方正仿宋_GBK"/>
          <w:b w:val="0"/>
          <w:color w:val="000000"/>
          <w:sz w:val="32"/>
          <w:szCs w:val="32"/>
        </w:rPr>
        <w:t>2010601一般公共服务支出（类）财政事务（款）行政运行（项）支出决算为72.39万元，完成预算100%，决算数等于预算数。</w:t>
      </w:r>
    </w:p>
    <w:p>
      <w:pPr>
        <w:spacing w:line="578" w:lineRule="exact"/>
        <w:ind w:firstLine="640" w:firstLineChars="200"/>
        <w:rPr>
          <w:rStyle w:val="15"/>
          <w:rFonts w:eastAsia="方正仿宋_GBK"/>
          <w:b w:val="0"/>
          <w:color w:val="000000"/>
          <w:sz w:val="32"/>
          <w:szCs w:val="32"/>
        </w:rPr>
      </w:pPr>
      <w:r>
        <w:rPr>
          <w:rStyle w:val="15"/>
          <w:rFonts w:eastAsia="方正仿宋_GBK"/>
          <w:b w:val="0"/>
          <w:color w:val="000000"/>
          <w:sz w:val="32"/>
          <w:szCs w:val="32"/>
        </w:rPr>
        <w:t>2010602一般公共服务支出（类）财政事务（款）一般行政管理事务（项）支出决算为3万元，完成预算100%，决算数等于预算数。</w:t>
      </w:r>
    </w:p>
    <w:p>
      <w:pPr>
        <w:numPr>
          <w:ilvl w:val="0"/>
          <w:numId w:val="5"/>
        </w:numPr>
        <w:spacing w:line="578" w:lineRule="exact"/>
        <w:ind w:left="0" w:firstLine="640" w:firstLineChars="200"/>
        <w:rPr>
          <w:rFonts w:eastAsia="方正仿宋_GBK"/>
          <w:color w:val="000000"/>
          <w:sz w:val="32"/>
          <w:szCs w:val="32"/>
        </w:rPr>
      </w:pPr>
      <w:r>
        <w:rPr>
          <w:rStyle w:val="15"/>
          <w:rFonts w:eastAsia="方正仿宋_GBK"/>
          <w:b w:val="0"/>
          <w:color w:val="000000"/>
          <w:sz w:val="32"/>
          <w:szCs w:val="32"/>
        </w:rPr>
        <w:t>文化体育与传媒类：</w:t>
      </w:r>
    </w:p>
    <w:p>
      <w:pPr>
        <w:spacing w:line="578" w:lineRule="exact"/>
        <w:ind w:firstLine="640" w:firstLineChars="200"/>
        <w:rPr>
          <w:rStyle w:val="15"/>
          <w:rFonts w:eastAsia="方正仿宋_GBK"/>
          <w:b w:val="0"/>
          <w:color w:val="000000"/>
          <w:sz w:val="32"/>
          <w:szCs w:val="32"/>
        </w:rPr>
      </w:pPr>
      <w:r>
        <w:rPr>
          <w:rStyle w:val="15"/>
          <w:rFonts w:eastAsia="方正仿宋_GBK"/>
          <w:b w:val="0"/>
          <w:color w:val="000000"/>
          <w:sz w:val="32"/>
          <w:szCs w:val="32"/>
        </w:rPr>
        <w:t>2070114文化体育与传媒支出（类）文化（款）文化和旅游管理事务（项）支出决算为63.59万元，完成预算100%，决算数等于预算数。</w:t>
      </w:r>
    </w:p>
    <w:p>
      <w:pPr>
        <w:spacing w:line="578" w:lineRule="exact"/>
        <w:ind w:firstLine="640" w:firstLineChars="200"/>
        <w:rPr>
          <w:rFonts w:eastAsia="方正仿宋_GBK"/>
          <w:color w:val="000000"/>
          <w:sz w:val="32"/>
          <w:szCs w:val="32"/>
        </w:rPr>
      </w:pPr>
      <w:r>
        <w:rPr>
          <w:rStyle w:val="15"/>
          <w:rFonts w:eastAsia="方正仿宋_GBK"/>
          <w:b w:val="0"/>
          <w:color w:val="000000"/>
          <w:sz w:val="32"/>
          <w:szCs w:val="32"/>
        </w:rPr>
        <w:t>2070199文化体育与传媒支出（类）文化（款）其他文化支出（项）支出决算为4.3万元，完成预算100%，决算数等于预算数。</w:t>
      </w:r>
    </w:p>
    <w:p>
      <w:pPr>
        <w:numPr>
          <w:ilvl w:val="0"/>
          <w:numId w:val="5"/>
        </w:numPr>
        <w:spacing w:line="578" w:lineRule="exact"/>
        <w:ind w:left="0" w:firstLine="640" w:firstLineChars="200"/>
        <w:rPr>
          <w:rStyle w:val="15"/>
          <w:rFonts w:eastAsia="方正仿宋_GBK"/>
          <w:b w:val="0"/>
          <w:color w:val="000000"/>
          <w:sz w:val="32"/>
          <w:szCs w:val="32"/>
        </w:rPr>
      </w:pPr>
      <w:r>
        <w:rPr>
          <w:rStyle w:val="15"/>
          <w:rFonts w:eastAsia="方正仿宋_GBK"/>
          <w:b w:val="0"/>
          <w:color w:val="000000"/>
          <w:sz w:val="32"/>
          <w:szCs w:val="32"/>
        </w:rPr>
        <w:t>社会保障和就业：</w:t>
      </w:r>
    </w:p>
    <w:p>
      <w:pPr>
        <w:spacing w:line="578" w:lineRule="exact"/>
        <w:ind w:firstLine="640" w:firstLineChars="200"/>
        <w:rPr>
          <w:rStyle w:val="15"/>
          <w:rFonts w:eastAsia="方正仿宋_GBK"/>
          <w:b w:val="0"/>
          <w:color w:val="000000"/>
          <w:sz w:val="32"/>
          <w:szCs w:val="32"/>
        </w:rPr>
      </w:pPr>
      <w:r>
        <w:rPr>
          <w:rStyle w:val="15"/>
          <w:rFonts w:eastAsia="方正仿宋_GBK"/>
          <w:b w:val="0"/>
          <w:color w:val="000000"/>
          <w:sz w:val="32"/>
          <w:szCs w:val="32"/>
        </w:rPr>
        <w:t>2080104社会保障和就业支出（类）人力资源和社</w:t>
      </w:r>
      <w:r>
        <w:rPr>
          <w:rStyle w:val="15"/>
          <w:rFonts w:hint="eastAsia" w:eastAsia="方正仿宋_GBK"/>
          <w:b w:val="0"/>
          <w:color w:val="000000"/>
          <w:sz w:val="32"/>
          <w:szCs w:val="32"/>
          <w:lang w:eastAsia="zh-CN"/>
        </w:rPr>
        <w:t>会</w:t>
      </w:r>
      <w:r>
        <w:rPr>
          <w:rStyle w:val="15"/>
          <w:rFonts w:eastAsia="方正仿宋_GBK"/>
          <w:b w:val="0"/>
          <w:color w:val="000000"/>
          <w:sz w:val="32"/>
          <w:szCs w:val="32"/>
        </w:rPr>
        <w:t>保障管理事务（款）综合业务管理（项）支出决算为136.40万元，完成预算100%，决算数等于预算数。</w:t>
      </w:r>
    </w:p>
    <w:p>
      <w:pPr>
        <w:spacing w:line="578" w:lineRule="exact"/>
        <w:ind w:firstLine="640" w:firstLineChars="200"/>
        <w:rPr>
          <w:rStyle w:val="15"/>
          <w:rFonts w:eastAsia="方正仿宋_GBK"/>
          <w:b w:val="0"/>
          <w:color w:val="000000"/>
          <w:sz w:val="32"/>
          <w:szCs w:val="32"/>
        </w:rPr>
      </w:pPr>
      <w:r>
        <w:rPr>
          <w:rStyle w:val="15"/>
          <w:rFonts w:eastAsia="方正仿宋_GBK"/>
          <w:b w:val="0"/>
          <w:color w:val="000000"/>
          <w:sz w:val="32"/>
          <w:szCs w:val="32"/>
        </w:rPr>
        <w:t>2080208社会保障和就业支出（类）人力资源和社</w:t>
      </w:r>
      <w:r>
        <w:rPr>
          <w:rStyle w:val="15"/>
          <w:rFonts w:hint="eastAsia" w:eastAsia="方正仿宋_GBK"/>
          <w:b w:val="0"/>
          <w:color w:val="000000"/>
          <w:sz w:val="32"/>
          <w:szCs w:val="32"/>
          <w:lang w:eastAsia="zh-CN"/>
        </w:rPr>
        <w:t>会</w:t>
      </w:r>
      <w:bookmarkStart w:id="72" w:name="_GoBack"/>
      <w:bookmarkEnd w:id="72"/>
      <w:r>
        <w:rPr>
          <w:rStyle w:val="15"/>
          <w:rFonts w:eastAsia="方正仿宋_GBK"/>
          <w:b w:val="0"/>
          <w:color w:val="000000"/>
          <w:sz w:val="32"/>
          <w:szCs w:val="32"/>
        </w:rPr>
        <w:t>保障管理事务（款）基层政权建设和社区治理（项）支出决算为107.37万元，完成预算100%，决算数等于预算数。</w:t>
      </w:r>
    </w:p>
    <w:p>
      <w:pPr>
        <w:spacing w:line="578" w:lineRule="exact"/>
        <w:ind w:firstLine="640" w:firstLineChars="200"/>
        <w:rPr>
          <w:rStyle w:val="15"/>
          <w:rFonts w:eastAsia="方正仿宋_GBK"/>
          <w:b w:val="0"/>
          <w:color w:val="000000"/>
          <w:sz w:val="32"/>
          <w:szCs w:val="32"/>
        </w:rPr>
      </w:pPr>
      <w:r>
        <w:rPr>
          <w:rStyle w:val="15"/>
          <w:rFonts w:eastAsia="方正仿宋_GBK"/>
          <w:b w:val="0"/>
          <w:color w:val="000000"/>
          <w:sz w:val="32"/>
          <w:szCs w:val="32"/>
        </w:rPr>
        <w:t>2080505社会保障和就业支出（类）行政事业单位离退休（款）机关事业单位基本养老保险费支出（项）支出决算为74.2万元，完成预算100%，决算数等于预算数。</w:t>
      </w:r>
    </w:p>
    <w:p>
      <w:pPr>
        <w:spacing w:line="578" w:lineRule="exact"/>
        <w:ind w:firstLine="640" w:firstLineChars="200"/>
        <w:rPr>
          <w:rStyle w:val="15"/>
          <w:rFonts w:eastAsia="方正仿宋_GBK"/>
          <w:b w:val="0"/>
          <w:color w:val="000000"/>
          <w:sz w:val="32"/>
          <w:szCs w:val="32"/>
        </w:rPr>
      </w:pPr>
      <w:r>
        <w:rPr>
          <w:rStyle w:val="15"/>
          <w:rFonts w:eastAsia="方正仿宋_GBK"/>
          <w:b w:val="0"/>
          <w:color w:val="000000"/>
          <w:sz w:val="32"/>
          <w:szCs w:val="32"/>
        </w:rPr>
        <w:t>2080506社会保障和就业支出（类）行政事业单位离退休（款）</w:t>
      </w:r>
      <w:r>
        <w:rPr>
          <w:rFonts w:eastAsia="方正仿宋_GBK"/>
          <w:color w:val="000000"/>
          <w:sz w:val="32"/>
          <w:szCs w:val="32"/>
        </w:rPr>
        <w:t>机关事业单位职业年金缴费支出</w:t>
      </w:r>
      <w:r>
        <w:rPr>
          <w:rStyle w:val="15"/>
          <w:rFonts w:eastAsia="方正仿宋_GBK"/>
          <w:b w:val="0"/>
          <w:color w:val="000000"/>
          <w:sz w:val="32"/>
          <w:szCs w:val="32"/>
        </w:rPr>
        <w:t>（项）支出决算为14.1万元，完成预算100%，决算数等于预算数。</w:t>
      </w:r>
    </w:p>
    <w:p>
      <w:pPr>
        <w:spacing w:line="578" w:lineRule="exact"/>
        <w:ind w:firstLine="640" w:firstLineChars="200"/>
        <w:rPr>
          <w:rStyle w:val="15"/>
          <w:rFonts w:eastAsia="方正仿宋_GBK"/>
          <w:b w:val="0"/>
          <w:color w:val="000000"/>
          <w:sz w:val="32"/>
          <w:szCs w:val="32"/>
        </w:rPr>
      </w:pPr>
      <w:r>
        <w:rPr>
          <w:rStyle w:val="15"/>
          <w:rFonts w:eastAsia="方正仿宋_GBK"/>
          <w:b w:val="0"/>
          <w:color w:val="000000"/>
          <w:sz w:val="32"/>
          <w:szCs w:val="32"/>
        </w:rPr>
        <w:t>20806099社会保障和就业支出（类）企业改革补助（款）</w:t>
      </w:r>
      <w:r>
        <w:rPr>
          <w:rFonts w:eastAsia="方正仿宋_GBK"/>
          <w:color w:val="000000"/>
          <w:sz w:val="32"/>
          <w:szCs w:val="32"/>
        </w:rPr>
        <w:t>其他企业改革发展补助</w:t>
      </w:r>
      <w:r>
        <w:rPr>
          <w:rStyle w:val="15"/>
          <w:rFonts w:eastAsia="方正仿宋_GBK"/>
          <w:b w:val="0"/>
          <w:color w:val="000000"/>
          <w:sz w:val="32"/>
          <w:szCs w:val="32"/>
        </w:rPr>
        <w:t>（项）支出决算为7.93万元，完成预算100%，决算数等于预算数。</w:t>
      </w:r>
    </w:p>
    <w:p>
      <w:pPr>
        <w:spacing w:line="578" w:lineRule="exact"/>
        <w:ind w:firstLine="640" w:firstLineChars="200"/>
        <w:rPr>
          <w:rFonts w:eastAsia="方正仿宋_GBK"/>
          <w:color w:val="000000"/>
          <w:sz w:val="32"/>
          <w:szCs w:val="32"/>
        </w:rPr>
      </w:pPr>
      <w:r>
        <w:rPr>
          <w:rStyle w:val="15"/>
          <w:rFonts w:eastAsia="方正仿宋_GBK"/>
          <w:b w:val="0"/>
          <w:color w:val="000000"/>
          <w:sz w:val="32"/>
          <w:szCs w:val="32"/>
        </w:rPr>
        <w:t>2080805社会保障和就业支出（类）抚恤（款）义务兵优待（项）支出决算为105.91万元，完成预算100%，决算数等于预算数。</w:t>
      </w:r>
    </w:p>
    <w:p>
      <w:pPr>
        <w:spacing w:line="578" w:lineRule="exact"/>
        <w:ind w:firstLine="640" w:firstLineChars="200"/>
        <w:rPr>
          <w:rFonts w:eastAsia="方正仿宋_GBK"/>
          <w:color w:val="000000"/>
          <w:sz w:val="32"/>
          <w:szCs w:val="32"/>
        </w:rPr>
      </w:pPr>
      <w:r>
        <w:rPr>
          <w:rStyle w:val="15"/>
          <w:rFonts w:eastAsia="方正仿宋_GBK"/>
          <w:b w:val="0"/>
          <w:color w:val="000000"/>
          <w:sz w:val="32"/>
          <w:szCs w:val="32"/>
        </w:rPr>
        <w:t>2081199社会保障和就业支出（类）残疾人事业（款）其他残疾人事业支出（项）支出决算为2.28万元，完成预算100%，决算数等于预算数。</w:t>
      </w:r>
    </w:p>
    <w:p>
      <w:pPr>
        <w:numPr>
          <w:ilvl w:val="0"/>
          <w:numId w:val="5"/>
        </w:numPr>
        <w:spacing w:line="578" w:lineRule="exact"/>
        <w:ind w:left="0" w:firstLine="640" w:firstLineChars="200"/>
        <w:rPr>
          <w:rStyle w:val="15"/>
          <w:rFonts w:eastAsia="方正仿宋_GBK"/>
          <w:b w:val="0"/>
          <w:color w:val="000000"/>
          <w:sz w:val="32"/>
          <w:szCs w:val="32"/>
        </w:rPr>
      </w:pPr>
      <w:r>
        <w:rPr>
          <w:rStyle w:val="15"/>
          <w:rFonts w:eastAsia="方正仿宋_GBK"/>
          <w:b w:val="0"/>
          <w:color w:val="000000"/>
          <w:sz w:val="32"/>
          <w:szCs w:val="32"/>
        </w:rPr>
        <w:t xml:space="preserve">医疗卫生与计划生育：                            </w:t>
      </w:r>
    </w:p>
    <w:p>
      <w:pPr>
        <w:spacing w:line="578" w:lineRule="exact"/>
        <w:ind w:firstLine="640" w:firstLineChars="200"/>
        <w:rPr>
          <w:rStyle w:val="15"/>
          <w:rFonts w:eastAsia="方正仿宋_GBK"/>
          <w:b w:val="0"/>
          <w:color w:val="000000"/>
          <w:sz w:val="32"/>
          <w:szCs w:val="32"/>
        </w:rPr>
      </w:pPr>
      <w:r>
        <w:rPr>
          <w:rStyle w:val="15"/>
          <w:rFonts w:eastAsia="方正仿宋_GBK"/>
          <w:b w:val="0"/>
          <w:color w:val="000000"/>
          <w:sz w:val="32"/>
          <w:szCs w:val="32"/>
        </w:rPr>
        <w:t xml:space="preserve">2101101医疗卫生与计划生育支出（类）行政事业单位医疗（款）行政单位医疗（项）支出决算为18.36万元，完成预算100%，决算数等于预算数。                            </w:t>
      </w:r>
    </w:p>
    <w:p>
      <w:pPr>
        <w:spacing w:line="578" w:lineRule="exact"/>
        <w:ind w:firstLine="640" w:firstLineChars="200"/>
        <w:rPr>
          <w:rStyle w:val="15"/>
          <w:rFonts w:eastAsia="方正仿宋_GBK"/>
          <w:b w:val="0"/>
          <w:color w:val="000000"/>
          <w:sz w:val="32"/>
          <w:szCs w:val="32"/>
        </w:rPr>
      </w:pPr>
      <w:r>
        <w:rPr>
          <w:rStyle w:val="15"/>
          <w:rFonts w:eastAsia="方正仿宋_GBK"/>
          <w:b w:val="0"/>
          <w:color w:val="000000"/>
          <w:sz w:val="32"/>
          <w:szCs w:val="32"/>
        </w:rPr>
        <w:t xml:space="preserve">2101102医疗卫生与计划生育支出（类）行政事业单位医疗（款）事业单位医疗（项）支出决算为18.98万元，完成预算100%，决算数等于预算数。                                                    </w:t>
      </w:r>
    </w:p>
    <w:p>
      <w:pPr>
        <w:numPr>
          <w:ilvl w:val="0"/>
          <w:numId w:val="5"/>
        </w:numPr>
        <w:spacing w:line="578" w:lineRule="exact"/>
        <w:ind w:left="0" w:firstLine="640" w:firstLineChars="200"/>
        <w:rPr>
          <w:rStyle w:val="15"/>
          <w:rFonts w:eastAsia="方正仿宋_GBK"/>
          <w:b w:val="0"/>
          <w:color w:val="000000"/>
          <w:sz w:val="32"/>
          <w:szCs w:val="32"/>
        </w:rPr>
      </w:pPr>
      <w:r>
        <w:rPr>
          <w:rStyle w:val="15"/>
          <w:rFonts w:eastAsia="方正仿宋_GBK"/>
          <w:b w:val="0"/>
          <w:color w:val="000000"/>
          <w:sz w:val="32"/>
          <w:szCs w:val="32"/>
        </w:rPr>
        <w:t xml:space="preserve">城乡社区支出：                      </w:t>
      </w:r>
    </w:p>
    <w:p>
      <w:pPr>
        <w:spacing w:line="578" w:lineRule="exact"/>
        <w:ind w:firstLine="640" w:firstLineChars="200"/>
        <w:rPr>
          <w:rStyle w:val="15"/>
          <w:rFonts w:eastAsia="方正仿宋_GBK"/>
          <w:b w:val="0"/>
          <w:color w:val="000000"/>
          <w:sz w:val="32"/>
          <w:szCs w:val="32"/>
        </w:rPr>
      </w:pPr>
      <w:r>
        <w:rPr>
          <w:rStyle w:val="15"/>
          <w:rFonts w:eastAsia="方正仿宋_GBK"/>
          <w:b w:val="0"/>
          <w:color w:val="000000"/>
          <w:sz w:val="32"/>
          <w:szCs w:val="32"/>
        </w:rPr>
        <w:t xml:space="preserve">2129901城乡社区支出（类）其他城乡社区支出（款）其他城乡社区支出（项）支出决算为644.81万元，完成预算100%，决算数等于预算数。                            </w:t>
      </w:r>
    </w:p>
    <w:p>
      <w:pPr>
        <w:numPr>
          <w:ilvl w:val="0"/>
          <w:numId w:val="5"/>
        </w:numPr>
        <w:spacing w:line="578" w:lineRule="exact"/>
        <w:ind w:left="0" w:firstLine="640" w:firstLineChars="200"/>
        <w:rPr>
          <w:rStyle w:val="15"/>
          <w:rFonts w:eastAsia="方正仿宋_GBK"/>
          <w:b w:val="0"/>
          <w:color w:val="000000"/>
          <w:sz w:val="32"/>
          <w:szCs w:val="32"/>
        </w:rPr>
      </w:pPr>
      <w:r>
        <w:rPr>
          <w:rStyle w:val="15"/>
          <w:rFonts w:eastAsia="方正仿宋_GBK"/>
          <w:b w:val="0"/>
          <w:color w:val="000000"/>
          <w:sz w:val="32"/>
          <w:szCs w:val="32"/>
        </w:rPr>
        <w:t>农林水支出：</w:t>
      </w:r>
    </w:p>
    <w:p>
      <w:pPr>
        <w:spacing w:line="578" w:lineRule="exact"/>
        <w:ind w:firstLine="640" w:firstLineChars="200"/>
        <w:rPr>
          <w:rStyle w:val="15"/>
          <w:rFonts w:eastAsia="方正仿宋_GBK"/>
          <w:b w:val="0"/>
          <w:color w:val="000000"/>
          <w:sz w:val="32"/>
          <w:szCs w:val="32"/>
        </w:rPr>
      </w:pPr>
      <w:r>
        <w:rPr>
          <w:rStyle w:val="15"/>
          <w:rFonts w:eastAsia="方正仿宋_GBK"/>
          <w:b w:val="0"/>
          <w:color w:val="000000"/>
          <w:sz w:val="32"/>
          <w:szCs w:val="32"/>
        </w:rPr>
        <w:t xml:space="preserve">2130104农林水支出（类）农业（款）事业运行（项）支出决算为123.46万元，完成预算100%，决算数等于预算数。                            </w:t>
      </w:r>
    </w:p>
    <w:p>
      <w:pPr>
        <w:spacing w:line="578" w:lineRule="exact"/>
        <w:ind w:firstLine="640" w:firstLineChars="200"/>
        <w:rPr>
          <w:rStyle w:val="15"/>
          <w:rFonts w:eastAsia="方正仿宋_GBK"/>
          <w:b w:val="0"/>
          <w:color w:val="000000"/>
          <w:sz w:val="32"/>
          <w:szCs w:val="32"/>
        </w:rPr>
      </w:pPr>
      <w:r>
        <w:rPr>
          <w:rStyle w:val="15"/>
          <w:rFonts w:eastAsia="方正仿宋_GBK"/>
          <w:b w:val="0"/>
          <w:color w:val="000000"/>
          <w:sz w:val="32"/>
          <w:szCs w:val="32"/>
        </w:rPr>
        <w:t>2130701 农林水支出（类）农村综合改革（款）对村级一事一议的补助（项）支出决算为31万元，完成预算100%，决算数等于预算数。</w:t>
      </w:r>
    </w:p>
    <w:p>
      <w:pPr>
        <w:spacing w:line="578" w:lineRule="exact"/>
        <w:ind w:firstLine="640" w:firstLineChars="200"/>
        <w:rPr>
          <w:rStyle w:val="15"/>
          <w:rFonts w:eastAsia="方正仿宋_GBK"/>
          <w:b w:val="0"/>
          <w:color w:val="000000"/>
          <w:sz w:val="32"/>
          <w:szCs w:val="32"/>
        </w:rPr>
      </w:pPr>
      <w:r>
        <w:rPr>
          <w:rStyle w:val="15"/>
          <w:rFonts w:eastAsia="方正仿宋_GBK"/>
          <w:b w:val="0"/>
          <w:color w:val="000000"/>
          <w:sz w:val="32"/>
          <w:szCs w:val="32"/>
        </w:rPr>
        <w:t>2130705农林水支出（类）农村综合改革（款）对村民委员会和村党支部的补助（项）支出决算为48.46万元，完成预算100%，决算数等于预算数。</w:t>
      </w:r>
    </w:p>
    <w:p>
      <w:pPr>
        <w:numPr>
          <w:ilvl w:val="0"/>
          <w:numId w:val="5"/>
        </w:numPr>
        <w:spacing w:line="578" w:lineRule="exact"/>
        <w:ind w:left="0" w:firstLine="640" w:firstLineChars="200"/>
        <w:rPr>
          <w:rFonts w:eastAsia="方正仿宋_GBK"/>
          <w:sz w:val="32"/>
          <w:szCs w:val="32"/>
        </w:rPr>
      </w:pPr>
      <w:r>
        <w:rPr>
          <w:rStyle w:val="15"/>
          <w:rFonts w:eastAsia="方正仿宋_GBK"/>
          <w:b w:val="0"/>
          <w:color w:val="000000"/>
          <w:sz w:val="32"/>
          <w:szCs w:val="32"/>
        </w:rPr>
        <w:t>住房保障支出</w:t>
      </w:r>
    </w:p>
    <w:p>
      <w:pPr>
        <w:spacing w:line="578" w:lineRule="exact"/>
        <w:ind w:firstLine="640" w:firstLineChars="200"/>
        <w:rPr>
          <w:rStyle w:val="15"/>
          <w:rFonts w:eastAsia="方正仿宋_GBK"/>
          <w:b w:val="0"/>
          <w:color w:val="000000"/>
          <w:sz w:val="32"/>
          <w:szCs w:val="32"/>
        </w:rPr>
      </w:pPr>
      <w:r>
        <w:rPr>
          <w:rStyle w:val="15"/>
          <w:rFonts w:eastAsia="方正仿宋_GBK"/>
          <w:b w:val="0"/>
          <w:color w:val="000000"/>
          <w:sz w:val="32"/>
          <w:szCs w:val="32"/>
        </w:rPr>
        <w:t>2210201住房保障支出（类）住房改革支出（款）住房公积金（项）支出</w:t>
      </w:r>
      <w:r>
        <w:rPr>
          <w:rFonts w:eastAsia="方正仿宋_GBK"/>
          <w:sz w:val="32"/>
          <w:szCs w:val="32"/>
        </w:rPr>
        <w:t>决算数54.64万元，</w:t>
      </w:r>
      <w:r>
        <w:rPr>
          <w:rStyle w:val="15"/>
          <w:rFonts w:eastAsia="方正仿宋_GBK"/>
          <w:b w:val="0"/>
          <w:color w:val="000000"/>
          <w:sz w:val="32"/>
          <w:szCs w:val="32"/>
        </w:rPr>
        <w:t>完成预算100%，决算数等于预算数。</w:t>
      </w:r>
    </w:p>
    <w:p>
      <w:pPr>
        <w:numPr>
          <w:ilvl w:val="0"/>
          <w:numId w:val="5"/>
        </w:numPr>
        <w:spacing w:line="578" w:lineRule="exact"/>
        <w:ind w:left="0" w:firstLine="640" w:firstLineChars="200"/>
        <w:rPr>
          <w:rFonts w:eastAsia="方正仿宋_GBK"/>
          <w:sz w:val="32"/>
          <w:szCs w:val="32"/>
        </w:rPr>
      </w:pPr>
      <w:r>
        <w:rPr>
          <w:rStyle w:val="15"/>
          <w:rFonts w:eastAsia="方正仿宋_GBK"/>
          <w:b w:val="0"/>
          <w:color w:val="000000"/>
          <w:sz w:val="32"/>
          <w:szCs w:val="32"/>
        </w:rPr>
        <w:t>其他支出：</w:t>
      </w:r>
    </w:p>
    <w:p>
      <w:pPr>
        <w:spacing w:line="578" w:lineRule="exact"/>
        <w:ind w:firstLine="320" w:firstLineChars="100"/>
        <w:rPr>
          <w:rStyle w:val="15"/>
          <w:rFonts w:eastAsia="方正仿宋_GBK"/>
          <w:b w:val="0"/>
          <w:color w:val="000000"/>
          <w:sz w:val="32"/>
          <w:szCs w:val="32"/>
        </w:rPr>
      </w:pPr>
      <w:r>
        <w:rPr>
          <w:rStyle w:val="15"/>
          <w:rFonts w:eastAsia="方正仿宋_GBK"/>
          <w:b w:val="0"/>
          <w:color w:val="000000"/>
          <w:sz w:val="32"/>
          <w:szCs w:val="32"/>
        </w:rPr>
        <w:t>2299901其他支出（类）其他支出（款）其他支出（项）支出</w:t>
      </w:r>
      <w:r>
        <w:rPr>
          <w:rFonts w:eastAsia="方正仿宋_GBK"/>
          <w:sz w:val="32"/>
          <w:szCs w:val="32"/>
        </w:rPr>
        <w:t>决算数50万元，</w:t>
      </w:r>
      <w:r>
        <w:rPr>
          <w:rStyle w:val="15"/>
          <w:rFonts w:eastAsia="方正仿宋_GBK"/>
          <w:b w:val="0"/>
          <w:color w:val="000000"/>
          <w:sz w:val="32"/>
          <w:szCs w:val="32"/>
        </w:rPr>
        <w:t>完成预算100%，决算数等于预算数。</w:t>
      </w:r>
    </w:p>
    <w:p>
      <w:pPr>
        <w:tabs>
          <w:tab w:val="right" w:pos="8306"/>
        </w:tabs>
        <w:spacing w:line="578" w:lineRule="exact"/>
        <w:ind w:firstLine="640" w:firstLineChars="200"/>
        <w:outlineLvl w:val="1"/>
        <w:rPr>
          <w:rStyle w:val="18"/>
          <w:rFonts w:ascii="方正黑体_GBK" w:eastAsia="方正黑体_GBK" w:cs="方正黑体_GBK"/>
          <w:b w:val="0"/>
          <w:bCs w:val="0"/>
          <w:color w:val="000000"/>
        </w:rPr>
      </w:pPr>
      <w:bookmarkStart w:id="40" w:name="_Toc15396608"/>
      <w:bookmarkStart w:id="41" w:name="_Toc15377214"/>
      <w:r>
        <w:rPr>
          <w:rFonts w:hint="eastAsia" w:ascii="方正黑体_GBK" w:eastAsia="方正黑体_GBK" w:cs="方正黑体_GBK"/>
          <w:color w:val="000000"/>
          <w:sz w:val="32"/>
          <w:szCs w:val="32"/>
        </w:rPr>
        <w:t>六、一</w:t>
      </w:r>
      <w:r>
        <w:rPr>
          <w:rStyle w:val="18"/>
          <w:rFonts w:hint="eastAsia" w:ascii="方正黑体_GBK" w:eastAsia="方正黑体_GBK" w:cs="方正黑体_GBK"/>
          <w:b w:val="0"/>
          <w:bCs w:val="0"/>
          <w:color w:val="000000"/>
        </w:rPr>
        <w:t>般公共预算财政拨款基本支出决算情况说明</w:t>
      </w:r>
      <w:bookmarkEnd w:id="40"/>
      <w:bookmarkEnd w:id="41"/>
    </w:p>
    <w:p>
      <w:pPr>
        <w:spacing w:line="578" w:lineRule="exact"/>
        <w:ind w:firstLine="645"/>
        <w:rPr>
          <w:rFonts w:eastAsia="方正仿宋_GBK"/>
          <w:color w:val="000000"/>
          <w:sz w:val="32"/>
          <w:szCs w:val="32"/>
        </w:rPr>
      </w:pPr>
      <w:r>
        <w:rPr>
          <w:rFonts w:eastAsia="方正仿宋_GBK"/>
          <w:color w:val="000000"/>
          <w:sz w:val="32"/>
          <w:szCs w:val="32"/>
        </w:rPr>
        <w:t>2020年一般公共预算财政拨款基本支出1659.27万元，其中：</w:t>
      </w:r>
    </w:p>
    <w:p>
      <w:pPr>
        <w:spacing w:line="578" w:lineRule="exact"/>
        <w:ind w:firstLine="645"/>
        <w:rPr>
          <w:rFonts w:eastAsia="方正仿宋_GBK"/>
          <w:color w:val="000000"/>
          <w:sz w:val="32"/>
          <w:szCs w:val="32"/>
        </w:rPr>
      </w:pPr>
      <w:r>
        <w:rPr>
          <w:rFonts w:eastAsia="方正仿宋_GBK"/>
          <w:b/>
          <w:bCs/>
          <w:color w:val="000000"/>
          <w:sz w:val="32"/>
          <w:szCs w:val="32"/>
        </w:rPr>
        <w:t>人员经费1475.2万元，主要包括</w:t>
      </w:r>
      <w:r>
        <w:rPr>
          <w:rFonts w:eastAsia="方正仿宋_GBK"/>
          <w:color w:val="000000"/>
          <w:sz w:val="32"/>
          <w:szCs w:val="32"/>
        </w:rPr>
        <w:t>：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78" w:lineRule="exact"/>
        <w:ind w:firstLine="645"/>
        <w:rPr>
          <w:rFonts w:eastAsia="方正仿宋_GBK"/>
          <w:color w:val="000000"/>
          <w:sz w:val="32"/>
          <w:szCs w:val="32"/>
        </w:rPr>
      </w:pPr>
      <w:r>
        <w:rPr>
          <w:rFonts w:eastAsia="方正仿宋_GBK"/>
          <w:b/>
          <w:bCs/>
          <w:color w:val="000000"/>
          <w:sz w:val="32"/>
          <w:szCs w:val="32"/>
        </w:rPr>
        <w:t>日常公用经费184.07万元，主要包括：</w:t>
      </w:r>
      <w:r>
        <w:rPr>
          <w:rFonts w:eastAsia="方正仿宋_GBK"/>
          <w:color w:val="000000"/>
          <w:sz w:val="32"/>
          <w:szCs w:val="32"/>
        </w:rPr>
        <w:t>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Style w:val="3"/>
        <w:spacing w:before="0" w:after="0" w:line="578" w:lineRule="exact"/>
        <w:ind w:firstLine="640" w:firstLineChars="200"/>
        <w:rPr>
          <w:rFonts w:ascii="方正黑体_GBK" w:eastAsia="方正黑体_GBK" w:cs="方正黑体_GBK"/>
          <w:b w:val="0"/>
          <w:bCs w:val="0"/>
          <w:color w:val="000000"/>
        </w:rPr>
      </w:pPr>
      <w:bookmarkStart w:id="42" w:name="_Toc15377215"/>
      <w:bookmarkStart w:id="43" w:name="_Toc15396609"/>
      <w:r>
        <w:rPr>
          <w:rFonts w:ascii="方正黑体_GBK" w:eastAsia="方正黑体_GBK" w:cs="方正黑体_GBK"/>
          <w:b w:val="0"/>
          <w:bCs w:val="0"/>
          <w:color w:val="000000"/>
        </w:rPr>
        <w:t>七、“三公”经费财政拨款支出决算情况说明</w:t>
      </w:r>
      <w:bookmarkEnd w:id="42"/>
      <w:bookmarkEnd w:id="43"/>
    </w:p>
    <w:p>
      <w:pPr>
        <w:spacing w:line="578" w:lineRule="exact"/>
        <w:ind w:firstLine="640" w:firstLineChars="200"/>
        <w:outlineLvl w:val="2"/>
        <w:rPr>
          <w:rFonts w:ascii="方正楷体_GBK" w:eastAsia="方正楷体_GBK" w:cs="方正楷体_GBK"/>
          <w:color w:val="000000"/>
          <w:sz w:val="32"/>
          <w:szCs w:val="32"/>
        </w:rPr>
      </w:pPr>
      <w:bookmarkStart w:id="44" w:name="_Toc15377216"/>
      <w:r>
        <w:rPr>
          <w:rFonts w:hint="eastAsia" w:ascii="方正楷体_GBK" w:eastAsia="方正楷体_GBK" w:cs="方正楷体_GBK"/>
          <w:color w:val="000000"/>
          <w:sz w:val="32"/>
          <w:szCs w:val="32"/>
        </w:rPr>
        <w:t>（一）“三公”经费财政拨款支出决算总体情况说明</w:t>
      </w:r>
      <w:bookmarkEnd w:id="44"/>
    </w:p>
    <w:p>
      <w:pPr>
        <w:spacing w:line="578" w:lineRule="exact"/>
        <w:ind w:firstLine="640"/>
        <w:rPr>
          <w:rFonts w:eastAsia="方正仿宋_GBK"/>
          <w:color w:val="000000"/>
          <w:sz w:val="32"/>
          <w:szCs w:val="32"/>
        </w:rPr>
      </w:pPr>
      <w:r>
        <w:rPr>
          <w:rFonts w:eastAsia="方正仿宋_GBK"/>
          <w:color w:val="000000"/>
          <w:sz w:val="32"/>
          <w:szCs w:val="32"/>
        </w:rPr>
        <w:t>2020年“三公”经费财政拨款支出决算为5.03万元，完成预算94.91%，决算数比预算数减少5%，主要原因是严格控制了公务接待次数和标准。</w:t>
      </w:r>
    </w:p>
    <w:p>
      <w:pPr>
        <w:spacing w:line="578" w:lineRule="exact"/>
        <w:ind w:firstLine="640" w:firstLineChars="200"/>
        <w:outlineLvl w:val="2"/>
        <w:rPr>
          <w:rFonts w:ascii="方正楷体_GBK" w:eastAsia="方正楷体_GBK" w:cs="方正楷体_GBK"/>
          <w:color w:val="000000"/>
          <w:sz w:val="32"/>
          <w:szCs w:val="32"/>
        </w:rPr>
      </w:pPr>
      <w:bookmarkStart w:id="45" w:name="_Toc15377217"/>
      <w:r>
        <w:rPr>
          <w:rFonts w:ascii="方正楷体_GBK" w:eastAsia="方正楷体_GBK" w:cs="方正楷体_GBK"/>
          <w:color w:val="000000"/>
          <w:sz w:val="32"/>
          <w:szCs w:val="32"/>
        </w:rPr>
        <w:t>（二）“三公”经费财政拨款支出决算具体情况说明</w:t>
      </w:r>
      <w:bookmarkEnd w:id="45"/>
    </w:p>
    <w:p>
      <w:pPr>
        <w:spacing w:line="578" w:lineRule="exact"/>
        <w:ind w:firstLine="640"/>
        <w:rPr>
          <w:rFonts w:eastAsia="方正仿宋_GBK"/>
          <w:color w:val="000000"/>
          <w:sz w:val="32"/>
          <w:szCs w:val="32"/>
        </w:rPr>
      </w:pPr>
      <w:r>
        <w:rPr>
          <w:rFonts w:eastAsia="方正仿宋_GBK"/>
          <w:sz w:val="32"/>
          <w:szCs w:val="32"/>
        </w:rPr>
        <w:t>2020</w:t>
      </w:r>
      <w:r>
        <w:rPr>
          <w:rFonts w:eastAsia="方正仿宋_GBK"/>
          <w:color w:val="000000"/>
          <w:sz w:val="32"/>
          <w:szCs w:val="32"/>
        </w:rPr>
        <w:t>年“三公”经费财政拨款支出决算中，因公出国（境）费支出决算0万元，占0%；公务用车购置及运行维护费支出决算0万元，占0%；公务接待费支出决算5.03万元，占100%。具体情况如下：</w:t>
      </w:r>
    </w:p>
    <w:p>
      <w:pPr>
        <w:numPr>
          <w:ilvl w:val="0"/>
          <w:numId w:val="6"/>
        </w:numPr>
        <w:spacing w:line="578" w:lineRule="exact"/>
        <w:ind w:left="0" w:firstLine="640" w:firstLineChars="200"/>
        <w:rPr>
          <w:rFonts w:eastAsia="方正仿宋_GBK"/>
          <w:color w:val="000000"/>
          <w:sz w:val="32"/>
          <w:szCs w:val="32"/>
        </w:rPr>
      </w:pPr>
      <w:r>
        <w:rPr>
          <w:rFonts w:eastAsia="方正仿宋_GBK"/>
          <w:color w:val="000000"/>
          <w:sz w:val="32"/>
          <w:szCs w:val="32"/>
        </w:rPr>
        <w:t>因公出国（境）经费支出0万元，</w:t>
      </w:r>
      <w:r>
        <w:rPr>
          <w:rStyle w:val="15"/>
          <w:rFonts w:eastAsia="方正仿宋_GBK"/>
          <w:b w:val="0"/>
          <w:color w:val="000000"/>
          <w:sz w:val="32"/>
          <w:szCs w:val="32"/>
        </w:rPr>
        <w:t>完成预算100%。</w:t>
      </w:r>
      <w:r>
        <w:rPr>
          <w:rFonts w:eastAsia="方正仿宋_GBK"/>
          <w:color w:val="000000"/>
          <w:sz w:val="32"/>
          <w:szCs w:val="32"/>
        </w:rPr>
        <w:t>全年安排因公出国（境）团组0次，出国（境）0人。</w:t>
      </w:r>
    </w:p>
    <w:p>
      <w:pPr>
        <w:numPr>
          <w:ilvl w:val="0"/>
          <w:numId w:val="6"/>
        </w:numPr>
        <w:spacing w:line="578" w:lineRule="exact"/>
        <w:ind w:left="0" w:firstLine="640" w:firstLineChars="200"/>
        <w:rPr>
          <w:rFonts w:eastAsia="方正仿宋_GBK"/>
          <w:color w:val="000000"/>
          <w:sz w:val="32"/>
          <w:szCs w:val="32"/>
        </w:rPr>
      </w:pPr>
      <w:r>
        <w:rPr>
          <w:rFonts w:eastAsia="方正仿宋_GBK"/>
          <w:color w:val="000000"/>
          <w:sz w:val="32"/>
          <w:szCs w:val="32"/>
        </w:rPr>
        <w:t>公务用车购置及运行维护费支出0万元,</w:t>
      </w:r>
      <w:r>
        <w:rPr>
          <w:rStyle w:val="15"/>
          <w:rFonts w:eastAsia="方正仿宋_GBK"/>
          <w:b w:val="0"/>
          <w:color w:val="000000"/>
          <w:sz w:val="32"/>
          <w:szCs w:val="32"/>
        </w:rPr>
        <w:t>完成预算100%。年初无预算</w:t>
      </w:r>
      <w:r>
        <w:rPr>
          <w:rFonts w:eastAsia="方正仿宋_GBK"/>
          <w:color w:val="000000"/>
          <w:sz w:val="32"/>
          <w:szCs w:val="32"/>
        </w:rPr>
        <w:t>公务用车购置及运行维护费。</w:t>
      </w:r>
    </w:p>
    <w:p>
      <w:pPr>
        <w:spacing w:line="578" w:lineRule="exact"/>
        <w:ind w:firstLine="640" w:firstLineChars="200"/>
        <w:rPr>
          <w:rFonts w:eastAsia="方正仿宋_GBK"/>
          <w:color w:val="000000"/>
          <w:sz w:val="32"/>
          <w:szCs w:val="32"/>
        </w:rPr>
      </w:pPr>
      <w:r>
        <w:rPr>
          <w:rFonts w:eastAsia="方正仿宋_GBK"/>
          <w:color w:val="000000"/>
          <w:sz w:val="32"/>
          <w:szCs w:val="32"/>
        </w:rPr>
        <w:t>其中：公务用车购置支出0万元。全年按规定更新购置公务用车0辆，其中：轿车0辆、金额0万元，越野车0辆、金额0万元，载客汽车0辆、金额0万元，截至2018年12月底，单位公务用车0辆。</w:t>
      </w:r>
    </w:p>
    <w:p>
      <w:pPr>
        <w:numPr>
          <w:ilvl w:val="0"/>
          <w:numId w:val="6"/>
        </w:numPr>
        <w:spacing w:line="578" w:lineRule="exact"/>
        <w:ind w:left="0" w:firstLine="640" w:firstLineChars="200"/>
        <w:rPr>
          <w:rFonts w:eastAsia="方正仿宋_GBK"/>
          <w:sz w:val="32"/>
          <w:szCs w:val="32"/>
        </w:rPr>
      </w:pPr>
      <w:r>
        <w:rPr>
          <w:rFonts w:eastAsia="方正仿宋_GBK"/>
          <w:color w:val="000000"/>
          <w:sz w:val="32"/>
          <w:szCs w:val="32"/>
        </w:rPr>
        <w:t>公务接待费支出5.03万元，</w:t>
      </w:r>
      <w:r>
        <w:rPr>
          <w:rStyle w:val="15"/>
          <w:rFonts w:eastAsia="方正仿宋_GBK"/>
          <w:b w:val="0"/>
          <w:color w:val="000000"/>
          <w:sz w:val="32"/>
          <w:szCs w:val="32"/>
        </w:rPr>
        <w:t>完成预算94.91%。</w:t>
      </w:r>
      <w:r>
        <w:rPr>
          <w:rFonts w:eastAsia="方正仿宋_GBK"/>
          <w:color w:val="000000"/>
          <w:sz w:val="32"/>
          <w:szCs w:val="32"/>
        </w:rPr>
        <w:t>公务接待费支出决算比2019年减少0.62万元，下降10.97%。主要原因是三里坪街道狠抓落实，对公务接待费用实行集体会签制，事前先由需接待部门的负责人、分管领导向主要领导请示，凡是接待一律在机关伙食团就餐，并严格控制接待标准和陪同人员，报销时必须同时有街道办主任和分管领导共同签字的公务接待就餐单、公函、及菜单，财政所才予以报销。</w:t>
      </w:r>
    </w:p>
    <w:p>
      <w:pPr>
        <w:spacing w:line="578" w:lineRule="exact"/>
        <w:ind w:firstLine="640" w:firstLineChars="200"/>
        <w:rPr>
          <w:rFonts w:eastAsia="方正仿宋_GBK"/>
          <w:sz w:val="32"/>
          <w:szCs w:val="32"/>
        </w:rPr>
      </w:pPr>
      <w:r>
        <w:rPr>
          <w:rFonts w:eastAsia="方正仿宋_GBK"/>
          <w:sz w:val="32"/>
          <w:szCs w:val="32"/>
        </w:rPr>
        <w:t>主要用于执行公务、开展业务活动开支的交通费、住宿费、用餐费等。其中：外事接待费支出0万元。国内公务接待83批次，950人，共计支出5.03万元，具体开支内容包括：开展工作交流，迎检，上级工作指导等方面工作。</w:t>
      </w:r>
    </w:p>
    <w:p>
      <w:pPr>
        <w:spacing w:line="578" w:lineRule="exact"/>
        <w:ind w:firstLine="640"/>
        <w:outlineLvl w:val="1"/>
        <w:rPr>
          <w:rFonts w:eastAsia="方正仿宋_GBK"/>
          <w:color w:val="000000"/>
          <w:sz w:val="32"/>
          <w:szCs w:val="32"/>
        </w:rPr>
      </w:pPr>
      <w:r>
        <w:rPr>
          <w:rFonts w:eastAsia="方正仿宋_GBK"/>
          <w:color w:val="000000"/>
          <w:sz w:val="32"/>
          <w:szCs w:val="32"/>
        </w:rPr>
        <w:t>外事接待支出0元，外事接待0批次，0人，共计支出0万元。</w:t>
      </w:r>
    </w:p>
    <w:p>
      <w:pPr>
        <w:spacing w:line="578" w:lineRule="exact"/>
        <w:ind w:firstLine="640" w:firstLineChars="200"/>
        <w:rPr>
          <w:rFonts w:eastAsia="方正仿宋_GBK"/>
          <w:sz w:val="32"/>
          <w:szCs w:val="32"/>
        </w:rPr>
      </w:pPr>
      <w:r>
        <w:rPr>
          <w:rFonts w:eastAsia="方正仿宋_GBK"/>
          <w:color w:val="000000"/>
          <w:sz w:val="32"/>
          <w:szCs w:val="32"/>
        </w:rPr>
        <w:t>其他国内公务接待支出0万元。</w:t>
      </w:r>
    </w:p>
    <w:p>
      <w:pPr>
        <w:pStyle w:val="3"/>
        <w:spacing w:before="0" w:after="0" w:line="578" w:lineRule="exact"/>
        <w:ind w:firstLine="640" w:firstLineChars="200"/>
        <w:rPr>
          <w:rFonts w:ascii="方正黑体_GBK" w:eastAsia="方正黑体_GBK" w:cs="方正黑体_GBK"/>
          <w:b w:val="0"/>
          <w:bCs w:val="0"/>
          <w:color w:val="000000"/>
        </w:rPr>
      </w:pPr>
      <w:bookmarkStart w:id="46" w:name="_Toc15396610"/>
      <w:bookmarkStart w:id="47" w:name="_Toc15377218"/>
      <w:r>
        <w:rPr>
          <w:rFonts w:ascii="方正黑体_GBK" w:eastAsia="方正黑体_GBK" w:cs="方正黑体_GBK"/>
          <w:b w:val="0"/>
          <w:bCs w:val="0"/>
          <w:color w:val="000000"/>
        </w:rPr>
        <w:t>八、政府性基金预算支出决算情况说明</w:t>
      </w:r>
      <w:bookmarkEnd w:id="46"/>
      <w:bookmarkEnd w:id="47"/>
    </w:p>
    <w:p>
      <w:pPr>
        <w:spacing w:line="578" w:lineRule="exact"/>
        <w:ind w:firstLine="640"/>
        <w:rPr>
          <w:rFonts w:eastAsia="方正仿宋_GBK"/>
          <w:color w:val="000000"/>
          <w:sz w:val="32"/>
          <w:szCs w:val="32"/>
        </w:rPr>
      </w:pPr>
      <w:r>
        <w:rPr>
          <w:rFonts w:eastAsia="方正仿宋_GBK"/>
          <w:color w:val="000000"/>
          <w:sz w:val="32"/>
          <w:szCs w:val="32"/>
        </w:rPr>
        <w:t>2020年政府性基金预算拨款支出6268.73万元。</w:t>
      </w:r>
    </w:p>
    <w:p>
      <w:pPr>
        <w:pStyle w:val="3"/>
        <w:spacing w:before="0" w:after="0" w:line="578" w:lineRule="exact"/>
        <w:ind w:firstLine="640" w:firstLineChars="200"/>
        <w:rPr>
          <w:rFonts w:ascii="方正黑体_GBK" w:eastAsia="方正黑体_GBK" w:cs="方正黑体_GBK"/>
          <w:b w:val="0"/>
          <w:bCs w:val="0"/>
          <w:color w:val="000000"/>
        </w:rPr>
      </w:pPr>
      <w:bookmarkStart w:id="48" w:name="_Toc15396611"/>
      <w:bookmarkStart w:id="49" w:name="_Toc15377219"/>
      <w:r>
        <w:rPr>
          <w:rFonts w:ascii="方正黑体_GBK" w:eastAsia="方正黑体_GBK" w:cs="方正黑体_GBK"/>
          <w:b w:val="0"/>
          <w:bCs w:val="0"/>
          <w:color w:val="000000"/>
        </w:rPr>
        <w:t>九、国有资本经营预算支出决算情况说明</w:t>
      </w:r>
      <w:bookmarkEnd w:id="48"/>
      <w:bookmarkEnd w:id="49"/>
    </w:p>
    <w:p>
      <w:pPr>
        <w:spacing w:line="578" w:lineRule="exact"/>
        <w:ind w:firstLine="640"/>
        <w:rPr>
          <w:rFonts w:eastAsia="方正仿宋_GBK"/>
          <w:color w:val="000000"/>
          <w:sz w:val="32"/>
          <w:szCs w:val="32"/>
        </w:rPr>
      </w:pPr>
      <w:r>
        <w:rPr>
          <w:rFonts w:eastAsia="方正仿宋_GBK"/>
          <w:color w:val="000000"/>
          <w:sz w:val="32"/>
          <w:szCs w:val="32"/>
        </w:rPr>
        <w:t>2020年国有资本经营预算拨款支出0万元。</w:t>
      </w:r>
    </w:p>
    <w:p>
      <w:pPr>
        <w:pStyle w:val="3"/>
        <w:spacing w:before="0" w:after="0" w:line="578" w:lineRule="exact"/>
        <w:ind w:firstLine="640" w:firstLineChars="200"/>
        <w:rPr>
          <w:rFonts w:ascii="方正黑体_GBK" w:eastAsia="方正黑体_GBK" w:cs="方正黑体_GBK"/>
          <w:b w:val="0"/>
          <w:bCs w:val="0"/>
          <w:color w:val="000000"/>
        </w:rPr>
      </w:pPr>
      <w:r>
        <w:rPr>
          <w:rFonts w:hint="eastAsia" w:ascii="方正黑体_GBK" w:eastAsia="方正黑体_GBK" w:cs="方正黑体_GBK"/>
          <w:b w:val="0"/>
          <w:bCs w:val="0"/>
          <w:color w:val="000000"/>
        </w:rPr>
        <w:t>十、</w:t>
      </w:r>
      <w:r>
        <w:rPr>
          <w:rFonts w:ascii="方正黑体_GBK" w:eastAsia="方正黑体_GBK" w:cs="方正黑体_GBK"/>
          <w:b w:val="0"/>
          <w:bCs w:val="0"/>
          <w:color w:val="000000"/>
        </w:rPr>
        <w:t>预算绩效情况</w:t>
      </w:r>
      <w:r>
        <w:rPr>
          <w:rFonts w:hint="eastAsia" w:ascii="方正黑体_GBK" w:eastAsia="方正黑体_GBK" w:cs="方正黑体_GBK"/>
          <w:b w:val="0"/>
          <w:bCs w:val="0"/>
          <w:color w:val="000000"/>
        </w:rPr>
        <w:t>说明</w:t>
      </w:r>
    </w:p>
    <w:p>
      <w:pPr>
        <w:spacing w:line="578" w:lineRule="exact"/>
        <w:ind w:firstLine="627" w:firstLineChars="196"/>
        <w:rPr>
          <w:rFonts w:ascii="方正楷体_GBK" w:eastAsia="方正楷体_GBK" w:cs="方正楷体_GBK"/>
          <w:sz w:val="32"/>
          <w:szCs w:val="32"/>
        </w:rPr>
      </w:pPr>
      <w:r>
        <w:rPr>
          <w:rFonts w:ascii="方正楷体_GBK" w:eastAsia="方正楷体_GBK" w:cs="方正楷体_GBK"/>
          <w:color w:val="000000"/>
          <w:sz w:val="32"/>
          <w:szCs w:val="32"/>
        </w:rPr>
        <w:t>（</w:t>
      </w:r>
      <w:r>
        <w:rPr>
          <w:rFonts w:hint="eastAsia" w:ascii="方正楷体_GBK" w:eastAsia="方正楷体_GBK" w:cs="方正楷体_GBK"/>
          <w:color w:val="000000"/>
          <w:sz w:val="32"/>
          <w:szCs w:val="32"/>
        </w:rPr>
        <w:t>一</w:t>
      </w:r>
      <w:r>
        <w:rPr>
          <w:rFonts w:ascii="方正楷体_GBK" w:eastAsia="方正楷体_GBK" w:cs="方正楷体_GBK"/>
          <w:color w:val="000000"/>
          <w:sz w:val="32"/>
          <w:szCs w:val="32"/>
        </w:rPr>
        <w:t>）</w:t>
      </w:r>
      <w:r>
        <w:rPr>
          <w:rFonts w:hint="eastAsia" w:ascii="方正楷体_GBK" w:eastAsia="方正楷体_GBK" w:cs="方正楷体_GBK"/>
          <w:sz w:val="32"/>
          <w:szCs w:val="32"/>
        </w:rPr>
        <w:t>预算绩效管理工作开展情况</w:t>
      </w:r>
    </w:p>
    <w:p>
      <w:pPr>
        <w:spacing w:line="578" w:lineRule="exact"/>
        <w:ind w:firstLine="640" w:firstLineChars="200"/>
        <w:rPr>
          <w:rFonts w:eastAsia="方正仿宋_GBK"/>
          <w:sz w:val="32"/>
          <w:szCs w:val="32"/>
        </w:rPr>
      </w:pPr>
      <w:r>
        <w:rPr>
          <w:rFonts w:eastAsia="方正仿宋_GBK"/>
          <w:sz w:val="32"/>
          <w:szCs w:val="32"/>
        </w:rPr>
        <w:t>根据预算绩效管理要求，本单位在年初预算编制阶段，组织对预算项目开展了预算事前绩效评估，对3个项目编制了绩效目标，预算执行过程中，选取3个项目开展绩效监控，年终执行完毕后，对3个项目开展了绩效目标完成情况梳理填报。</w:t>
      </w:r>
    </w:p>
    <w:p>
      <w:pPr>
        <w:spacing w:line="578" w:lineRule="exact"/>
        <w:ind w:firstLine="640" w:firstLineChars="200"/>
        <w:rPr>
          <w:rFonts w:eastAsia="方正仿宋_GBK"/>
          <w:sz w:val="32"/>
          <w:szCs w:val="32"/>
        </w:rPr>
      </w:pPr>
      <w:r>
        <w:rPr>
          <w:rFonts w:eastAsia="方正仿宋_GBK"/>
          <w:sz w:val="32"/>
          <w:szCs w:val="32"/>
        </w:rPr>
        <w:t>本部门按要求对2020年部门整体支出开展绩效自评，从评价情况来看自评结果得分100分，但也存在一些问题：一是项目进度缓慢，归档不及时。二是对项目工程及时跟进，确保项目工程完成，下一步改进措施：一是加快项目进度，二是及时对项目资料进行归档。</w:t>
      </w:r>
    </w:p>
    <w:p>
      <w:pPr>
        <w:spacing w:line="578" w:lineRule="exact"/>
        <w:ind w:firstLine="640" w:firstLineChars="200"/>
        <w:rPr>
          <w:rFonts w:eastAsia="方正仿宋_GBK"/>
          <w:sz w:val="32"/>
          <w:szCs w:val="32"/>
        </w:rPr>
      </w:pPr>
      <w:r>
        <w:rPr>
          <w:rFonts w:ascii="方正楷体_GBK" w:eastAsia="方正楷体_GBK" w:cs="方正楷体_GBK"/>
          <w:color w:val="000000"/>
          <w:sz w:val="32"/>
          <w:szCs w:val="32"/>
        </w:rPr>
        <w:t>（</w:t>
      </w:r>
      <w:r>
        <w:rPr>
          <w:rFonts w:hint="eastAsia" w:ascii="方正楷体_GBK" w:eastAsia="方正楷体_GBK" w:cs="方正楷体_GBK"/>
          <w:color w:val="000000"/>
          <w:sz w:val="32"/>
          <w:szCs w:val="32"/>
        </w:rPr>
        <w:t>1</w:t>
      </w:r>
      <w:r>
        <w:rPr>
          <w:rFonts w:ascii="方正楷体_GBK" w:eastAsia="方正楷体_GBK" w:cs="方正楷体_GBK"/>
          <w:color w:val="000000"/>
          <w:sz w:val="32"/>
          <w:szCs w:val="32"/>
        </w:rPr>
        <w:t>）</w:t>
      </w:r>
      <w:r>
        <w:rPr>
          <w:rFonts w:eastAsia="方正仿宋_GBK"/>
          <w:sz w:val="32"/>
          <w:szCs w:val="32"/>
        </w:rPr>
        <w:t>财力保障环境综合治理项目绩效目标完成情况综述。项目全年预算数42万元，执行数42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创造一个美丽和谐的环境。</w:t>
      </w: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tcMar>
              <w:top w:w="15" w:type="dxa"/>
              <w:left w:w="15" w:type="dxa"/>
              <w:right w:w="15" w:type="dxa"/>
            </w:tcMar>
            <w:vAlign w:val="center"/>
          </w:tcPr>
          <w:tbl>
            <w:tblPr>
              <w:tblStyle w:val="13"/>
              <w:tblpPr w:leftFromText="180" w:rightFromText="180" w:vertAnchor="text" w:horzAnchor="page" w:tblpX="642" w:tblpY="-311"/>
              <w:tblOverlap w:val="never"/>
              <w:tblW w:w="89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7"/>
              <w:gridCol w:w="764"/>
              <w:gridCol w:w="370"/>
              <w:gridCol w:w="655"/>
              <w:gridCol w:w="2392"/>
              <w:gridCol w:w="2394"/>
              <w:gridCol w:w="1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8930" w:type="dxa"/>
                  <w:gridSpan w:val="7"/>
                  <w:tcMar>
                    <w:top w:w="15" w:type="dxa"/>
                    <w:left w:w="15" w:type="dxa"/>
                    <w:right w:w="15" w:type="dxa"/>
                  </w:tcMar>
                  <w:vAlign w:val="center"/>
                </w:tcPr>
                <w:p>
                  <w:pPr>
                    <w:pStyle w:val="20"/>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项目支出绩效目标完成情况表（1）</w:t>
                  </w:r>
                  <w:r>
                    <w:rPr>
                      <w:rFonts w:eastAsia="方正仿宋_GBK"/>
                      <w:color w:val="000000"/>
                      <w:kern w:val="0"/>
                      <w:sz w:val="32"/>
                      <w:szCs w:val="32"/>
                    </w:rPr>
                    <w:br w:type="textWrapping"/>
                  </w:r>
                  <w:r>
                    <w:rPr>
                      <w:rFonts w:eastAsia="方正仿宋_GBK"/>
                      <w:color w:val="000000"/>
                      <w:kern w:val="0"/>
                      <w:sz w:val="32"/>
                      <w:szCs w:val="32"/>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70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项目名称</w:t>
                  </w:r>
                </w:p>
              </w:tc>
              <w:tc>
                <w:tcPr>
                  <w:tcW w:w="722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三里坪街道办事处2020年度财力保障环境综合治理项目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70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预算单位</w:t>
                  </w:r>
                </w:p>
              </w:tc>
              <w:tc>
                <w:tcPr>
                  <w:tcW w:w="722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达州市达川区人民政府三里坪街道办事处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预算执行情况(万元)</w:t>
                  </w:r>
                </w:p>
              </w:tc>
              <w:tc>
                <w:tcPr>
                  <w:tcW w:w="1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预算数:</w:t>
                  </w:r>
                </w:p>
              </w:tc>
              <w:tc>
                <w:tcPr>
                  <w:tcW w:w="30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42万元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执行数:</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67" w:type="dxa"/>
                  <w:vMerge w:val="continue"/>
                  <w:tcBorders>
                    <w:top w:val="single" w:color="000000" w:sz="4" w:space="0"/>
                    <w:left w:val="single" w:color="000000" w:sz="4" w:space="0"/>
                    <w:bottom w:val="single" w:color="000000" w:sz="4" w:space="0"/>
                    <w:right w:val="single" w:color="000000" w:sz="4" w:space="0"/>
                  </w:tcBorders>
                  <w:vAlign w:val="center"/>
                </w:tcPr>
                <w:p/>
              </w:tc>
              <w:tc>
                <w:tcPr>
                  <w:tcW w:w="1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其中-财政拨款:</w:t>
                  </w:r>
                </w:p>
              </w:tc>
              <w:tc>
                <w:tcPr>
                  <w:tcW w:w="30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42万元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其中-财政拨款:</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42万元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567" w:type="dxa"/>
                  <w:vMerge w:val="continue"/>
                  <w:tcBorders>
                    <w:top w:val="single" w:color="000000" w:sz="4" w:space="0"/>
                    <w:left w:val="single" w:color="000000" w:sz="4" w:space="0"/>
                    <w:bottom w:val="single" w:color="000000" w:sz="4" w:space="0"/>
                    <w:right w:val="single" w:color="000000" w:sz="4" w:space="0"/>
                  </w:tcBorders>
                  <w:vAlign w:val="center"/>
                </w:tcPr>
                <w:p/>
              </w:tc>
              <w:tc>
                <w:tcPr>
                  <w:tcW w:w="113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其它资金:</w:t>
                  </w:r>
                </w:p>
              </w:tc>
              <w:tc>
                <w:tcPr>
                  <w:tcW w:w="304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其它资金:</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8" w:lineRule="exact"/>
                    <w:jc w:val="center"/>
                    <w:rPr>
                      <w:rFonts w:eastAsia="方正仿宋_GBK"/>
                      <w:color w:val="000000"/>
                      <w:sz w:val="32"/>
                      <w:szCs w:val="32"/>
                    </w:rPr>
                  </w:pPr>
                  <w:r>
                    <w:rPr>
                      <w:rFonts w:eastAsia="方正仿宋_GBK"/>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年度目标完成情况</w:t>
                  </w:r>
                </w:p>
              </w:tc>
              <w:tc>
                <w:tcPr>
                  <w:tcW w:w="418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预期目标</w:t>
                  </w:r>
                </w:p>
              </w:tc>
              <w:tc>
                <w:tcPr>
                  <w:tcW w:w="41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567" w:type="dxa"/>
                  <w:vMerge w:val="continue"/>
                  <w:tcBorders>
                    <w:top w:val="single" w:color="000000" w:sz="4" w:space="0"/>
                    <w:left w:val="single" w:color="000000" w:sz="4" w:space="0"/>
                    <w:bottom w:val="single" w:color="000000" w:sz="4" w:space="0"/>
                    <w:right w:val="single" w:color="000000" w:sz="4" w:space="0"/>
                  </w:tcBorders>
                  <w:vAlign w:val="center"/>
                </w:tcPr>
                <w:p/>
              </w:tc>
              <w:tc>
                <w:tcPr>
                  <w:tcW w:w="4181"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left"/>
                    <w:textAlignment w:val="center"/>
                    <w:rPr>
                      <w:rFonts w:eastAsia="方正仿宋_GBK"/>
                      <w:color w:val="000000"/>
                      <w:sz w:val="32"/>
                      <w:szCs w:val="32"/>
                    </w:rPr>
                  </w:pPr>
                  <w:r>
                    <w:rPr>
                      <w:rFonts w:eastAsia="方正仿宋_GBK"/>
                      <w:color w:val="000000"/>
                      <w:sz w:val="32"/>
                      <w:szCs w:val="32"/>
                    </w:rPr>
                    <w:t>推进环保节能治理，建立健全农村生活垃圾处理长效机制，深入开展环境污染和面源污染治理。</w:t>
                  </w:r>
                  <w:r>
                    <w:rPr>
                      <w:rFonts w:eastAsia="方正仿宋_GBK"/>
                      <w:color w:val="000000"/>
                      <w:sz w:val="32"/>
                      <w:szCs w:val="32"/>
                    </w:rPr>
                    <w:tab/>
                  </w:r>
                  <w:r>
                    <w:rPr>
                      <w:rFonts w:eastAsia="方正仿宋_GBK"/>
                      <w:color w:val="000000"/>
                      <w:sz w:val="32"/>
                      <w:szCs w:val="32"/>
                    </w:rPr>
                    <w:tab/>
                  </w:r>
                  <w:r>
                    <w:rPr>
                      <w:rFonts w:eastAsia="方正仿宋_GBK"/>
                      <w:color w:val="000000"/>
                      <w:sz w:val="32"/>
                      <w:szCs w:val="32"/>
                    </w:rPr>
                    <w:tab/>
                  </w:r>
                </w:p>
              </w:tc>
              <w:tc>
                <w:tcPr>
                  <w:tcW w:w="41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绩效指标完成情况</w:t>
                  </w: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一级指标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预期指标值(包含数字及文字描述)</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567" w:type="dxa"/>
                  <w:vMerge w:val="continue"/>
                  <w:tcBorders>
                    <w:top w:val="single" w:color="000000" w:sz="4" w:space="0"/>
                    <w:left w:val="single" w:color="000000" w:sz="4" w:space="0"/>
                    <w:bottom w:val="single" w:color="000000" w:sz="4" w:space="0"/>
                    <w:right w:val="single" w:color="000000" w:sz="4" w:space="0"/>
                  </w:tcBorders>
                  <w:vAlign w:val="center"/>
                </w:tc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落实社区保洁员3名，各村保洁员1名、宣传标语不低于24幅，会议每月一次</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已完成落实社区保洁员3名，各村保洁员1名、宣传标语不低于24幅，会议每月一次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567" w:type="dxa"/>
                  <w:vMerge w:val="continue"/>
                  <w:tcBorders>
                    <w:top w:val="single" w:color="000000" w:sz="4" w:space="0"/>
                    <w:left w:val="single" w:color="000000" w:sz="4" w:space="0"/>
                    <w:bottom w:val="single" w:color="000000" w:sz="4" w:space="0"/>
                    <w:right w:val="single" w:color="000000" w:sz="4" w:space="0"/>
                  </w:tcBorders>
                  <w:vAlign w:val="center"/>
                </w:tc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做到场镇和村主要交通路干净，无污水，无垃圾。天天有人清扫做到垃圾日清，及时将垃圾运往佳境环保做无害化处理。</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已完成做到场镇和村主要交通路干净，无污水，无垃圾。天天有人清扫做到垃圾日清，及时将垃圾运往佳境环保做无害化处理。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567" w:type="dxa"/>
                  <w:vMerge w:val="continue"/>
                  <w:tcBorders>
                    <w:top w:val="single" w:color="000000" w:sz="4" w:space="0"/>
                    <w:left w:val="single" w:color="000000" w:sz="4" w:space="0"/>
                    <w:bottom w:val="single" w:color="000000" w:sz="4" w:space="0"/>
                    <w:right w:val="single" w:color="000000" w:sz="4" w:space="0"/>
                  </w:tcBorders>
                  <w:vAlign w:val="center"/>
                </w:tc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目标任务完成率达100%</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567" w:type="dxa"/>
                  <w:vMerge w:val="continue"/>
                  <w:tcBorders>
                    <w:top w:val="single" w:color="000000" w:sz="4" w:space="0"/>
                    <w:left w:val="single" w:color="000000" w:sz="4" w:space="0"/>
                    <w:bottom w:val="single" w:color="000000" w:sz="4" w:space="0"/>
                    <w:right w:val="single" w:color="000000" w:sz="4" w:space="0"/>
                  </w:tcBorders>
                  <w:vAlign w:val="center"/>
                </w:tc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kern w:val="0"/>
                      <w:sz w:val="32"/>
                      <w:szCs w:val="32"/>
                    </w:rPr>
                  </w:pPr>
                  <w:r>
                    <w:rPr>
                      <w:rFonts w:eastAsia="方正仿宋_GBK"/>
                      <w:color w:val="000000"/>
                      <w:kern w:val="0"/>
                      <w:sz w:val="32"/>
                      <w:szCs w:val="32"/>
                    </w:rPr>
                    <w:t>项目完成指标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严格按相关要求报账、严格按相关要求报账、严格按相关要求报账</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严格按相关要求报账、严格按相关要求报账、严格按相关要求报账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567" w:type="dxa"/>
                  <w:vMerge w:val="continue"/>
                  <w:tcBorders>
                    <w:top w:val="single" w:color="000000" w:sz="4" w:space="0"/>
                    <w:left w:val="single" w:color="000000" w:sz="4" w:space="0"/>
                    <w:bottom w:val="single" w:color="000000" w:sz="4" w:space="0"/>
                    <w:right w:val="single" w:color="000000" w:sz="4" w:space="0"/>
                  </w:tcBorders>
                  <w:vAlign w:val="center"/>
                </w:tc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kern w:val="0"/>
                      <w:sz w:val="32"/>
                      <w:szCs w:val="32"/>
                    </w:rPr>
                  </w:pPr>
                  <w:r>
                    <w:rPr>
                      <w:rFonts w:eastAsia="方正仿宋_GBK"/>
                      <w:color w:val="000000"/>
                      <w:kern w:val="0"/>
                      <w:sz w:val="32"/>
                      <w:szCs w:val="32"/>
                    </w:rPr>
                    <w:t>项目效益指标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为外来投资商创建一个干净、整治的投资环境，提升五四招商引资能力。</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567" w:type="dxa"/>
                  <w:vMerge w:val="continue"/>
                  <w:tcBorders>
                    <w:top w:val="single" w:color="000000" w:sz="4" w:space="0"/>
                    <w:left w:val="single" w:color="000000" w:sz="4" w:space="0"/>
                    <w:bottom w:val="single" w:color="000000" w:sz="4" w:space="0"/>
                    <w:right w:val="single" w:color="000000" w:sz="4" w:space="0"/>
                  </w:tcBorders>
                  <w:vAlign w:val="center"/>
                </w:tc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项目效益指标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环境卫生整治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改善人居环境，提升群众幸福生活指数</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改善了群众的人居环境，提升了幸福生活 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567" w:type="dxa"/>
                  <w:vMerge w:val="continue"/>
                  <w:tcBorders>
                    <w:top w:val="single" w:color="000000" w:sz="4" w:space="0"/>
                    <w:left w:val="single" w:color="000000" w:sz="4" w:space="0"/>
                    <w:bottom w:val="single" w:color="000000" w:sz="4" w:space="0"/>
                    <w:right w:val="single" w:color="000000" w:sz="4" w:space="0"/>
                  </w:tcBorders>
                  <w:vAlign w:val="center"/>
                </w:tc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项目效益指标</w:t>
                  </w:r>
                  <w:r>
                    <w:rPr>
                      <w:rFonts w:eastAsia="方正仿宋_GBK"/>
                      <w:color w:val="000000"/>
                      <w:sz w:val="32"/>
                      <w:szCs w:val="32"/>
                    </w:rPr>
                    <w:t>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textAlignment w:val="center"/>
                    <w:rPr>
                      <w:rFonts w:eastAsia="方正仿宋_GBK"/>
                      <w:color w:val="000000"/>
                      <w:sz w:val="32"/>
                      <w:szCs w:val="32"/>
                    </w:rPr>
                  </w:pPr>
                  <w:r>
                    <w:rPr>
                      <w:rFonts w:eastAsia="方正仿宋_GBK"/>
                      <w:color w:val="000000"/>
                      <w:sz w:val="32"/>
                      <w:szCs w:val="32"/>
                    </w:rPr>
                    <w:t xml:space="preserve"> 垃圾日清，迅速处置</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做到了垃圾日清，垃圾池周清。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567" w:type="dxa"/>
                  <w:vMerge w:val="continue"/>
                  <w:tcBorders>
                    <w:top w:val="single" w:color="000000" w:sz="4" w:space="0"/>
                    <w:left w:val="single" w:color="000000" w:sz="4" w:space="0"/>
                    <w:bottom w:val="single" w:color="000000" w:sz="4" w:space="0"/>
                    <w:right w:val="single" w:color="000000" w:sz="4" w:space="0"/>
                  </w:tcBorders>
                  <w:vAlign w:val="center"/>
                </w:tc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项目效益指标</w:t>
                  </w:r>
                  <w:r>
                    <w:rPr>
                      <w:rFonts w:eastAsia="方正仿宋_GBK"/>
                      <w:color w:val="000000"/>
                      <w:sz w:val="32"/>
                      <w:szCs w:val="32"/>
                    </w:rPr>
                    <w:t>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长期保障工作平稳进行</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促进了全镇环境整治的发展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567" w:type="dxa"/>
                  <w:vMerge w:val="continue"/>
                  <w:tcBorders>
                    <w:top w:val="single" w:color="000000" w:sz="4" w:space="0"/>
                    <w:left w:val="single" w:color="000000" w:sz="4" w:space="0"/>
                    <w:bottom w:val="single" w:color="000000" w:sz="4" w:space="0"/>
                    <w:right w:val="single" w:color="000000" w:sz="4" w:space="0"/>
                  </w:tcBorders>
                  <w:vAlign w:val="center"/>
                </w:tcPr>
                <w:p/>
              </w:tc>
              <w:tc>
                <w:tcPr>
                  <w:tcW w:w="7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满意度指标</w:t>
                  </w:r>
                </w:p>
              </w:tc>
              <w:tc>
                <w:tcPr>
                  <w:tcW w:w="10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社会满意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textAlignment w:val="center"/>
                    <w:rPr>
                      <w:rFonts w:eastAsia="方正仿宋_GBK"/>
                      <w:color w:val="000000"/>
                      <w:sz w:val="32"/>
                      <w:szCs w:val="32"/>
                    </w:rPr>
                  </w:pPr>
                  <w:r>
                    <w:rPr>
                      <w:rFonts w:eastAsia="方正仿宋_GBK"/>
                      <w:color w:val="000000"/>
                      <w:sz w:val="32"/>
                      <w:szCs w:val="32"/>
                    </w:rPr>
                    <w:t xml:space="preserve">  社会满意度≥95%</w:t>
                  </w:r>
                </w:p>
              </w:tc>
              <w:tc>
                <w:tcPr>
                  <w:tcW w:w="17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已达到满意度≥95%</w:t>
                  </w:r>
                </w:p>
              </w:tc>
            </w:tr>
          </w:tbl>
          <w:p>
            <w:pPr>
              <w:spacing w:line="578" w:lineRule="exact"/>
              <w:rPr>
                <w:rFonts w:eastAsia="方正仿宋_GBK"/>
                <w:sz w:val="32"/>
                <w:szCs w:val="32"/>
              </w:rPr>
            </w:pPr>
          </w:p>
          <w:p>
            <w:pPr>
              <w:spacing w:line="578" w:lineRule="exact"/>
              <w:rPr>
                <w:rFonts w:eastAsia="方正仿宋_GBK"/>
                <w:sz w:val="32"/>
                <w:szCs w:val="32"/>
              </w:rPr>
            </w:pPr>
          </w:p>
          <w:p>
            <w:pPr>
              <w:spacing w:line="578" w:lineRule="exact"/>
              <w:rPr>
                <w:rFonts w:eastAsia="方正仿宋_GBK"/>
                <w:sz w:val="32"/>
                <w:szCs w:val="32"/>
              </w:rPr>
            </w:pPr>
          </w:p>
          <w:p>
            <w:pPr>
              <w:spacing w:line="578" w:lineRule="exact"/>
              <w:rPr>
                <w:rFonts w:eastAsia="方正仿宋_GBK"/>
                <w:sz w:val="32"/>
                <w:szCs w:val="32"/>
              </w:rPr>
            </w:pPr>
          </w:p>
          <w:p>
            <w:pPr>
              <w:spacing w:line="578" w:lineRule="exact"/>
              <w:rPr>
                <w:rFonts w:eastAsia="方正仿宋_GBK"/>
                <w:sz w:val="32"/>
                <w:szCs w:val="32"/>
              </w:rPr>
            </w:pPr>
          </w:p>
          <w:p>
            <w:pPr>
              <w:spacing w:line="578" w:lineRule="exact"/>
              <w:rPr>
                <w:rFonts w:eastAsia="方正仿宋_GBK"/>
                <w:sz w:val="32"/>
                <w:szCs w:val="32"/>
              </w:rPr>
            </w:pPr>
          </w:p>
          <w:p>
            <w:pPr>
              <w:pStyle w:val="20"/>
              <w:widowControl/>
              <w:spacing w:line="578" w:lineRule="exact"/>
              <w:ind w:left="1264" w:hanging="1264" w:hangingChars="395"/>
              <w:textAlignment w:val="center"/>
              <w:rPr>
                <w:rFonts w:eastAsia="方正仿宋_GBK"/>
                <w:color w:val="000000"/>
                <w:sz w:val="32"/>
                <w:szCs w:val="32"/>
              </w:rPr>
            </w:pPr>
          </w:p>
        </w:tc>
      </w:tr>
    </w:tbl>
    <w:p>
      <w:pPr>
        <w:spacing w:line="578" w:lineRule="exact"/>
        <w:ind w:firstLine="640" w:firstLineChars="200"/>
        <w:rPr>
          <w:rFonts w:eastAsia="方正仿宋_GBK"/>
          <w:color w:val="000000"/>
          <w:sz w:val="32"/>
          <w:szCs w:val="32"/>
        </w:rPr>
      </w:pPr>
      <w:r>
        <w:rPr>
          <w:rFonts w:eastAsia="方正仿宋_GBK"/>
          <w:sz w:val="32"/>
          <w:szCs w:val="32"/>
        </w:rPr>
        <w:t>（2）财力保障项安全生产监管项目绩效目标完成情况综述。项目全年预算数5万元，执行数为5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5"/>
        <w:gridCol w:w="1500"/>
        <w:gridCol w:w="1444"/>
        <w:gridCol w:w="1505"/>
        <w:gridCol w:w="2476"/>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tcMar>
              <w:top w:w="15" w:type="dxa"/>
              <w:left w:w="15" w:type="dxa"/>
              <w:right w:w="15" w:type="dxa"/>
            </w:tcMar>
            <w:vAlign w:val="center"/>
          </w:tcPr>
          <w:p>
            <w:pPr>
              <w:pStyle w:val="20"/>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项目支出绩效目标完成情况表（2）</w:t>
            </w:r>
            <w:r>
              <w:rPr>
                <w:rFonts w:eastAsia="方正仿宋_GBK"/>
                <w:color w:val="000000"/>
                <w:kern w:val="0"/>
                <w:sz w:val="32"/>
                <w:szCs w:val="32"/>
              </w:rPr>
              <w:br w:type="textWrapping"/>
            </w:r>
            <w:r>
              <w:rPr>
                <w:rFonts w:eastAsia="方正仿宋_GBK"/>
                <w:color w:val="000000"/>
                <w:kern w:val="0"/>
                <w:sz w:val="32"/>
                <w:szCs w:val="32"/>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4" w:hRule="atLeast"/>
        </w:trPr>
        <w:tc>
          <w:tcPr>
            <w:tcW w:w="366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项目名称</w:t>
            </w:r>
          </w:p>
        </w:tc>
        <w:tc>
          <w:tcPr>
            <w:tcW w:w="629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财力保障-保运行-安全生产监管经费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66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预算单位</w:t>
            </w:r>
          </w:p>
        </w:tc>
        <w:tc>
          <w:tcPr>
            <w:tcW w:w="629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达州市达川区人民政府三里坪街道办事处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7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预算执行情况(万元)</w:t>
            </w:r>
          </w:p>
        </w:tc>
        <w:tc>
          <w:tcPr>
            <w:tcW w:w="29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预算数:</w:t>
            </w:r>
          </w:p>
        </w:tc>
        <w:tc>
          <w:tcPr>
            <w:tcW w:w="1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 xml:space="preserve">5万元 </w:t>
            </w:r>
          </w:p>
        </w:tc>
        <w:tc>
          <w:tcPr>
            <w:tcW w:w="2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执行数:</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 xml:space="preserve">5万元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tc>
        <w:tc>
          <w:tcPr>
            <w:tcW w:w="29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其中-财政拨款:</w:t>
            </w:r>
          </w:p>
        </w:tc>
        <w:tc>
          <w:tcPr>
            <w:tcW w:w="1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5万元</w:t>
            </w:r>
          </w:p>
        </w:tc>
        <w:tc>
          <w:tcPr>
            <w:tcW w:w="2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其中-财政拨款:</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1"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tc>
        <w:tc>
          <w:tcPr>
            <w:tcW w:w="294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其它资金:</w:t>
            </w:r>
          </w:p>
        </w:tc>
        <w:tc>
          <w:tcPr>
            <w:tcW w:w="1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0</w:t>
            </w:r>
          </w:p>
        </w:tc>
        <w:tc>
          <w:tcPr>
            <w:tcW w:w="2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其它资金:</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8" w:lineRule="exact"/>
              <w:jc w:val="center"/>
              <w:rPr>
                <w:rFonts w:eastAsia="方正仿宋_GBK"/>
                <w:color w:val="000000"/>
                <w:sz w:val="32"/>
                <w:szCs w:val="32"/>
              </w:rPr>
            </w:pPr>
            <w:r>
              <w:rPr>
                <w:rFonts w:eastAsia="方正仿宋_GBK"/>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7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年度目标完成情况</w:t>
            </w:r>
          </w:p>
        </w:tc>
        <w:tc>
          <w:tcPr>
            <w:tcW w:w="444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tc>
        <w:tc>
          <w:tcPr>
            <w:tcW w:w="444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left"/>
              <w:textAlignment w:val="center"/>
              <w:rPr>
                <w:rFonts w:eastAsia="方正仿宋_GBK"/>
                <w:color w:val="000000"/>
                <w:sz w:val="32"/>
                <w:szCs w:val="32"/>
              </w:rPr>
            </w:pPr>
            <w:r>
              <w:rPr>
                <w:rFonts w:eastAsia="方正仿宋_GBK"/>
                <w:color w:val="000000"/>
                <w:sz w:val="32"/>
                <w:szCs w:val="32"/>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7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绩效指标完成情况</w:t>
            </w: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一级指标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二级指标</w:t>
            </w:r>
          </w:p>
        </w:tc>
        <w:tc>
          <w:tcPr>
            <w:tcW w:w="1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三级指标</w:t>
            </w:r>
          </w:p>
        </w:tc>
        <w:tc>
          <w:tcPr>
            <w:tcW w:w="2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预期指标值(包含数字及文字描述)</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项目完成指标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数量指标</w:t>
            </w:r>
          </w:p>
        </w:tc>
        <w:tc>
          <w:tcPr>
            <w:tcW w:w="1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学习宣传教育活动、开展打非治违和专项整治、专项排查，重点领域整治</w:t>
            </w:r>
          </w:p>
        </w:tc>
        <w:tc>
          <w:tcPr>
            <w:tcW w:w="2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12次以上、6次以上、每月1次</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已完成排查12次以上、已完成宣传教育活动6次以上、对重点领域每月1次排查。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45"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项目完成指标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质量指标</w:t>
            </w:r>
          </w:p>
        </w:tc>
        <w:tc>
          <w:tcPr>
            <w:tcW w:w="1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责任落实、加大宣传、狠抓整治</w:t>
            </w:r>
          </w:p>
        </w:tc>
        <w:tc>
          <w:tcPr>
            <w:tcW w:w="2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明确党委政府领导责任、镇安监所监管责任、各村社区、企业主体责任体系、每月召开一次安全专项会议、每月排查一次安全隐患，对隐患进行定人定责定时整改</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已完成责任体系、每月召开一次安全专项会议、每月排查一次安全隐患，对隐患进行定人定责定时整改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项目完成指标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时效指标</w:t>
            </w:r>
          </w:p>
        </w:tc>
        <w:tc>
          <w:tcPr>
            <w:tcW w:w="1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年度目标任务完成率</w:t>
            </w:r>
          </w:p>
        </w:tc>
        <w:tc>
          <w:tcPr>
            <w:tcW w:w="2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目标任务完成率达100%</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kern w:val="0"/>
                <w:sz w:val="32"/>
                <w:szCs w:val="32"/>
              </w:rPr>
            </w:pPr>
            <w:r>
              <w:rPr>
                <w:rFonts w:eastAsia="方正仿宋_GBK"/>
                <w:color w:val="000000"/>
                <w:kern w:val="0"/>
                <w:sz w:val="32"/>
                <w:szCs w:val="32"/>
              </w:rPr>
              <w:t>项目完成指标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成本指标</w:t>
            </w:r>
          </w:p>
        </w:tc>
        <w:tc>
          <w:tcPr>
            <w:tcW w:w="1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差旅费标准、会议培训会标准、宣传费用标准</w:t>
            </w:r>
          </w:p>
        </w:tc>
        <w:tc>
          <w:tcPr>
            <w:tcW w:w="2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遵守达州市达川区差旅费有关标准、遵守达州市达川区会议费有关标准、遵守达州市达川区政府采购有关标准</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kern w:val="0"/>
                <w:sz w:val="32"/>
                <w:szCs w:val="32"/>
              </w:rPr>
            </w:pPr>
            <w:r>
              <w:rPr>
                <w:rFonts w:eastAsia="方正仿宋_GBK"/>
                <w:color w:val="000000"/>
                <w:kern w:val="0"/>
                <w:sz w:val="32"/>
                <w:szCs w:val="32"/>
              </w:rPr>
              <w:t>项目效益指标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经济效益指标</w:t>
            </w:r>
          </w:p>
        </w:tc>
        <w:tc>
          <w:tcPr>
            <w:tcW w:w="1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安全零事故，为经济保驾护航</w:t>
            </w:r>
          </w:p>
        </w:tc>
        <w:tc>
          <w:tcPr>
            <w:tcW w:w="2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以安全生产为主要目标，防范各类事故发生，减少各类经济成本，确保经济稳步发展。</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完成安全生产为主要目标，防范各类事故发生，减少各类经济成本，确保经济稳步发展。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项目效益指标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社会效益指标</w:t>
            </w:r>
          </w:p>
        </w:tc>
        <w:tc>
          <w:tcPr>
            <w:tcW w:w="1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有效防范和遏制各项事故发生</w:t>
            </w:r>
          </w:p>
        </w:tc>
        <w:tc>
          <w:tcPr>
            <w:tcW w:w="2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及时处理相关债务，调和基层政权和债权人的关系，提升社会满意度</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为企业、群众提供一个安全的生产生活环境，保障人民群众生活财产安全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项目效益指标</w:t>
            </w:r>
            <w:r>
              <w:rPr>
                <w:rFonts w:eastAsia="方正仿宋_GBK"/>
                <w:color w:val="000000"/>
                <w:sz w:val="32"/>
                <w:szCs w:val="32"/>
              </w:rPr>
              <w:t>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生态效益指标意</w:t>
            </w:r>
          </w:p>
        </w:tc>
        <w:tc>
          <w:tcPr>
            <w:tcW w:w="1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坚持绿色环保</w:t>
            </w:r>
          </w:p>
        </w:tc>
        <w:tc>
          <w:tcPr>
            <w:tcW w:w="2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textAlignment w:val="center"/>
              <w:rPr>
                <w:rFonts w:eastAsia="方正仿宋_GBK"/>
                <w:color w:val="000000"/>
                <w:sz w:val="32"/>
                <w:szCs w:val="32"/>
              </w:rPr>
            </w:pPr>
            <w:r>
              <w:rPr>
                <w:rFonts w:eastAsia="方正仿宋_GBK"/>
                <w:color w:val="000000"/>
                <w:sz w:val="32"/>
                <w:szCs w:val="32"/>
              </w:rPr>
              <w:t xml:space="preserve"> 不得破坏生态和损害环境</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项目效益指标</w:t>
            </w:r>
            <w:r>
              <w:rPr>
                <w:rFonts w:eastAsia="方正仿宋_GBK"/>
                <w:color w:val="000000"/>
                <w:sz w:val="32"/>
                <w:szCs w:val="32"/>
              </w:rPr>
              <w:t>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可持续影响指标</w:t>
            </w:r>
          </w:p>
        </w:tc>
        <w:tc>
          <w:tcPr>
            <w:tcW w:w="1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政策导向</w:t>
            </w:r>
          </w:p>
        </w:tc>
        <w:tc>
          <w:tcPr>
            <w:tcW w:w="2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长期保障工作平稳进行</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长期保障工作平稳进行展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725" w:type="dxa"/>
            <w:vMerge w:val="continue"/>
            <w:tcBorders>
              <w:top w:val="single" w:color="000000" w:sz="4" w:space="0"/>
              <w:left w:val="single" w:color="000000" w:sz="4" w:space="0"/>
              <w:bottom w:val="single" w:color="000000" w:sz="4" w:space="0"/>
              <w:right w:val="single" w:color="000000" w:sz="4" w:space="0"/>
            </w:tcBorders>
            <w:vAlign w:val="center"/>
          </w:tcPr>
          <w:p/>
        </w:tc>
        <w:tc>
          <w:tcPr>
            <w:tcW w:w="1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满意度指标</w:t>
            </w:r>
          </w:p>
        </w:tc>
        <w:tc>
          <w:tcPr>
            <w:tcW w:w="14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满意度指标</w:t>
            </w:r>
          </w:p>
        </w:tc>
        <w:tc>
          <w:tcPr>
            <w:tcW w:w="15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村民满意</w:t>
            </w:r>
          </w:p>
        </w:tc>
        <w:tc>
          <w:tcPr>
            <w:tcW w:w="2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textAlignment w:val="center"/>
              <w:rPr>
                <w:rFonts w:eastAsia="方正仿宋_GBK"/>
                <w:color w:val="000000"/>
                <w:sz w:val="32"/>
                <w:szCs w:val="32"/>
              </w:rPr>
            </w:pPr>
            <w:r>
              <w:rPr>
                <w:rFonts w:eastAsia="方正仿宋_GBK"/>
                <w:color w:val="000000"/>
                <w:sz w:val="32"/>
                <w:szCs w:val="32"/>
              </w:rPr>
              <w:t xml:space="preserve">       满意度≥95%</w:t>
            </w:r>
          </w:p>
        </w:tc>
        <w:tc>
          <w:tcPr>
            <w:tcW w:w="2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已达到满意度≥95%</w:t>
            </w:r>
          </w:p>
        </w:tc>
      </w:tr>
    </w:tbl>
    <w:p>
      <w:pPr>
        <w:spacing w:line="578" w:lineRule="exact"/>
        <w:ind w:firstLine="640" w:firstLineChars="200"/>
        <w:rPr>
          <w:rFonts w:eastAsia="方正仿宋_GBK"/>
          <w:color w:val="000000"/>
          <w:sz w:val="32"/>
          <w:szCs w:val="32"/>
        </w:rPr>
      </w:pPr>
      <w:r>
        <w:rPr>
          <w:rFonts w:eastAsia="方正仿宋_GBK"/>
          <w:sz w:val="32"/>
          <w:szCs w:val="32"/>
        </w:rPr>
        <w:t>（3）财力保障信访、维稳、扫黄、除黑、禁毒资金项目绩效目标完成情况综述。项目全年预算数30万元，执行数为30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93"/>
        <w:gridCol w:w="864"/>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tcMar>
              <w:top w:w="15" w:type="dxa"/>
              <w:left w:w="15" w:type="dxa"/>
              <w:right w:w="15" w:type="dxa"/>
            </w:tcMar>
            <w:vAlign w:val="center"/>
          </w:tcPr>
          <w:p>
            <w:pPr>
              <w:pStyle w:val="20"/>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项目支出绩效目标完成情况表（3）</w:t>
            </w:r>
            <w:r>
              <w:rPr>
                <w:rFonts w:eastAsia="方正仿宋_GBK"/>
                <w:color w:val="000000"/>
                <w:kern w:val="0"/>
                <w:sz w:val="32"/>
                <w:szCs w:val="32"/>
              </w:rPr>
              <w:br w:type="textWrapping"/>
            </w:r>
            <w:r>
              <w:rPr>
                <w:rFonts w:eastAsia="方正仿宋_GBK"/>
                <w:color w:val="000000"/>
                <w:kern w:val="0"/>
                <w:sz w:val="32"/>
                <w:szCs w:val="32"/>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三里坪街道办事处2020年度信访、维稳、扫黄、除黑、禁毒资金项目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达州市达川区人民政府三里坪街道办事处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trPr>
        <w:tc>
          <w:tcPr>
            <w:tcW w:w="8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预算执行情况(万元)</w:t>
            </w:r>
          </w:p>
        </w:tc>
        <w:tc>
          <w:tcPr>
            <w:tcW w:w="188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 xml:space="preserve">30万元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 xml:space="preserve"> 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7" w:hRule="atLeast"/>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tc>
        <w:tc>
          <w:tcPr>
            <w:tcW w:w="188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 xml:space="preserve">30万元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 xml:space="preserve">30万元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3" w:hRule="atLeast"/>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tc>
        <w:tc>
          <w:tcPr>
            <w:tcW w:w="188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78" w:lineRule="exact"/>
              <w:jc w:val="center"/>
              <w:rPr>
                <w:rFonts w:eastAsia="方正仿宋_GBK"/>
                <w:color w:val="000000"/>
                <w:sz w:val="32"/>
                <w:szCs w:val="32"/>
              </w:rPr>
            </w:pPr>
            <w:r>
              <w:rPr>
                <w:rFonts w:eastAsia="方正仿宋_GBK"/>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8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年度目标完成情况</w:t>
            </w:r>
          </w:p>
        </w:tc>
        <w:tc>
          <w:tcPr>
            <w:tcW w:w="428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47" w:hRule="atLeast"/>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tc>
        <w:tc>
          <w:tcPr>
            <w:tcW w:w="428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9" w:hRule="atLeast"/>
        </w:trPr>
        <w:tc>
          <w:tcPr>
            <w:tcW w:w="8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绩效指标完成情况</w:t>
            </w:r>
          </w:p>
        </w:tc>
        <w:tc>
          <w:tcPr>
            <w:tcW w:w="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tc>
        <w:tc>
          <w:tcPr>
            <w:tcW w:w="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12次、3次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已完成全年开展了宣传活动12次，组织专项行动3次。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tc>
        <w:tc>
          <w:tcPr>
            <w:tcW w:w="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合理诉求、扫黑除恶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4" w:hRule="atLeast"/>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tc>
        <w:tc>
          <w:tcPr>
            <w:tcW w:w="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tc>
        <w:tc>
          <w:tcPr>
            <w:tcW w:w="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kern w:val="0"/>
                <w:sz w:val="32"/>
                <w:szCs w:val="32"/>
              </w:rPr>
            </w:pPr>
            <w:r>
              <w:rPr>
                <w:rFonts w:eastAsia="方正仿宋_GBK"/>
                <w:color w:val="000000"/>
                <w:kern w:val="0"/>
                <w:sz w:val="32"/>
                <w:szCs w:val="32"/>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tc>
        <w:tc>
          <w:tcPr>
            <w:tcW w:w="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kern w:val="0"/>
                <w:sz w:val="32"/>
                <w:szCs w:val="32"/>
              </w:rPr>
            </w:pPr>
            <w:r>
              <w:rPr>
                <w:rFonts w:eastAsia="方正仿宋_GBK"/>
                <w:color w:val="000000"/>
                <w:kern w:val="0"/>
                <w:sz w:val="32"/>
                <w:szCs w:val="32"/>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经济投资环境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保护投资人的利益不受损害。确保社会平安、稳定。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tc>
        <w:tc>
          <w:tcPr>
            <w:tcW w:w="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营造良好社会风气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合理信访，及时处置，扫黑除恶，综合治理，塑造了公平、正义、平安、和谐的社会。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合理信访，及时处置，扫黑除恶，综合治理，塑造了公平、正义、平安、和谐的社会。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2" w:hRule="atLeast"/>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tc>
        <w:tc>
          <w:tcPr>
            <w:tcW w:w="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项目效益指标</w:t>
            </w:r>
            <w:r>
              <w:rPr>
                <w:rFonts w:eastAsia="方正仿宋_GBK"/>
                <w:color w:val="000000"/>
                <w:sz w:val="32"/>
                <w:szCs w:val="32"/>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textAlignment w:val="center"/>
              <w:rPr>
                <w:rFonts w:eastAsia="方正仿宋_GBK"/>
                <w:color w:val="000000"/>
                <w:sz w:val="32"/>
                <w:szCs w:val="32"/>
              </w:rPr>
            </w:pPr>
            <w:r>
              <w:rPr>
                <w:rFonts w:eastAsia="方正仿宋_GBK"/>
                <w:color w:val="000000"/>
                <w:sz w:val="32"/>
                <w:szCs w:val="32"/>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4" w:hRule="atLeast"/>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tc>
        <w:tc>
          <w:tcPr>
            <w:tcW w:w="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项目效益指标</w:t>
            </w:r>
            <w:r>
              <w:rPr>
                <w:rFonts w:eastAsia="方正仿宋_GBK"/>
                <w:color w:val="000000"/>
                <w:sz w:val="32"/>
                <w:szCs w:val="32"/>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已保障工作平稳进行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893" w:type="dxa"/>
            <w:vMerge w:val="continue"/>
            <w:tcBorders>
              <w:top w:val="single" w:color="000000" w:sz="4" w:space="0"/>
              <w:left w:val="single" w:color="000000" w:sz="4" w:space="0"/>
              <w:bottom w:val="single" w:color="000000" w:sz="4" w:space="0"/>
              <w:right w:val="single" w:color="000000" w:sz="4" w:space="0"/>
            </w:tcBorders>
            <w:vAlign w:val="center"/>
          </w:tcPr>
          <w:p/>
        </w:tc>
        <w:tc>
          <w:tcPr>
            <w:tcW w:w="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kern w:val="0"/>
                <w:sz w:val="32"/>
                <w:szCs w:val="32"/>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textAlignment w:val="center"/>
              <w:rPr>
                <w:rFonts w:eastAsia="方正仿宋_GBK"/>
                <w:color w:val="000000"/>
                <w:sz w:val="32"/>
                <w:szCs w:val="32"/>
              </w:rPr>
            </w:pPr>
            <w:r>
              <w:rPr>
                <w:rFonts w:eastAsia="方正仿宋_GBK"/>
                <w:color w:val="000000"/>
                <w:sz w:val="32"/>
                <w:szCs w:val="32"/>
              </w:rPr>
              <w:t xml:space="preserve">       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78" w:lineRule="exact"/>
              <w:jc w:val="center"/>
              <w:textAlignment w:val="center"/>
              <w:rPr>
                <w:rFonts w:eastAsia="方正仿宋_GBK"/>
                <w:color w:val="000000"/>
                <w:sz w:val="32"/>
                <w:szCs w:val="32"/>
              </w:rPr>
            </w:pPr>
            <w:r>
              <w:rPr>
                <w:rFonts w:eastAsia="方正仿宋_GBK"/>
                <w:color w:val="000000"/>
                <w:sz w:val="32"/>
                <w:szCs w:val="32"/>
              </w:rPr>
              <w:t>已达到满意度≥95%</w:t>
            </w:r>
          </w:p>
        </w:tc>
      </w:tr>
    </w:tbl>
    <w:p>
      <w:pPr>
        <w:spacing w:line="578"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二</w:t>
      </w:r>
      <w:r>
        <w:rPr>
          <w:rFonts w:eastAsia="方正仿宋_GBK"/>
          <w:sz w:val="32"/>
          <w:szCs w:val="32"/>
        </w:rPr>
        <w:t>）单位开展绩效评价结果</w:t>
      </w:r>
    </w:p>
    <w:p>
      <w:pPr>
        <w:spacing w:line="578" w:lineRule="exact"/>
        <w:ind w:firstLine="640" w:firstLineChars="200"/>
        <w:rPr>
          <w:rFonts w:eastAsia="方正仿宋_GBK"/>
          <w:sz w:val="32"/>
          <w:szCs w:val="32"/>
        </w:rPr>
      </w:pPr>
      <w:r>
        <w:rPr>
          <w:rFonts w:eastAsia="方正仿宋_GBK"/>
          <w:sz w:val="32"/>
          <w:szCs w:val="32"/>
        </w:rPr>
        <w:t>本单位按要求对2020年单位整体支出绩效评价情况开展自评，《达川区三里坪街道办事处2020年部门整体支出绩效评价报告》见附件。</w:t>
      </w:r>
    </w:p>
    <w:p>
      <w:pPr>
        <w:spacing w:line="578" w:lineRule="exact"/>
        <w:ind w:firstLine="800" w:firstLineChars="250"/>
        <w:outlineLvl w:val="1"/>
        <w:rPr>
          <w:rFonts w:eastAsia="方正仿宋_GBK"/>
          <w:color w:val="000000"/>
          <w:sz w:val="32"/>
          <w:szCs w:val="32"/>
        </w:rPr>
      </w:pPr>
      <w:r>
        <w:rPr>
          <w:rFonts w:eastAsia="方正仿宋_GBK"/>
          <w:sz w:val="32"/>
          <w:szCs w:val="32"/>
        </w:rPr>
        <w:t>本单位自行组织对财力保障项目开展了绩效评价，《达川区三里坪街道办事处2020项目支出绩效评价报告》见附件。</w:t>
      </w:r>
    </w:p>
    <w:p>
      <w:pPr>
        <w:pStyle w:val="3"/>
        <w:spacing w:before="0" w:after="0" w:line="578" w:lineRule="exact"/>
        <w:ind w:firstLine="640" w:firstLineChars="200"/>
        <w:rPr>
          <w:rFonts w:ascii="方正黑体_GBK" w:eastAsia="方正黑体_GBK" w:cs="方正黑体_GBK"/>
          <w:b w:val="0"/>
          <w:bCs w:val="0"/>
          <w:color w:val="000000"/>
        </w:rPr>
      </w:pPr>
      <w:bookmarkStart w:id="50" w:name="_Toc15396612"/>
      <w:bookmarkStart w:id="51" w:name="_Toc15377221"/>
      <w:r>
        <w:rPr>
          <w:rFonts w:ascii="方正黑体_GBK" w:eastAsia="方正黑体_GBK" w:cs="方正黑体_GBK"/>
          <w:b w:val="0"/>
          <w:bCs w:val="0"/>
          <w:color w:val="000000"/>
        </w:rPr>
        <w:t>十</w:t>
      </w:r>
      <w:r>
        <w:rPr>
          <w:rFonts w:hint="eastAsia" w:ascii="方正黑体_GBK" w:eastAsia="方正黑体_GBK" w:cs="方正黑体_GBK"/>
          <w:b w:val="0"/>
          <w:bCs w:val="0"/>
          <w:color w:val="000000"/>
        </w:rPr>
        <w:t>一</w:t>
      </w:r>
      <w:r>
        <w:rPr>
          <w:rFonts w:ascii="方正黑体_GBK" w:eastAsia="方正黑体_GBK" w:cs="方正黑体_GBK"/>
          <w:b w:val="0"/>
          <w:bCs w:val="0"/>
          <w:color w:val="000000"/>
        </w:rPr>
        <w:t>、其他重要事项的情况说明</w:t>
      </w:r>
      <w:bookmarkEnd w:id="50"/>
      <w:bookmarkEnd w:id="51"/>
    </w:p>
    <w:p>
      <w:pPr>
        <w:spacing w:line="578" w:lineRule="exact"/>
        <w:ind w:firstLine="640" w:firstLineChars="200"/>
        <w:outlineLvl w:val="2"/>
        <w:rPr>
          <w:rFonts w:ascii="方正楷体_GBK" w:eastAsia="方正楷体_GBK" w:cs="方正楷体_GBK"/>
          <w:color w:val="000000"/>
          <w:sz w:val="32"/>
          <w:szCs w:val="32"/>
        </w:rPr>
      </w:pPr>
      <w:bookmarkStart w:id="52" w:name="_Toc15377222"/>
      <w:r>
        <w:rPr>
          <w:rFonts w:hint="eastAsia" w:ascii="方正楷体_GBK" w:eastAsia="方正楷体_GBK" w:cs="方正楷体_GBK"/>
          <w:color w:val="000000"/>
          <w:sz w:val="32"/>
          <w:szCs w:val="32"/>
        </w:rPr>
        <w:t>（一）机关运行经费支出情况</w:t>
      </w:r>
      <w:bookmarkEnd w:id="52"/>
    </w:p>
    <w:p>
      <w:pPr>
        <w:spacing w:line="578" w:lineRule="exact"/>
        <w:ind w:firstLine="640" w:firstLineChars="200"/>
        <w:rPr>
          <w:rFonts w:eastAsia="方正仿宋_GBK"/>
          <w:color w:val="000000"/>
          <w:sz w:val="32"/>
          <w:szCs w:val="32"/>
        </w:rPr>
      </w:pPr>
      <w:r>
        <w:rPr>
          <w:rFonts w:eastAsia="方正仿宋_GBK"/>
          <w:color w:val="000000"/>
          <w:sz w:val="32"/>
          <w:szCs w:val="32"/>
        </w:rPr>
        <w:t>2020年，达川区三里坪街道机关运行经费支出1659.27万元，比2019年减少293.85万元，减少15.05%。主要原因是在乡复员、退伍军人生活补助划归退役军人事务局管理。</w:t>
      </w:r>
    </w:p>
    <w:p>
      <w:pPr>
        <w:spacing w:line="578" w:lineRule="exact"/>
        <w:ind w:firstLine="640" w:firstLineChars="200"/>
        <w:outlineLvl w:val="2"/>
        <w:rPr>
          <w:rFonts w:ascii="方正楷体_GBK" w:eastAsia="方正楷体_GBK" w:cs="方正楷体_GBK"/>
          <w:color w:val="000000"/>
          <w:sz w:val="32"/>
          <w:szCs w:val="32"/>
        </w:rPr>
      </w:pPr>
      <w:bookmarkStart w:id="53" w:name="_Toc15377223"/>
      <w:r>
        <w:rPr>
          <w:rFonts w:ascii="方正楷体_GBK" w:eastAsia="方正楷体_GBK" w:cs="方正楷体_GBK"/>
          <w:color w:val="000000"/>
          <w:sz w:val="32"/>
          <w:szCs w:val="32"/>
        </w:rPr>
        <w:t>（二）政府采购支出情况</w:t>
      </w:r>
      <w:bookmarkEnd w:id="53"/>
    </w:p>
    <w:p>
      <w:pPr>
        <w:spacing w:line="578" w:lineRule="exact"/>
        <w:ind w:firstLine="640" w:firstLineChars="200"/>
        <w:rPr>
          <w:rFonts w:eastAsia="方正仿宋_GBK"/>
          <w:color w:val="000000"/>
          <w:sz w:val="32"/>
          <w:szCs w:val="32"/>
        </w:rPr>
      </w:pPr>
      <w:r>
        <w:rPr>
          <w:rFonts w:eastAsia="方正仿宋_GBK"/>
          <w:color w:val="000000"/>
          <w:sz w:val="32"/>
          <w:szCs w:val="32"/>
        </w:rPr>
        <w:t>2020年，达川区三里坪街道政府采购支出总额5万元，其中：政府采购货物支出5万元、政府采购工程支出0万元、政府采购服务支出0万元。授予中小企业合同金额5万元，占政府采购支出总额的100%，其中：授予小微企业合同金额0万元，占政府采购支出总额的0%。</w:t>
      </w:r>
    </w:p>
    <w:p>
      <w:pPr>
        <w:spacing w:line="578" w:lineRule="exact"/>
        <w:ind w:firstLine="640" w:firstLineChars="200"/>
        <w:outlineLvl w:val="2"/>
        <w:rPr>
          <w:rFonts w:ascii="方正楷体_GBK" w:eastAsia="方正楷体_GBK" w:cs="方正楷体_GBK"/>
          <w:color w:val="000000"/>
          <w:sz w:val="32"/>
          <w:szCs w:val="32"/>
        </w:rPr>
      </w:pPr>
      <w:bookmarkStart w:id="54" w:name="_Toc15377224"/>
      <w:r>
        <w:rPr>
          <w:rFonts w:ascii="方正楷体_GBK" w:eastAsia="方正楷体_GBK" w:cs="方正楷体_GBK"/>
          <w:color w:val="000000"/>
          <w:sz w:val="32"/>
          <w:szCs w:val="32"/>
        </w:rPr>
        <w:t>（三）国有资产占有使用情况</w:t>
      </w:r>
      <w:bookmarkEnd w:id="54"/>
    </w:p>
    <w:p>
      <w:pPr>
        <w:spacing w:line="578" w:lineRule="exact"/>
        <w:ind w:firstLine="640" w:firstLineChars="200"/>
        <w:rPr>
          <w:rFonts w:eastAsia="方正仿宋_GBK"/>
          <w:color w:val="000000"/>
          <w:sz w:val="32"/>
          <w:szCs w:val="32"/>
        </w:rPr>
      </w:pPr>
      <w:r>
        <w:rPr>
          <w:rFonts w:eastAsia="方正仿宋_GBK"/>
          <w:color w:val="000000"/>
          <w:sz w:val="32"/>
          <w:szCs w:val="32"/>
        </w:rPr>
        <w:t>截至2020年12月31日，达川区三里坪街道共有车辆0辆，其中：部级领导干部用车0辆、一般公务用车0辆、一般执法执勤用车0辆、特种专业技术用车0辆、其他用车0辆。无单价50万元以上通用设备，无单价100万元以上专用设备。</w:t>
      </w:r>
    </w:p>
    <w:p>
      <w:pPr>
        <w:spacing w:line="578" w:lineRule="exact"/>
        <w:jc w:val="left"/>
        <w:outlineLvl w:val="0"/>
        <w:rPr>
          <w:rFonts w:eastAsia="方正仿宋_GBK"/>
          <w:color w:val="000000"/>
          <w:sz w:val="32"/>
          <w:szCs w:val="32"/>
        </w:rPr>
      </w:pPr>
    </w:p>
    <w:p>
      <w:pPr>
        <w:spacing w:line="578" w:lineRule="exact"/>
        <w:jc w:val="center"/>
        <w:outlineLvl w:val="0"/>
        <w:rPr>
          <w:rStyle w:val="17"/>
          <w:rFonts w:ascii="方正小标宋_GBK" w:eastAsia="方正小标宋_GBK" w:cs="方正小标宋_GBK"/>
          <w:b w:val="0"/>
          <w:bCs w:val="0"/>
        </w:rPr>
      </w:pPr>
      <w:r>
        <w:rPr>
          <w:rFonts w:hint="eastAsia" w:ascii="方正小标宋_GBK" w:eastAsia="方正小标宋_GBK" w:cs="方正小标宋_GBK"/>
          <w:color w:val="000000"/>
          <w:sz w:val="44"/>
          <w:szCs w:val="44"/>
        </w:rPr>
        <w:t>第三部分名</w:t>
      </w:r>
      <w:r>
        <w:rPr>
          <w:rStyle w:val="17"/>
          <w:rFonts w:hint="eastAsia" w:ascii="方正小标宋_GBK" w:eastAsia="方正小标宋_GBK" w:cs="方正小标宋_GBK"/>
          <w:b w:val="0"/>
          <w:bCs w:val="0"/>
        </w:rPr>
        <w:t>词解释</w:t>
      </w:r>
    </w:p>
    <w:p>
      <w:pPr>
        <w:spacing w:line="578" w:lineRule="exact"/>
        <w:jc w:val="center"/>
        <w:outlineLvl w:val="0"/>
        <w:rPr>
          <w:rStyle w:val="17"/>
          <w:rFonts w:ascii="方正小标宋_GBK" w:eastAsia="方正小标宋_GBK" w:cs="方正小标宋_GBK"/>
          <w:b w:val="0"/>
          <w:bCs w:val="0"/>
        </w:rPr>
      </w:pP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财政拨款收入：指区级财政当年拨付的资金。</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一般公共服务（类）政府办公厅（室）及相关机构事务（款）行政运行（项）：反映行政单位（包括实行公务员管理的事业单位）的基本支出。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一般公共服务支出（类）政府办公厅（室）及相关机构事务（款）一般行政管理事务（项）：反应行政单位行政管理事物方面的支出。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一般公共服务（类）财政事务（款）行政运行（项）：反映财政方面的支出。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一般公共服务支出（类）纪检监察事务（款）其他纪检监察事务支出（项）：反应本单位纪检监察相关事物支出。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文化体育与传媒支出（类）文化（款）群众文化（项）：反映群众文化方面的支出，包括基层文化馆（站）、群众艺术馆支出等。</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 xml:space="preserve">文化体育与传媒支出（类）新闻出版广播影视（款）广播（项）：反映广播系统职工工资及影视方面的支出。 </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社会保障和就业支出（类）行政事业单位离退休（款）  机关事业单位基本养老保险缴费支出★（项）：反映机关事业单位基本养老保险缴费。</w:t>
      </w:r>
    </w:p>
    <w:p>
      <w:pPr>
        <w:numPr>
          <w:ilvl w:val="0"/>
          <w:numId w:val="7"/>
        </w:numPr>
        <w:spacing w:line="578" w:lineRule="exact"/>
        <w:ind w:left="0" w:firstLine="640" w:firstLineChars="200"/>
        <w:rPr>
          <w:rStyle w:val="15"/>
          <w:rFonts w:eastAsia="方正仿宋_GBK"/>
          <w:b w:val="0"/>
          <w:color w:val="000000"/>
          <w:sz w:val="32"/>
          <w:szCs w:val="32"/>
        </w:rPr>
      </w:pPr>
      <w:r>
        <w:rPr>
          <w:rFonts w:eastAsia="方正仿宋_GBK"/>
          <w:sz w:val="32"/>
          <w:szCs w:val="32"/>
        </w:rPr>
        <w:t>社会保障和就业支出（类）行政事业单位离退休（款）机关事业单位职业年金缴费支出★（项）：反应机关事业</w:t>
      </w:r>
      <w:r>
        <w:rPr>
          <w:rStyle w:val="15"/>
          <w:rFonts w:eastAsia="方正仿宋_GBK"/>
          <w:b w:val="0"/>
          <w:color w:val="000000"/>
          <w:sz w:val="32"/>
          <w:szCs w:val="32"/>
        </w:rPr>
        <w:t>单位职业年金单位部分缴费情况。</w:t>
      </w:r>
    </w:p>
    <w:p>
      <w:pPr>
        <w:numPr>
          <w:ilvl w:val="0"/>
          <w:numId w:val="7"/>
        </w:numPr>
        <w:spacing w:line="578" w:lineRule="exact"/>
        <w:ind w:left="0" w:firstLine="640" w:firstLineChars="200"/>
        <w:rPr>
          <w:rFonts w:eastAsia="方正仿宋_GBK"/>
          <w:sz w:val="32"/>
          <w:szCs w:val="32"/>
        </w:rPr>
      </w:pPr>
      <w:r>
        <w:rPr>
          <w:rFonts w:eastAsia="方正仿宋_GBK"/>
          <w:sz w:val="32"/>
          <w:szCs w:val="32"/>
        </w:rPr>
        <w:t>社会保障和就业支出（类）抚恤（款）死亡抚恤（项）反应机关事业单位职工死亡抚恤金安葬费等情况。</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社会保障和就业支出（类）抚恤（款）在乡复员、退伍军人生活补助（项）：反映复员、退伍军人领取的生活补助等方面的支出。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社会保障和就业支出（类）残疾人事业（款）其他残疾人事业支出（项）：主要反应残疾人专职委员相关工资福利费开支。</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 xml:space="preserve">社会保障和就业支出（类）抚恤（款）义务兵优待（项）：反映义务兵优待方面的支出。 </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社会保障和就业支出（类）特困人员救助供养★（款）农村特困人员救助供养支出★（项）：反映用于城乡五保人员的生活补助支出。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医疗卫生与计划生育支出（类）计划生育事务（款）计划生育机构（项）：反映卫生和计划生育部门所属计划生育机构的支出。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医疗卫生与计划生育支出（类）行政事业单位医疗（款）事业单位医疗（项）：反映财政部门集中安排的事业单位的公费医疗经费，按国家规定享受离休人员待遇的医疗经费。</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医疗卫生与计划生育支出（类）行政事业单位医疗（款）公务员医疗补助★（项）：主要反映本单位公务员医疗补助缴费的情况。</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医疗卫生与计划生育支出（类）计划生育事务（款）其他计划生育事物支出（项）：反应计划生育机构事业单位部门等发生的支出。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城乡社区支出（类）城乡社区环境卫生（款）  城乡社区环境卫生（项）：主要反映本单位辖区城乡社区环境整治等费用支出。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城乡社区支出（类）国有土地使用权出让收入及对应专项债务收入安排的支出（款）其他国有土地使用权出让收入安排的支出（项）：反映一事一议等安排与社区建设发展的其他支出。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城乡社区支出（类）其他城乡社区支出（款）其他城乡社区支出（项）：反应城乡社区其他方面支出。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农林水支出（类）农业（款）事业运行（项）：反映用于农业事业单位基本支出，事业单位设施、系统运行与资产维护等方面的支出。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农林水支出（类）农业（款）农村道路建设（项）：反映对农村道路建设的补助支出。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农林水支出（类）扶贫（款）其他扶贫支出（项）：反映用于农村脱贫攻坚中的支出。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农林水支出（类）农业综合开发（款）产业化经营（项）：主要反映农村产业发展的补助支出。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农林水支出（类）农村综合改革（款）对村级一事一议的补助（项）：反映农村对村级一事一议财政奖补情况的支出。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农林水支出（类）农村综合改革（款）对村民委员会和村支部的补助（项）：反映各级财政对村民委员会和村党支部的补助支出。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住房保障支出（类）住房改革支出（款）  住房公积金（项）：反映用于本乡职工住房公积金缴存等支出。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其他支出（类）彩票公益金及对应专项债务收入安排的支出（款）用于体育事业的彩票公益金支出（项）：反映用于本乡维修维护支出。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结余分配：指事业单位按规定提取的职工福利基金、事业基金和缴纳的所得税，以及建设单位按规定应交回的基本建设竣工项目结余资金。</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年末结转和结余：指本年度或以前年度预算安排、因客观条件发生变化无法按原计划实施，需延迟到以后年度按有关规定继续使用的资金。</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基本支出：指为保障机构正常运转、完成日常工作任务而发生的人员支出和公用支出。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 xml:space="preserve">项目支出：指在基本支出之外为完成特定行政任务和事业发展目标所发生的支出。 </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经营支出：指事业单位在专业业务活动及其辅助活动之外开展非独立核算经营活动发生的支出。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numPr>
          <w:ilvl w:val="0"/>
          <w:numId w:val="7"/>
        </w:numPr>
        <w:spacing w:line="578" w:lineRule="exact"/>
        <w:ind w:left="0" w:firstLine="640" w:firstLineChars="200"/>
        <w:jc w:val="left"/>
        <w:outlineLvl w:val="0"/>
        <w:rPr>
          <w:rFonts w:eastAsia="方正仿宋_GBK"/>
          <w:sz w:val="32"/>
          <w:szCs w:val="32"/>
        </w:rPr>
      </w:pPr>
      <w:r>
        <w:rPr>
          <w:rFonts w:eastAsia="方正仿宋_GBK"/>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78" w:lineRule="exact"/>
        <w:ind w:left="420" w:leftChars="200"/>
        <w:jc w:val="left"/>
        <w:outlineLvl w:val="0"/>
        <w:rPr>
          <w:rFonts w:eastAsia="方正仿宋_GBK"/>
          <w:sz w:val="32"/>
          <w:szCs w:val="32"/>
        </w:rPr>
      </w:pPr>
    </w:p>
    <w:p>
      <w:pPr>
        <w:spacing w:line="578" w:lineRule="exact"/>
        <w:ind w:left="420" w:leftChars="200"/>
        <w:jc w:val="left"/>
        <w:outlineLvl w:val="0"/>
        <w:rPr>
          <w:rFonts w:eastAsia="方正仿宋_GBK"/>
          <w:sz w:val="32"/>
          <w:szCs w:val="32"/>
        </w:rPr>
      </w:pPr>
    </w:p>
    <w:p>
      <w:pPr>
        <w:spacing w:line="578" w:lineRule="exact"/>
        <w:ind w:left="420" w:leftChars="200"/>
        <w:jc w:val="left"/>
        <w:outlineLvl w:val="0"/>
        <w:rPr>
          <w:rFonts w:eastAsia="方正仿宋_GBK"/>
          <w:sz w:val="32"/>
          <w:szCs w:val="32"/>
        </w:rPr>
      </w:pPr>
    </w:p>
    <w:p>
      <w:pPr>
        <w:spacing w:line="578" w:lineRule="exact"/>
        <w:ind w:left="420" w:leftChars="200"/>
        <w:jc w:val="left"/>
        <w:outlineLvl w:val="0"/>
        <w:rPr>
          <w:rFonts w:eastAsia="方正仿宋_GBK"/>
          <w:sz w:val="32"/>
          <w:szCs w:val="32"/>
        </w:rPr>
      </w:pPr>
    </w:p>
    <w:p>
      <w:pPr>
        <w:spacing w:line="578" w:lineRule="exact"/>
        <w:ind w:left="420" w:leftChars="200"/>
        <w:jc w:val="left"/>
        <w:outlineLvl w:val="0"/>
        <w:rPr>
          <w:rFonts w:eastAsia="方正仿宋_GBK"/>
          <w:sz w:val="32"/>
          <w:szCs w:val="32"/>
        </w:rPr>
      </w:pPr>
    </w:p>
    <w:p>
      <w:pPr>
        <w:spacing w:line="578" w:lineRule="exact"/>
        <w:ind w:left="420" w:leftChars="200"/>
        <w:jc w:val="left"/>
        <w:outlineLvl w:val="0"/>
        <w:rPr>
          <w:rFonts w:eastAsia="方正仿宋_GBK"/>
          <w:sz w:val="32"/>
          <w:szCs w:val="32"/>
        </w:rPr>
      </w:pPr>
    </w:p>
    <w:p>
      <w:pPr>
        <w:numPr>
          <w:ilvl w:val="0"/>
          <w:numId w:val="8"/>
        </w:numPr>
        <w:spacing w:line="640" w:lineRule="exact"/>
        <w:jc w:val="center"/>
        <w:outlineLvl w:val="0"/>
        <w:rPr>
          <w:rStyle w:val="17"/>
          <w:rFonts w:ascii="方正小标宋_GBK" w:eastAsia="方正小标宋_GBK" w:cs="方正小标宋_GBK"/>
          <w:b w:val="0"/>
          <w:bCs w:val="0"/>
        </w:rPr>
      </w:pPr>
      <w:bookmarkStart w:id="55" w:name="_Toc15377226"/>
      <w:r>
        <w:rPr>
          <w:rStyle w:val="17"/>
          <w:rFonts w:hint="eastAsia" w:ascii="方正小标宋_GBK" w:eastAsia="方正小标宋_GBK" w:cs="方正小标宋_GBK"/>
          <w:b w:val="0"/>
          <w:bCs w:val="0"/>
        </w:rPr>
        <w:t>附件</w:t>
      </w:r>
    </w:p>
    <w:p>
      <w:pPr>
        <w:spacing w:line="640" w:lineRule="exact"/>
        <w:outlineLvl w:val="0"/>
        <w:rPr>
          <w:rStyle w:val="17"/>
          <w:rFonts w:ascii="方正小标宋_GBK" w:eastAsia="方正小标宋_GBK" w:cs="方正小标宋_GBK"/>
          <w:b w:val="0"/>
          <w:bCs w:val="0"/>
        </w:rPr>
      </w:pPr>
    </w:p>
    <w:p>
      <w:pPr>
        <w:pStyle w:val="3"/>
        <w:spacing w:before="0" w:after="0" w:line="578" w:lineRule="exact"/>
        <w:rPr>
          <w:rStyle w:val="17"/>
          <w:rFonts w:ascii="方正黑体_GBK" w:eastAsia="方正黑体_GBK" w:cs="方正黑体_GBK"/>
          <w:b w:val="0"/>
          <w:bCs w:val="0"/>
          <w:sz w:val="32"/>
          <w:szCs w:val="32"/>
        </w:rPr>
      </w:pPr>
      <w:bookmarkStart w:id="56" w:name="_Toc15396615"/>
      <w:r>
        <w:rPr>
          <w:rStyle w:val="17"/>
          <w:rFonts w:hint="eastAsia" w:ascii="方正黑体_GBK" w:eastAsia="方正黑体_GBK" w:cs="方正黑体_GBK"/>
          <w:b w:val="0"/>
          <w:bCs w:val="0"/>
          <w:sz w:val="32"/>
          <w:szCs w:val="32"/>
        </w:rPr>
        <w:t>附件1</w:t>
      </w:r>
      <w:bookmarkEnd w:id="56"/>
    </w:p>
    <w:p/>
    <w:p>
      <w:pPr>
        <w:spacing w:line="578" w:lineRule="exact"/>
        <w:jc w:val="center"/>
        <w:outlineLvl w:val="0"/>
        <w:rPr>
          <w:rFonts w:ascii="方正小标宋_GBK" w:eastAsia="方正小标宋_GBK" w:cs="方正小标宋_GBK"/>
          <w:spacing w:val="-20"/>
          <w:sz w:val="44"/>
          <w:szCs w:val="44"/>
        </w:rPr>
      </w:pPr>
      <w:bookmarkStart w:id="57" w:name="_Toc15396616"/>
      <w:r>
        <w:rPr>
          <w:rFonts w:hint="eastAsia" w:ascii="方正小标宋_GBK" w:eastAsia="方正小标宋_GBK" w:cs="方正小标宋_GBK"/>
          <w:spacing w:val="-20"/>
          <w:sz w:val="44"/>
          <w:szCs w:val="44"/>
        </w:rPr>
        <w:t>三里坪街道2020年部门整体支出绩效评价报告</w:t>
      </w:r>
      <w:bookmarkEnd w:id="57"/>
    </w:p>
    <w:p>
      <w:pPr>
        <w:spacing w:line="578" w:lineRule="exact"/>
        <w:ind w:firstLine="640" w:firstLineChars="200"/>
        <w:rPr>
          <w:rFonts w:eastAsia="方正仿宋_GBK"/>
          <w:sz w:val="32"/>
          <w:szCs w:val="32"/>
        </w:rPr>
      </w:pPr>
    </w:p>
    <w:p>
      <w:pPr>
        <w:spacing w:line="578" w:lineRule="exact"/>
        <w:ind w:firstLine="640" w:firstLineChars="200"/>
        <w:rPr>
          <w:rFonts w:ascii="方正黑体_GBK" w:eastAsia="方正黑体_GBK" w:cs="方正黑体_GBK"/>
          <w:sz w:val="32"/>
          <w:szCs w:val="32"/>
        </w:rPr>
      </w:pPr>
      <w:r>
        <w:rPr>
          <w:rFonts w:hint="eastAsia" w:ascii="方正黑体_GBK" w:eastAsia="方正黑体_GBK" w:cs="方正黑体_GBK"/>
          <w:sz w:val="32"/>
          <w:szCs w:val="32"/>
        </w:rPr>
        <w:t>一、部门（单位）概况</w:t>
      </w:r>
    </w:p>
    <w:p>
      <w:pPr>
        <w:spacing w:line="578" w:lineRule="exact"/>
        <w:ind w:firstLine="640" w:firstLineChars="200"/>
        <w:rPr>
          <w:rFonts w:eastAsia="方正仿宋_GBK"/>
          <w:sz w:val="32"/>
          <w:szCs w:val="32"/>
        </w:rPr>
      </w:pPr>
      <w:r>
        <w:rPr>
          <w:rFonts w:eastAsia="方正仿宋_GBK"/>
          <w:sz w:val="32"/>
          <w:szCs w:val="32"/>
        </w:rPr>
        <w:t>三里坪街道位于达川城区北部，东邻达川区江阳乡，南连经济开发区，西接翠屏街道，北依洲河与通川城区相望。街道幅员面积29.71平方公里，辖梧桐梁、曹家梁、花溪、四合、店子梁、仰天湾、小河嘴、三里坪、七里沟、南滨、南山11个社区及高岩1个村，总人口17万余人。</w:t>
      </w:r>
    </w:p>
    <w:p>
      <w:pPr>
        <w:spacing w:line="578" w:lineRule="exact"/>
        <w:ind w:firstLine="640" w:firstLineChars="200"/>
        <w:rPr>
          <w:rFonts w:ascii="方正楷体_GBK" w:eastAsia="方正楷体_GBK" w:cs="方正楷体_GBK"/>
          <w:sz w:val="32"/>
          <w:szCs w:val="32"/>
        </w:rPr>
      </w:pPr>
      <w:r>
        <w:rPr>
          <w:rFonts w:hint="eastAsia" w:ascii="方正楷体_GBK" w:eastAsia="方正楷体_GBK" w:cs="方正楷体_GBK"/>
          <w:sz w:val="32"/>
          <w:szCs w:val="32"/>
        </w:rPr>
        <w:t>（一）机构组成</w:t>
      </w:r>
    </w:p>
    <w:p>
      <w:pPr>
        <w:pStyle w:val="5"/>
        <w:adjustRightInd w:val="0"/>
        <w:snapToGrid w:val="0"/>
        <w:spacing w:before="30" w:beforeLines="0" w:line="578" w:lineRule="exact"/>
        <w:ind w:firstLine="668" w:firstLineChars="209"/>
        <w:rPr>
          <w:rFonts w:ascii="Times New Roman" w:hAnsi="Times New Roman" w:eastAsia="方正仿宋_GBK"/>
          <w:sz w:val="32"/>
          <w:szCs w:val="32"/>
        </w:rPr>
      </w:pPr>
      <w:r>
        <w:rPr>
          <w:rFonts w:ascii="Times New Roman" w:hAnsi="Times New Roman" w:eastAsia="方正仿宋_GBK"/>
          <w:sz w:val="32"/>
          <w:szCs w:val="32"/>
        </w:rPr>
        <w:t>达川区三里坪街道下属二级单位4个，其中行政单位1个，其他事业单位3个。</w:t>
      </w:r>
    </w:p>
    <w:p>
      <w:pPr>
        <w:spacing w:line="578" w:lineRule="exact"/>
        <w:ind w:firstLine="640" w:firstLineChars="200"/>
        <w:rPr>
          <w:rFonts w:ascii="方正楷体_GBK" w:eastAsia="方正楷体_GBK" w:cs="方正楷体_GBK"/>
          <w:sz w:val="32"/>
          <w:szCs w:val="32"/>
        </w:rPr>
      </w:pPr>
      <w:r>
        <w:rPr>
          <w:rFonts w:hint="eastAsia" w:ascii="方正楷体_GBK" w:eastAsia="方正楷体_GBK" w:cs="方正楷体_GBK"/>
          <w:sz w:val="32"/>
          <w:szCs w:val="32"/>
        </w:rPr>
        <w:t>（二）机构职能</w:t>
      </w:r>
    </w:p>
    <w:p>
      <w:pPr>
        <w:pStyle w:val="5"/>
        <w:adjustRightInd w:val="0"/>
        <w:snapToGrid w:val="0"/>
        <w:spacing w:before="30" w:beforeLines="0" w:line="578" w:lineRule="exact"/>
        <w:ind w:firstLine="668" w:firstLineChars="209"/>
        <w:rPr>
          <w:rFonts w:ascii="Times New Roman" w:hAnsi="Times New Roman" w:eastAsia="方正仿宋_GBK"/>
          <w:color w:val="000000"/>
          <w:sz w:val="32"/>
          <w:szCs w:val="32"/>
        </w:rPr>
      </w:pPr>
      <w:r>
        <w:rPr>
          <w:rFonts w:ascii="Times New Roman" w:hAnsi="Times New Roman" w:eastAsia="方正仿宋_GBK"/>
          <w:sz w:val="32"/>
          <w:szCs w:val="32"/>
        </w:rPr>
        <w:t>达川区三里坪街道办事处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三里坪街道经济发展、改善人民生活、保持辖区社会稳定、偿还村级债务、搞好社区建设和加快村级基础设施建设工作。</w:t>
      </w:r>
    </w:p>
    <w:p>
      <w:pPr>
        <w:spacing w:line="578" w:lineRule="exact"/>
        <w:ind w:firstLine="640" w:firstLineChars="200"/>
        <w:rPr>
          <w:rFonts w:ascii="方正楷体_GBK" w:eastAsia="方正楷体_GBK" w:cs="方正楷体_GBK"/>
          <w:sz w:val="32"/>
          <w:szCs w:val="32"/>
        </w:rPr>
      </w:pPr>
      <w:r>
        <w:rPr>
          <w:rFonts w:hint="eastAsia" w:ascii="方正楷体_GBK" w:eastAsia="方正楷体_GBK" w:cs="方正楷体_GBK"/>
          <w:sz w:val="32"/>
          <w:szCs w:val="32"/>
        </w:rPr>
        <w:t>（三）人员概况</w:t>
      </w:r>
    </w:p>
    <w:p>
      <w:pPr>
        <w:spacing w:line="578" w:lineRule="exact"/>
        <w:ind w:firstLine="640" w:firstLineChars="200"/>
        <w:rPr>
          <w:rFonts w:eastAsia="方正仿宋_GBK"/>
          <w:sz w:val="32"/>
          <w:szCs w:val="32"/>
        </w:rPr>
      </w:pPr>
      <w:r>
        <w:rPr>
          <w:rFonts w:eastAsia="方正仿宋_GBK"/>
          <w:sz w:val="32"/>
          <w:szCs w:val="32"/>
        </w:rPr>
        <w:t>三里坪街道编制人数68人，其中行政编制23人(含工勤4人)，事业编制45人；2020年末实有人数68人，其中公共预算财政拨款人数23人，公共预算财政补助开支人数45人。</w:t>
      </w:r>
    </w:p>
    <w:p>
      <w:pPr>
        <w:spacing w:line="578" w:lineRule="exact"/>
        <w:ind w:firstLine="640" w:firstLineChars="200"/>
        <w:rPr>
          <w:rFonts w:ascii="方正黑体_GBK" w:eastAsia="方正黑体_GBK" w:cs="方正黑体_GBK"/>
          <w:sz w:val="32"/>
          <w:szCs w:val="32"/>
        </w:rPr>
      </w:pPr>
      <w:r>
        <w:rPr>
          <w:rFonts w:hint="eastAsia" w:ascii="方正黑体_GBK" w:eastAsia="方正黑体_GBK" w:cs="方正黑体_GBK"/>
          <w:sz w:val="32"/>
          <w:szCs w:val="32"/>
        </w:rPr>
        <w:t>二、部门财政资金收支情况</w:t>
      </w:r>
    </w:p>
    <w:p>
      <w:pPr>
        <w:spacing w:line="578" w:lineRule="exact"/>
        <w:ind w:firstLine="640" w:firstLineChars="200"/>
        <w:rPr>
          <w:rFonts w:ascii="方正楷体_GBK" w:eastAsia="方正楷体_GBK" w:cs="方正楷体_GBK"/>
          <w:sz w:val="32"/>
          <w:szCs w:val="32"/>
        </w:rPr>
      </w:pPr>
      <w:r>
        <w:rPr>
          <w:rFonts w:hint="eastAsia" w:ascii="方正楷体_GBK" w:eastAsia="方正楷体_GBK" w:cs="方正楷体_GBK"/>
          <w:sz w:val="32"/>
          <w:szCs w:val="32"/>
        </w:rPr>
        <w:t>（一）部门财政资金收入情况</w:t>
      </w:r>
    </w:p>
    <w:p>
      <w:pPr>
        <w:spacing w:line="578" w:lineRule="exact"/>
        <w:ind w:firstLine="640" w:firstLineChars="200"/>
        <w:rPr>
          <w:rFonts w:eastAsia="方正仿宋_GBK"/>
          <w:sz w:val="32"/>
          <w:szCs w:val="32"/>
        </w:rPr>
      </w:pPr>
      <w:r>
        <w:rPr>
          <w:rFonts w:eastAsia="方正仿宋_GBK"/>
          <w:sz w:val="32"/>
          <w:szCs w:val="32"/>
        </w:rPr>
        <w:t>2020年本年收入合计8368.04万元，其中：一般公共预算财政拨款收入2099.31万元，占25.09%；政府性基金预算财政拨款收入6268.73万元，占74.91%；国有资本经营预算财政拨款收入0万元，占0%；事业收入0万元，占0%；经营收入0万元，占0%；附属单位上缴收入0万元，占0%；其他收入0万元，占0%。</w:t>
      </w:r>
    </w:p>
    <w:p>
      <w:pPr>
        <w:spacing w:line="578" w:lineRule="exact"/>
        <w:ind w:firstLine="640" w:firstLineChars="200"/>
        <w:rPr>
          <w:rFonts w:ascii="方正楷体_GBK" w:eastAsia="方正楷体_GBK" w:cs="方正楷体_GBK"/>
          <w:sz w:val="32"/>
          <w:szCs w:val="32"/>
        </w:rPr>
      </w:pPr>
      <w:r>
        <w:rPr>
          <w:rFonts w:hint="eastAsia" w:ascii="方正楷体_GBK" w:eastAsia="方正楷体_GBK" w:cs="方正楷体_GBK"/>
          <w:sz w:val="32"/>
          <w:szCs w:val="32"/>
        </w:rPr>
        <w:t>（二）部门财政资金支出情况</w:t>
      </w:r>
    </w:p>
    <w:p>
      <w:pPr>
        <w:spacing w:line="578" w:lineRule="exact"/>
        <w:ind w:firstLine="640" w:firstLineChars="200"/>
        <w:outlineLvl w:val="1"/>
        <w:rPr>
          <w:rFonts w:eastAsia="方正仿宋_GBK"/>
          <w:color w:val="000000"/>
          <w:sz w:val="32"/>
          <w:szCs w:val="32"/>
        </w:rPr>
      </w:pPr>
      <w:r>
        <w:rPr>
          <w:rFonts w:eastAsia="方正仿宋_GBK"/>
          <w:color w:val="000000"/>
          <w:sz w:val="32"/>
          <w:szCs w:val="32"/>
        </w:rPr>
        <w:t>2020年本年支出合计8368.04万元，其中：基本支出1659.27万元，占19.83%；项目支出6708.77万元，占80.17%；上缴上级支出0万元，占0%；经营支出0万元，占0%；对附属单位补助支出0万元，占0%。</w:t>
      </w:r>
    </w:p>
    <w:p>
      <w:pPr>
        <w:spacing w:line="578" w:lineRule="exact"/>
        <w:ind w:firstLine="640"/>
        <w:rPr>
          <w:rFonts w:ascii="方正黑体_GBK" w:eastAsia="方正黑体_GBK" w:cs="方正黑体_GBK"/>
          <w:sz w:val="32"/>
          <w:szCs w:val="32"/>
        </w:rPr>
      </w:pPr>
      <w:r>
        <w:rPr>
          <w:rFonts w:hint="eastAsia" w:ascii="方正黑体_GBK" w:eastAsia="方正黑体_GBK" w:cs="方正黑体_GBK"/>
          <w:sz w:val="32"/>
          <w:szCs w:val="32"/>
        </w:rPr>
        <w:t>三、部门整体预算绩效管理情况</w:t>
      </w:r>
    </w:p>
    <w:p>
      <w:pPr>
        <w:spacing w:line="578" w:lineRule="exact"/>
        <w:ind w:firstLine="640" w:firstLineChars="200"/>
        <w:rPr>
          <w:rFonts w:ascii="方正楷体_GBK" w:eastAsia="方正楷体_GBK" w:cs="方正楷体_GBK"/>
          <w:sz w:val="32"/>
          <w:szCs w:val="32"/>
        </w:rPr>
      </w:pPr>
      <w:r>
        <w:rPr>
          <w:rFonts w:hint="eastAsia" w:ascii="方正楷体_GBK" w:eastAsia="方正楷体_GBK" w:cs="方正楷体_GBK"/>
          <w:sz w:val="32"/>
          <w:szCs w:val="32"/>
        </w:rPr>
        <w:t>（一）部门预算管理</w:t>
      </w:r>
    </w:p>
    <w:p>
      <w:pPr>
        <w:spacing w:line="578" w:lineRule="exact"/>
        <w:ind w:firstLine="640" w:firstLineChars="200"/>
        <w:rPr>
          <w:rFonts w:eastAsia="方正仿宋_GBK"/>
          <w:sz w:val="32"/>
          <w:szCs w:val="32"/>
        </w:rPr>
      </w:pPr>
      <w:r>
        <w:rPr>
          <w:rFonts w:eastAsia="方正仿宋_GBK"/>
          <w:sz w:val="32"/>
          <w:szCs w:val="32"/>
        </w:rPr>
        <w:t>包括部门绩效目标制定、目标完成、预算编制准确、支出控制、预算动态调整、执行进度、预算完成情况和违规记录等情况。</w:t>
      </w:r>
    </w:p>
    <w:p>
      <w:pPr>
        <w:spacing w:line="578" w:lineRule="exact"/>
        <w:ind w:firstLine="640" w:firstLineChars="200"/>
        <w:rPr>
          <w:rFonts w:ascii="方正楷体_GBK" w:eastAsia="方正楷体_GBK" w:cs="方正楷体_GBK"/>
          <w:sz w:val="32"/>
          <w:szCs w:val="32"/>
        </w:rPr>
      </w:pPr>
      <w:r>
        <w:rPr>
          <w:rFonts w:hint="eastAsia" w:ascii="方正楷体_GBK" w:eastAsia="方正楷体_GBK" w:cs="方正楷体_GBK"/>
          <w:sz w:val="32"/>
          <w:szCs w:val="32"/>
        </w:rPr>
        <w:t>（二）专项预算管理</w:t>
      </w:r>
    </w:p>
    <w:p>
      <w:pPr>
        <w:spacing w:line="578" w:lineRule="exact"/>
        <w:ind w:firstLine="640" w:firstLineChars="200"/>
        <w:rPr>
          <w:rFonts w:eastAsia="方正仿宋_GBK"/>
          <w:sz w:val="32"/>
          <w:szCs w:val="32"/>
        </w:rPr>
      </w:pPr>
      <w:r>
        <w:rPr>
          <w:rFonts w:eastAsia="方正仿宋_GBK"/>
          <w:sz w:val="32"/>
          <w:szCs w:val="32"/>
        </w:rPr>
        <w:t>包括专项预算项目程序严密、规划合理、结果符合、分配科学、分配及时、专项预算绩效目标完成、实施绩效、违规记录等情况。</w:t>
      </w:r>
    </w:p>
    <w:p>
      <w:pPr>
        <w:spacing w:line="578" w:lineRule="exact"/>
        <w:ind w:firstLine="640" w:firstLineChars="200"/>
        <w:rPr>
          <w:rFonts w:ascii="方正楷体_GBK" w:eastAsia="方正楷体_GBK" w:cs="方正楷体_GBK"/>
          <w:sz w:val="32"/>
          <w:szCs w:val="32"/>
        </w:rPr>
      </w:pPr>
      <w:r>
        <w:rPr>
          <w:rFonts w:hint="eastAsia" w:ascii="方正楷体_GBK" w:eastAsia="方正楷体_GBK" w:cs="方正楷体_GBK"/>
          <w:sz w:val="32"/>
          <w:szCs w:val="32"/>
        </w:rPr>
        <w:t>（三）结果应用情况</w:t>
      </w:r>
    </w:p>
    <w:p>
      <w:pPr>
        <w:spacing w:line="578" w:lineRule="exact"/>
        <w:ind w:firstLine="640" w:firstLineChars="200"/>
        <w:rPr>
          <w:rFonts w:eastAsia="方正仿宋_GBK"/>
          <w:sz w:val="32"/>
          <w:szCs w:val="32"/>
        </w:rPr>
      </w:pPr>
      <w:r>
        <w:rPr>
          <w:rFonts w:eastAsia="方正仿宋_GBK"/>
          <w:sz w:val="32"/>
          <w:szCs w:val="32"/>
        </w:rPr>
        <w:t>包括部门自评质量、绩效目标公开和自评公开、评价结果整改和应用结果反馈等情况。</w:t>
      </w:r>
    </w:p>
    <w:p>
      <w:pPr>
        <w:spacing w:line="578" w:lineRule="exact"/>
        <w:ind w:firstLine="640" w:firstLineChars="200"/>
        <w:rPr>
          <w:rFonts w:ascii="方正黑体_GBK" w:eastAsia="方正黑体_GBK" w:cs="方正黑体_GBK"/>
          <w:sz w:val="32"/>
          <w:szCs w:val="32"/>
        </w:rPr>
      </w:pPr>
      <w:r>
        <w:rPr>
          <w:rFonts w:hint="eastAsia" w:ascii="方正黑体_GBK" w:eastAsia="方正黑体_GBK" w:cs="方正黑体_GBK"/>
          <w:sz w:val="32"/>
          <w:szCs w:val="32"/>
        </w:rPr>
        <w:t>四、评价结论及建议</w:t>
      </w:r>
    </w:p>
    <w:p>
      <w:pPr>
        <w:spacing w:line="578" w:lineRule="exact"/>
        <w:ind w:firstLine="640" w:firstLineChars="200"/>
        <w:rPr>
          <w:rFonts w:ascii="方正楷体_GBK" w:eastAsia="方正楷体_GBK" w:cs="方正楷体_GBK"/>
          <w:sz w:val="32"/>
          <w:szCs w:val="32"/>
        </w:rPr>
      </w:pPr>
      <w:r>
        <w:rPr>
          <w:rFonts w:hint="eastAsia" w:ascii="方正楷体_GBK" w:eastAsia="方正楷体_GBK" w:cs="方正楷体_GBK"/>
          <w:sz w:val="32"/>
          <w:szCs w:val="32"/>
        </w:rPr>
        <w:t>（一）评价结论</w:t>
      </w:r>
    </w:p>
    <w:p>
      <w:pPr>
        <w:spacing w:line="578" w:lineRule="exact"/>
        <w:ind w:firstLine="640" w:firstLineChars="200"/>
        <w:rPr>
          <w:rFonts w:eastAsia="方正仿宋_GBK"/>
          <w:sz w:val="32"/>
          <w:szCs w:val="32"/>
        </w:rPr>
      </w:pPr>
      <w:r>
        <w:rPr>
          <w:rFonts w:eastAsia="方正仿宋_GBK"/>
          <w:sz w:val="32"/>
          <w:szCs w:val="32"/>
        </w:rPr>
        <w:t>总体看，我单位预算编制及执行决算较为准确，支出管理较为规范，财务管理制度较完善，部门整体绩效较好。部门支出绩效自评得分为100分。</w:t>
      </w:r>
    </w:p>
    <w:p>
      <w:pPr>
        <w:numPr>
          <w:ilvl w:val="0"/>
          <w:numId w:val="9"/>
        </w:numPr>
        <w:spacing w:line="578" w:lineRule="exact"/>
        <w:ind w:left="0" w:firstLine="640" w:firstLineChars="200"/>
        <w:rPr>
          <w:rFonts w:ascii="方正楷体_GBK" w:eastAsia="方正楷体_GBK" w:cs="方正楷体_GBK"/>
          <w:sz w:val="32"/>
          <w:szCs w:val="32"/>
        </w:rPr>
      </w:pPr>
      <w:r>
        <w:rPr>
          <w:rFonts w:hint="eastAsia" w:ascii="方正楷体_GBK" w:eastAsia="方正楷体_GBK" w:cs="方正楷体_GBK"/>
          <w:sz w:val="32"/>
          <w:szCs w:val="32"/>
        </w:rPr>
        <w:t>存在问题</w:t>
      </w:r>
    </w:p>
    <w:p>
      <w:pPr>
        <w:numPr>
          <w:ilvl w:val="0"/>
          <w:numId w:val="10"/>
        </w:numPr>
        <w:spacing w:line="578" w:lineRule="exact"/>
        <w:ind w:left="0" w:firstLine="640" w:firstLineChars="200"/>
        <w:rPr>
          <w:rFonts w:eastAsia="方正仿宋_GBK"/>
          <w:sz w:val="32"/>
          <w:szCs w:val="32"/>
        </w:rPr>
      </w:pPr>
      <w:r>
        <w:rPr>
          <w:rFonts w:eastAsia="方正仿宋_GBK"/>
          <w:sz w:val="32"/>
          <w:szCs w:val="32"/>
        </w:rPr>
        <w:t>政府采购方面。政府采购方面存在等的思想，不能及时与上级沟通。</w:t>
      </w:r>
    </w:p>
    <w:p>
      <w:pPr>
        <w:numPr>
          <w:ilvl w:val="0"/>
          <w:numId w:val="10"/>
        </w:numPr>
        <w:spacing w:line="578" w:lineRule="exact"/>
        <w:ind w:left="0" w:firstLine="640" w:firstLineChars="200"/>
        <w:rPr>
          <w:rFonts w:eastAsia="方正仿宋_GBK"/>
          <w:sz w:val="32"/>
          <w:szCs w:val="32"/>
        </w:rPr>
      </w:pPr>
      <w:r>
        <w:rPr>
          <w:rFonts w:eastAsia="方正仿宋_GBK"/>
          <w:sz w:val="32"/>
          <w:szCs w:val="32"/>
        </w:rPr>
        <w:t>资产管理方面。在平时工作中对资产管理的知识学习不够，经验不足。</w:t>
      </w:r>
    </w:p>
    <w:p>
      <w:pPr>
        <w:numPr>
          <w:ilvl w:val="0"/>
          <w:numId w:val="10"/>
        </w:numPr>
        <w:spacing w:line="578" w:lineRule="exact"/>
        <w:ind w:left="0" w:firstLine="640" w:firstLineChars="200"/>
        <w:rPr>
          <w:rFonts w:eastAsia="方正仿宋_GBK"/>
          <w:sz w:val="32"/>
          <w:szCs w:val="32"/>
        </w:rPr>
      </w:pPr>
      <w:r>
        <w:rPr>
          <w:rFonts w:eastAsia="方正仿宋_GBK"/>
          <w:sz w:val="32"/>
          <w:szCs w:val="32"/>
        </w:rPr>
        <w:t>财务管理及会计核算方面。在工学矛盾处理不够好，就导致做账不够及时。</w:t>
      </w:r>
    </w:p>
    <w:p>
      <w:pPr>
        <w:numPr>
          <w:ilvl w:val="0"/>
          <w:numId w:val="10"/>
        </w:numPr>
        <w:spacing w:line="578" w:lineRule="exact"/>
        <w:ind w:left="0" w:firstLine="640" w:firstLineChars="200"/>
        <w:rPr>
          <w:rFonts w:eastAsia="方正仿宋_GBK"/>
          <w:sz w:val="32"/>
          <w:szCs w:val="32"/>
        </w:rPr>
      </w:pPr>
      <w:r>
        <w:rPr>
          <w:rFonts w:eastAsia="方正仿宋_GBK"/>
          <w:sz w:val="32"/>
          <w:szCs w:val="32"/>
        </w:rPr>
        <w:t>人员管理方面。在平时工作中对人员管理还不是很严格，存在时紧时松的现象。</w:t>
      </w:r>
    </w:p>
    <w:p>
      <w:pPr>
        <w:spacing w:line="578" w:lineRule="exact"/>
        <w:ind w:firstLine="640" w:firstLineChars="200"/>
        <w:rPr>
          <w:rFonts w:ascii="方正楷体_GBK" w:eastAsia="方正楷体_GBK" w:cs="方正楷体_GBK"/>
          <w:sz w:val="32"/>
          <w:szCs w:val="32"/>
        </w:rPr>
      </w:pPr>
      <w:r>
        <w:rPr>
          <w:rFonts w:hint="eastAsia" w:ascii="方正楷体_GBK" w:eastAsia="方正楷体_GBK" w:cs="方正楷体_GBK"/>
          <w:sz w:val="32"/>
          <w:szCs w:val="32"/>
        </w:rPr>
        <w:t>（三）改进建议</w:t>
      </w:r>
    </w:p>
    <w:p>
      <w:pPr>
        <w:spacing w:line="578"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提高预算编制质量。严格按照年初的预算编制，落实好资金的分配，及时报送相关资料。</w:t>
      </w:r>
    </w:p>
    <w:p>
      <w:pPr>
        <w:spacing w:line="578"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严格执行政府采购。严格按照行政采购计划，采购程序进行采购。</w:t>
      </w:r>
    </w:p>
    <w:p>
      <w:pPr>
        <w:spacing w:line="578"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w:t>
      </w:r>
      <w:r>
        <w:rPr>
          <w:rFonts w:eastAsia="方正仿宋_GBK"/>
          <w:sz w:val="32"/>
          <w:szCs w:val="32"/>
        </w:rPr>
        <w:t>加强资产管理。加强资产管理的知识学习，严格遵守资产管理制度进行管理，并制定专人负责管理。</w:t>
      </w:r>
    </w:p>
    <w:p>
      <w:pPr>
        <w:spacing w:line="578" w:lineRule="exact"/>
        <w:ind w:firstLine="640" w:firstLineChars="200"/>
        <w:rPr>
          <w:rFonts w:eastAsia="方正仿宋_GBK"/>
          <w:sz w:val="32"/>
          <w:szCs w:val="32"/>
        </w:rPr>
      </w:pPr>
      <w:r>
        <w:rPr>
          <w:rFonts w:eastAsia="方正仿宋_GBK"/>
          <w:sz w:val="32"/>
          <w:szCs w:val="32"/>
        </w:rPr>
        <w:t>4</w:t>
      </w:r>
      <w:r>
        <w:rPr>
          <w:rFonts w:hint="eastAsia" w:eastAsia="方正仿宋_GBK"/>
          <w:sz w:val="32"/>
          <w:szCs w:val="32"/>
        </w:rPr>
        <w:t>.</w:t>
      </w:r>
      <w:r>
        <w:rPr>
          <w:rFonts w:eastAsia="方正仿宋_GBK"/>
          <w:sz w:val="32"/>
          <w:szCs w:val="32"/>
        </w:rPr>
        <w:t>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eastAsia="方正仿宋_GBK"/>
          <w:sz w:val="32"/>
          <w:szCs w:val="32"/>
        </w:rPr>
      </w:pPr>
      <w:r>
        <w:rPr>
          <w:rFonts w:eastAsia="方正仿宋_GBK"/>
          <w:sz w:val="32"/>
          <w:szCs w:val="32"/>
        </w:rPr>
        <w:t>5</w:t>
      </w:r>
      <w:r>
        <w:rPr>
          <w:rFonts w:hint="eastAsia" w:eastAsia="方正仿宋_GBK"/>
          <w:sz w:val="32"/>
          <w:szCs w:val="32"/>
        </w:rPr>
        <w:t>.</w:t>
      </w:r>
      <w:r>
        <w:rPr>
          <w:rFonts w:eastAsia="方正仿宋_GBK"/>
          <w:sz w:val="32"/>
          <w:szCs w:val="32"/>
        </w:rPr>
        <w:t>人员管理。严格加强人员管理，坚持上下班制度，不迟到早退，遵守人员管理制度。</w:t>
      </w:r>
    </w:p>
    <w:p>
      <w:pPr>
        <w:spacing w:line="578" w:lineRule="exact"/>
        <w:rPr>
          <w:rFonts w:eastAsia="方正仿宋_GBK"/>
          <w:sz w:val="32"/>
          <w:szCs w:val="32"/>
        </w:rPr>
      </w:pPr>
    </w:p>
    <w:p>
      <w:pPr>
        <w:pStyle w:val="3"/>
        <w:spacing w:before="0" w:after="0" w:line="578" w:lineRule="exact"/>
        <w:rPr>
          <w:rStyle w:val="17"/>
          <w:rFonts w:ascii="方正黑体_GBK" w:eastAsia="方正黑体_GBK" w:cs="方正黑体_GBK"/>
          <w:b w:val="0"/>
          <w:bCs w:val="0"/>
          <w:sz w:val="32"/>
          <w:szCs w:val="32"/>
        </w:rPr>
      </w:pPr>
      <w:r>
        <w:rPr>
          <w:rFonts w:ascii="Times New Roman" w:hAnsi="Times New Roman" w:eastAsia="方正仿宋_GBK"/>
          <w:b w:val="0"/>
          <w:bCs w:val="0"/>
        </w:rPr>
        <w:br w:type="page"/>
      </w:r>
      <w:r>
        <w:rPr>
          <w:rStyle w:val="17"/>
          <w:rFonts w:hint="eastAsia" w:ascii="方正黑体_GBK" w:eastAsia="方正黑体_GBK" w:cs="方正黑体_GBK"/>
          <w:b w:val="0"/>
          <w:bCs w:val="0"/>
          <w:sz w:val="32"/>
          <w:szCs w:val="32"/>
        </w:rPr>
        <w:t>附件2</w:t>
      </w:r>
    </w:p>
    <w:p/>
    <w:p>
      <w:pPr>
        <w:spacing w:line="578"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2020年达州市达川区三里坪街道项目支出</w:t>
      </w:r>
    </w:p>
    <w:p>
      <w:pPr>
        <w:spacing w:line="578"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绩效评价报告</w:t>
      </w:r>
    </w:p>
    <w:p>
      <w:pPr>
        <w:spacing w:line="578" w:lineRule="exact"/>
        <w:ind w:firstLine="640" w:firstLineChars="200"/>
        <w:rPr>
          <w:rFonts w:eastAsia="方正仿宋_GBK"/>
          <w:sz w:val="32"/>
          <w:szCs w:val="32"/>
        </w:rPr>
      </w:pPr>
    </w:p>
    <w:p>
      <w:pPr>
        <w:spacing w:line="578" w:lineRule="exact"/>
        <w:ind w:firstLine="640" w:firstLineChars="200"/>
        <w:rPr>
          <w:rFonts w:ascii="方正黑体_GBK" w:eastAsia="方正黑体_GBK" w:cs="方正黑体_GBK"/>
          <w:sz w:val="32"/>
          <w:szCs w:val="32"/>
        </w:rPr>
      </w:pPr>
      <w:r>
        <w:rPr>
          <w:rFonts w:hint="eastAsia" w:ascii="方正黑体_GBK" w:eastAsia="方正黑体_GBK" w:cs="方正黑体_GBK"/>
          <w:sz w:val="32"/>
          <w:szCs w:val="32"/>
        </w:rPr>
        <w:t>一、评价工作开展及项目情况</w:t>
      </w:r>
    </w:p>
    <w:p>
      <w:pPr>
        <w:spacing w:line="578" w:lineRule="exact"/>
        <w:ind w:firstLine="480" w:firstLineChars="150"/>
        <w:rPr>
          <w:rFonts w:eastAsia="方正仿宋_GBK"/>
          <w:sz w:val="32"/>
          <w:szCs w:val="32"/>
        </w:rPr>
      </w:pPr>
      <w:r>
        <w:rPr>
          <w:rFonts w:eastAsia="方正仿宋_GBK"/>
          <w:sz w:val="32"/>
          <w:szCs w:val="32"/>
        </w:rPr>
        <w:t>达川区三里坪街道2020年项目资金211万元，其中：保运行资金165.66万元，用于街道日常工作正常运转；解困资金15.34万元，解决三里坪街道辖区遗留问题及一些困难户的救济；信访、维稳、扫黄、除黑、禁毒资金30万元，用于村（社区）信访维稳、调解、打黄除恶等经费。</w:t>
      </w:r>
    </w:p>
    <w:p>
      <w:pPr>
        <w:spacing w:line="578" w:lineRule="exact"/>
        <w:ind w:firstLine="640" w:firstLineChars="200"/>
        <w:rPr>
          <w:rFonts w:ascii="方正黑体_GBK" w:eastAsia="方正黑体_GBK" w:cs="方正黑体_GBK"/>
          <w:sz w:val="32"/>
          <w:szCs w:val="32"/>
        </w:rPr>
      </w:pPr>
      <w:r>
        <w:rPr>
          <w:rFonts w:ascii="方正黑体_GBK" w:eastAsia="方正黑体_GBK" w:cs="方正黑体_GBK"/>
          <w:sz w:val="32"/>
          <w:szCs w:val="32"/>
        </w:rPr>
        <w:t>二、评价结论及绩效分析</w:t>
      </w:r>
    </w:p>
    <w:p>
      <w:pPr>
        <w:spacing w:line="578" w:lineRule="exact"/>
        <w:ind w:firstLine="640" w:firstLineChars="200"/>
        <w:rPr>
          <w:rFonts w:eastAsia="方正仿宋_GBK"/>
          <w:sz w:val="32"/>
          <w:szCs w:val="32"/>
        </w:rPr>
      </w:pPr>
      <w:bookmarkStart w:id="58" w:name="_Toc15396618"/>
      <w:r>
        <w:rPr>
          <w:rFonts w:eastAsia="方正仿宋_GBK"/>
          <w:sz w:val="32"/>
          <w:szCs w:val="32"/>
        </w:rPr>
        <w:t>（一）专项预算管理</w:t>
      </w:r>
    </w:p>
    <w:p>
      <w:pPr>
        <w:spacing w:line="578" w:lineRule="exact"/>
        <w:ind w:firstLine="640" w:firstLineChars="200"/>
        <w:rPr>
          <w:rFonts w:eastAsia="方正仿宋_GBK"/>
          <w:sz w:val="32"/>
          <w:szCs w:val="32"/>
        </w:rPr>
      </w:pPr>
      <w:r>
        <w:rPr>
          <w:rFonts w:eastAsia="方正仿宋_GBK"/>
          <w:sz w:val="32"/>
          <w:szCs w:val="32"/>
        </w:rPr>
        <w:t>包括专项预算项目程序严密、规划合理、结果符合、分配科学、分配及时、专项预算绩效目标完成、实施绩效、违规记录等情况。</w:t>
      </w:r>
    </w:p>
    <w:p>
      <w:pPr>
        <w:spacing w:line="578" w:lineRule="exact"/>
        <w:ind w:firstLine="640" w:firstLineChars="200"/>
        <w:rPr>
          <w:rFonts w:eastAsia="方正仿宋_GBK"/>
          <w:sz w:val="32"/>
          <w:szCs w:val="32"/>
        </w:rPr>
      </w:pPr>
      <w:r>
        <w:rPr>
          <w:rFonts w:eastAsia="方正仿宋_GBK"/>
          <w:sz w:val="32"/>
          <w:szCs w:val="32"/>
        </w:rPr>
        <w:t>（二）结果应用情况</w:t>
      </w:r>
    </w:p>
    <w:p>
      <w:pPr>
        <w:spacing w:line="578" w:lineRule="exact"/>
        <w:ind w:firstLine="640" w:firstLineChars="200"/>
        <w:rPr>
          <w:rFonts w:eastAsia="方正仿宋_GBK"/>
          <w:sz w:val="32"/>
          <w:szCs w:val="32"/>
        </w:rPr>
      </w:pPr>
      <w:r>
        <w:rPr>
          <w:rFonts w:eastAsia="方正仿宋_GBK"/>
          <w:sz w:val="32"/>
          <w:szCs w:val="32"/>
        </w:rPr>
        <w:t>包括单位自评质量、绩效目标公开和自评公开、评价结果整改和应用结果反馈等情况。</w:t>
      </w:r>
    </w:p>
    <w:p>
      <w:pPr>
        <w:spacing w:line="578" w:lineRule="exact"/>
        <w:ind w:firstLine="640" w:firstLineChars="200"/>
        <w:rPr>
          <w:rFonts w:ascii="方正黑体_GBK" w:eastAsia="方正黑体_GBK" w:cs="方正黑体_GBK"/>
          <w:sz w:val="32"/>
          <w:szCs w:val="32"/>
        </w:rPr>
      </w:pPr>
      <w:r>
        <w:rPr>
          <w:rFonts w:ascii="方正黑体_GBK" w:eastAsia="方正黑体_GBK" w:cs="方正黑体_GBK"/>
          <w:sz w:val="32"/>
          <w:szCs w:val="32"/>
        </w:rPr>
        <w:t>三、部门整体预算绩效管理情况</w:t>
      </w:r>
    </w:p>
    <w:p>
      <w:pPr>
        <w:spacing w:line="578" w:lineRule="exact"/>
        <w:ind w:firstLine="640" w:firstLineChars="200"/>
        <w:rPr>
          <w:rFonts w:ascii="方正楷体_GBK" w:eastAsia="方正楷体_GBK" w:cs="方正楷体_GBK"/>
          <w:sz w:val="32"/>
          <w:szCs w:val="32"/>
        </w:rPr>
      </w:pPr>
      <w:r>
        <w:rPr>
          <w:rFonts w:hint="eastAsia" w:ascii="方正楷体_GBK" w:eastAsia="方正楷体_GBK" w:cs="方正楷体_GBK"/>
          <w:sz w:val="32"/>
          <w:szCs w:val="32"/>
        </w:rPr>
        <w:t>（一）部门预算管理</w:t>
      </w:r>
    </w:p>
    <w:p>
      <w:pPr>
        <w:spacing w:line="578" w:lineRule="exact"/>
        <w:ind w:firstLine="640" w:firstLineChars="200"/>
        <w:rPr>
          <w:rFonts w:eastAsia="方正仿宋_GBK"/>
          <w:sz w:val="32"/>
          <w:szCs w:val="32"/>
        </w:rPr>
      </w:pPr>
      <w:r>
        <w:rPr>
          <w:rFonts w:eastAsia="方正仿宋_GBK"/>
          <w:sz w:val="32"/>
          <w:szCs w:val="32"/>
        </w:rPr>
        <w:t>包括单位绩效目标制定、目标完成、预算编制准确、支出控制、预算动态调整、执行进度、预算完成情况和违规记录等情况。</w:t>
      </w:r>
    </w:p>
    <w:p>
      <w:pPr>
        <w:spacing w:line="578" w:lineRule="exact"/>
        <w:ind w:firstLine="640" w:firstLineChars="200"/>
        <w:rPr>
          <w:rFonts w:ascii="方正楷体_GBK" w:eastAsia="方正楷体_GBK" w:cs="方正楷体_GBK"/>
          <w:sz w:val="32"/>
          <w:szCs w:val="32"/>
        </w:rPr>
      </w:pPr>
      <w:r>
        <w:rPr>
          <w:rFonts w:ascii="方正楷体_GBK" w:eastAsia="方正楷体_GBK" w:cs="方正楷体_GBK"/>
          <w:sz w:val="32"/>
          <w:szCs w:val="32"/>
        </w:rPr>
        <w:t>（二）专项预算管理</w:t>
      </w:r>
    </w:p>
    <w:p>
      <w:pPr>
        <w:spacing w:line="578" w:lineRule="exact"/>
        <w:ind w:firstLine="640" w:firstLineChars="200"/>
        <w:rPr>
          <w:rFonts w:eastAsia="方正仿宋_GBK"/>
          <w:sz w:val="32"/>
          <w:szCs w:val="32"/>
        </w:rPr>
      </w:pPr>
      <w:r>
        <w:rPr>
          <w:rFonts w:eastAsia="方正仿宋_GBK"/>
          <w:sz w:val="32"/>
          <w:szCs w:val="32"/>
        </w:rPr>
        <w:t>包括专项预算项目程序严密、规划合理、结果符合、分配科学、分配及时、专项预算绩效目标完成、实施绩效、违规记录等情况。</w:t>
      </w:r>
    </w:p>
    <w:p>
      <w:pPr>
        <w:spacing w:line="578" w:lineRule="exact"/>
        <w:ind w:firstLine="640" w:firstLineChars="200"/>
        <w:rPr>
          <w:rFonts w:ascii="方正楷体_GBK" w:eastAsia="方正楷体_GBK" w:cs="方正楷体_GBK"/>
          <w:sz w:val="32"/>
          <w:szCs w:val="32"/>
        </w:rPr>
      </w:pPr>
      <w:r>
        <w:rPr>
          <w:rFonts w:ascii="方正楷体_GBK" w:eastAsia="方正楷体_GBK" w:cs="方正楷体_GBK"/>
          <w:sz w:val="32"/>
          <w:szCs w:val="32"/>
        </w:rPr>
        <w:t>（三）结果应用情况</w:t>
      </w:r>
    </w:p>
    <w:p>
      <w:pPr>
        <w:spacing w:line="578" w:lineRule="exact"/>
        <w:ind w:firstLine="640" w:firstLineChars="200"/>
        <w:rPr>
          <w:rFonts w:eastAsia="方正仿宋_GBK"/>
          <w:sz w:val="32"/>
          <w:szCs w:val="32"/>
        </w:rPr>
      </w:pPr>
      <w:r>
        <w:rPr>
          <w:rFonts w:eastAsia="方正仿宋_GBK"/>
          <w:sz w:val="32"/>
          <w:szCs w:val="32"/>
        </w:rPr>
        <w:t>包括单位自评质量、绩效目标公开和自评公开、评价结果整改和应用结果反馈等情况。</w:t>
      </w:r>
    </w:p>
    <w:p>
      <w:pPr>
        <w:spacing w:line="578" w:lineRule="exact"/>
        <w:ind w:firstLine="640" w:firstLineChars="200"/>
        <w:rPr>
          <w:rFonts w:ascii="方正黑体_GBK" w:eastAsia="方正黑体_GBK" w:cs="方正黑体_GBK"/>
          <w:sz w:val="32"/>
          <w:szCs w:val="32"/>
        </w:rPr>
      </w:pPr>
      <w:r>
        <w:rPr>
          <w:rFonts w:ascii="方正黑体_GBK" w:eastAsia="方正黑体_GBK" w:cs="方正黑体_GBK"/>
          <w:sz w:val="32"/>
          <w:szCs w:val="32"/>
        </w:rPr>
        <w:t>四、评价结论及建议</w:t>
      </w:r>
    </w:p>
    <w:p>
      <w:pPr>
        <w:spacing w:line="578" w:lineRule="exact"/>
        <w:ind w:firstLine="640" w:firstLineChars="200"/>
        <w:rPr>
          <w:rFonts w:ascii="方正楷体_GBK" w:eastAsia="方正楷体_GBK" w:cs="方正楷体_GBK"/>
          <w:sz w:val="32"/>
          <w:szCs w:val="32"/>
        </w:rPr>
      </w:pPr>
      <w:r>
        <w:rPr>
          <w:rFonts w:ascii="方正楷体_GBK" w:eastAsia="方正楷体_GBK" w:cs="方正楷体_GBK"/>
          <w:sz w:val="32"/>
          <w:szCs w:val="32"/>
        </w:rPr>
        <w:t>（一）评价结论</w:t>
      </w:r>
    </w:p>
    <w:p>
      <w:pPr>
        <w:spacing w:line="578" w:lineRule="exact"/>
        <w:ind w:firstLine="640" w:firstLineChars="200"/>
        <w:rPr>
          <w:rFonts w:eastAsia="方正仿宋_GBK"/>
          <w:sz w:val="32"/>
          <w:szCs w:val="32"/>
        </w:rPr>
      </w:pPr>
      <w:r>
        <w:rPr>
          <w:rFonts w:eastAsia="方正仿宋_GBK"/>
          <w:sz w:val="32"/>
          <w:szCs w:val="32"/>
        </w:rPr>
        <w:t>总体看，我单位预算编制及执行决算较为准确，支出管理较为规范，财务管理制度较完善，部门整体绩效较好。部门支出绩效自评得分为100分。</w:t>
      </w:r>
    </w:p>
    <w:p>
      <w:pPr>
        <w:spacing w:line="578" w:lineRule="exact"/>
        <w:ind w:firstLine="640" w:firstLineChars="200"/>
        <w:rPr>
          <w:rFonts w:ascii="方正楷体_GBK" w:eastAsia="方正楷体_GBK" w:cs="方正楷体_GBK"/>
          <w:sz w:val="32"/>
          <w:szCs w:val="32"/>
        </w:rPr>
      </w:pPr>
      <w:r>
        <w:rPr>
          <w:rFonts w:ascii="方正楷体_GBK" w:eastAsia="方正楷体_GBK" w:cs="方正楷体_GBK"/>
          <w:sz w:val="32"/>
          <w:szCs w:val="32"/>
        </w:rPr>
        <w:t>（二）存在问题</w:t>
      </w:r>
    </w:p>
    <w:p>
      <w:pPr>
        <w:spacing w:line="578"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政府采购方面。政府采购方面存在等的思想，不能及时与上级沟通。</w:t>
      </w:r>
    </w:p>
    <w:p>
      <w:pPr>
        <w:spacing w:line="578"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资产管理方面。在平时工作中对资产管理的知识学习不够，经验不足。</w:t>
      </w:r>
    </w:p>
    <w:p>
      <w:pPr>
        <w:spacing w:line="578"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w:t>
      </w:r>
      <w:r>
        <w:rPr>
          <w:rFonts w:eastAsia="方正仿宋_GBK"/>
          <w:sz w:val="32"/>
          <w:szCs w:val="32"/>
        </w:rPr>
        <w:t>财务管理及会计核算方面。在工学矛盾处理不够好，就导致做账不够及时。</w:t>
      </w:r>
    </w:p>
    <w:p>
      <w:pPr>
        <w:spacing w:line="578" w:lineRule="exact"/>
        <w:ind w:firstLine="640" w:firstLineChars="200"/>
        <w:rPr>
          <w:rFonts w:eastAsia="方正仿宋_GBK"/>
          <w:sz w:val="32"/>
          <w:szCs w:val="32"/>
        </w:rPr>
      </w:pPr>
      <w:r>
        <w:rPr>
          <w:rFonts w:eastAsia="方正仿宋_GBK"/>
          <w:sz w:val="32"/>
          <w:szCs w:val="32"/>
        </w:rPr>
        <w:t>4</w:t>
      </w:r>
      <w:r>
        <w:rPr>
          <w:rFonts w:hint="eastAsia" w:eastAsia="方正仿宋_GBK"/>
          <w:sz w:val="32"/>
          <w:szCs w:val="32"/>
        </w:rPr>
        <w:t>.</w:t>
      </w:r>
      <w:r>
        <w:rPr>
          <w:rFonts w:eastAsia="方正仿宋_GBK"/>
          <w:sz w:val="32"/>
          <w:szCs w:val="32"/>
        </w:rPr>
        <w:t>人员管理方面。在平时工作中对人员管理还不是很严格，存在时紧时松的现象。</w:t>
      </w:r>
    </w:p>
    <w:p>
      <w:pPr>
        <w:spacing w:line="578" w:lineRule="exact"/>
        <w:ind w:firstLine="640" w:firstLineChars="200"/>
        <w:rPr>
          <w:rFonts w:ascii="方正楷体_GBK" w:eastAsia="方正楷体_GBK" w:cs="方正楷体_GBK"/>
          <w:sz w:val="32"/>
          <w:szCs w:val="32"/>
        </w:rPr>
      </w:pPr>
      <w:r>
        <w:rPr>
          <w:rFonts w:hint="eastAsia" w:ascii="方正楷体_GBK" w:eastAsia="方正楷体_GBK" w:cs="方正楷体_GBK"/>
          <w:sz w:val="32"/>
          <w:szCs w:val="32"/>
        </w:rPr>
        <w:t>（三）改进建议</w:t>
      </w:r>
    </w:p>
    <w:p>
      <w:pPr>
        <w:spacing w:line="578"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提高预算编制质量。严格按照年初的预算编制，落实好资金的分配，及时报送相关资料。</w:t>
      </w:r>
    </w:p>
    <w:p>
      <w:pPr>
        <w:spacing w:line="578"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严格执行政府采购。严格按照行政采购计划，采购程序进行采购。</w:t>
      </w:r>
    </w:p>
    <w:p>
      <w:pPr>
        <w:spacing w:line="578"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w:t>
      </w:r>
      <w:r>
        <w:rPr>
          <w:rFonts w:eastAsia="方正仿宋_GBK"/>
          <w:sz w:val="32"/>
          <w:szCs w:val="32"/>
        </w:rPr>
        <w:t>加强资产管理。加强资产管理的知识学习，严格遵守资产管理制度进行管理，并制定专人负责管理。</w:t>
      </w:r>
    </w:p>
    <w:p>
      <w:pPr>
        <w:spacing w:line="578" w:lineRule="exact"/>
        <w:ind w:firstLine="640" w:firstLineChars="200"/>
        <w:rPr>
          <w:rFonts w:eastAsia="方正仿宋_GBK"/>
          <w:sz w:val="32"/>
          <w:szCs w:val="32"/>
        </w:rPr>
      </w:pPr>
      <w:r>
        <w:rPr>
          <w:rFonts w:eastAsia="方正仿宋_GBK"/>
          <w:sz w:val="32"/>
          <w:szCs w:val="32"/>
        </w:rPr>
        <w:t>4</w:t>
      </w:r>
      <w:r>
        <w:rPr>
          <w:rFonts w:hint="eastAsia" w:eastAsia="方正仿宋_GBK"/>
          <w:sz w:val="32"/>
          <w:szCs w:val="32"/>
        </w:rPr>
        <w:t>.</w:t>
      </w:r>
      <w:r>
        <w:rPr>
          <w:rFonts w:eastAsia="方正仿宋_GBK"/>
          <w:sz w:val="32"/>
          <w:szCs w:val="32"/>
        </w:rPr>
        <w:t>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eastAsia="方正仿宋_GBK"/>
          <w:sz w:val="32"/>
          <w:szCs w:val="32"/>
        </w:rPr>
      </w:pPr>
      <w:r>
        <w:rPr>
          <w:rFonts w:eastAsia="方正仿宋_GBK"/>
          <w:sz w:val="32"/>
          <w:szCs w:val="32"/>
        </w:rPr>
        <w:t>5</w:t>
      </w:r>
      <w:r>
        <w:rPr>
          <w:rFonts w:hint="eastAsia" w:eastAsia="方正仿宋_GBK"/>
          <w:sz w:val="32"/>
          <w:szCs w:val="32"/>
        </w:rPr>
        <w:t>.</w:t>
      </w:r>
      <w:r>
        <w:rPr>
          <w:rFonts w:eastAsia="方正仿宋_GBK"/>
          <w:sz w:val="32"/>
          <w:szCs w:val="32"/>
        </w:rPr>
        <w:t>人员管理。严格加强人员管理，坚持上下班制度，不迟到早退，遵守人员管理制度。</w:t>
      </w:r>
    </w:p>
    <w:p>
      <w:pPr>
        <w:spacing w:line="578" w:lineRule="exact"/>
        <w:ind w:firstLine="640" w:firstLineChars="200"/>
        <w:rPr>
          <w:rFonts w:eastAsia="方正仿宋_GBK"/>
          <w:sz w:val="32"/>
          <w:szCs w:val="32"/>
        </w:rPr>
      </w:pPr>
    </w:p>
    <w:p>
      <w:pPr>
        <w:spacing w:line="578" w:lineRule="exact"/>
        <w:jc w:val="center"/>
        <w:outlineLvl w:val="0"/>
        <w:rPr>
          <w:rFonts w:eastAsia="方正仿宋_GBK"/>
          <w:color w:val="000000"/>
          <w:sz w:val="32"/>
          <w:szCs w:val="32"/>
        </w:rPr>
      </w:pPr>
    </w:p>
    <w:p>
      <w:pPr>
        <w:spacing w:line="578" w:lineRule="exact"/>
        <w:jc w:val="center"/>
        <w:outlineLvl w:val="0"/>
        <w:rPr>
          <w:rFonts w:eastAsia="方正仿宋_GBK"/>
          <w:color w:val="000000"/>
          <w:sz w:val="32"/>
          <w:szCs w:val="32"/>
        </w:rPr>
      </w:pPr>
    </w:p>
    <w:p>
      <w:pPr>
        <w:spacing w:line="578" w:lineRule="exact"/>
        <w:jc w:val="center"/>
        <w:outlineLvl w:val="0"/>
        <w:rPr>
          <w:rFonts w:eastAsia="方正仿宋_GBK"/>
          <w:color w:val="000000"/>
          <w:sz w:val="32"/>
          <w:szCs w:val="32"/>
        </w:rPr>
      </w:pPr>
    </w:p>
    <w:p>
      <w:pPr>
        <w:spacing w:line="578" w:lineRule="exact"/>
        <w:jc w:val="center"/>
        <w:outlineLvl w:val="0"/>
        <w:rPr>
          <w:rFonts w:eastAsia="方正仿宋_GBK"/>
          <w:color w:val="000000"/>
          <w:sz w:val="32"/>
          <w:szCs w:val="32"/>
        </w:rPr>
      </w:pPr>
    </w:p>
    <w:p>
      <w:pPr>
        <w:spacing w:line="578" w:lineRule="exact"/>
        <w:jc w:val="center"/>
        <w:outlineLvl w:val="0"/>
        <w:rPr>
          <w:rFonts w:eastAsia="方正仿宋_GBK"/>
          <w:color w:val="000000"/>
          <w:sz w:val="32"/>
          <w:szCs w:val="32"/>
        </w:rPr>
      </w:pPr>
    </w:p>
    <w:p>
      <w:pPr>
        <w:spacing w:line="578" w:lineRule="exact"/>
        <w:jc w:val="center"/>
        <w:outlineLvl w:val="0"/>
        <w:rPr>
          <w:rFonts w:eastAsia="方正仿宋_GBK"/>
          <w:color w:val="000000"/>
          <w:sz w:val="32"/>
          <w:szCs w:val="32"/>
        </w:rPr>
      </w:pPr>
    </w:p>
    <w:p>
      <w:pPr>
        <w:spacing w:line="578" w:lineRule="exact"/>
        <w:jc w:val="center"/>
        <w:outlineLvl w:val="0"/>
        <w:rPr>
          <w:rFonts w:eastAsia="方正仿宋_GBK"/>
          <w:color w:val="000000"/>
          <w:sz w:val="32"/>
          <w:szCs w:val="32"/>
        </w:rPr>
      </w:pPr>
    </w:p>
    <w:p>
      <w:pPr>
        <w:spacing w:line="578" w:lineRule="exact"/>
        <w:jc w:val="center"/>
        <w:outlineLvl w:val="0"/>
        <w:rPr>
          <w:rFonts w:eastAsia="方正仿宋_GBK"/>
          <w:color w:val="000000"/>
          <w:sz w:val="32"/>
          <w:szCs w:val="32"/>
        </w:rPr>
      </w:pPr>
    </w:p>
    <w:p>
      <w:pPr>
        <w:spacing w:line="578" w:lineRule="exact"/>
        <w:jc w:val="center"/>
        <w:outlineLvl w:val="0"/>
        <w:rPr>
          <w:rFonts w:eastAsia="方正仿宋_GBK"/>
          <w:color w:val="000000"/>
          <w:sz w:val="32"/>
          <w:szCs w:val="32"/>
        </w:rPr>
      </w:pPr>
    </w:p>
    <w:p>
      <w:pPr>
        <w:spacing w:line="578" w:lineRule="exact"/>
        <w:jc w:val="center"/>
        <w:outlineLvl w:val="0"/>
        <w:rPr>
          <w:rFonts w:eastAsia="方正仿宋_GBK"/>
          <w:color w:val="000000"/>
          <w:sz w:val="32"/>
          <w:szCs w:val="32"/>
        </w:rPr>
      </w:pPr>
    </w:p>
    <w:p>
      <w:pPr>
        <w:spacing w:line="578" w:lineRule="exact"/>
        <w:jc w:val="center"/>
        <w:outlineLvl w:val="0"/>
        <w:rPr>
          <w:rStyle w:val="17"/>
          <w:rFonts w:ascii="方正小标宋_GBK" w:eastAsia="方正小标宋_GBK" w:cs="方正小标宋_GBK"/>
          <w:b w:val="0"/>
          <w:bCs w:val="0"/>
        </w:rPr>
      </w:pPr>
      <w:r>
        <w:rPr>
          <w:rFonts w:hint="eastAsia" w:ascii="方正小标宋_GBK" w:eastAsia="方正小标宋_GBK" w:cs="方正小标宋_GBK"/>
          <w:color w:val="000000"/>
          <w:sz w:val="44"/>
          <w:szCs w:val="44"/>
        </w:rPr>
        <w:t>第</w:t>
      </w:r>
      <w:r>
        <w:rPr>
          <w:rStyle w:val="17"/>
          <w:rFonts w:hint="eastAsia" w:ascii="方正小标宋_GBK" w:eastAsia="方正小标宋_GBK" w:cs="方正小标宋_GBK"/>
          <w:b w:val="0"/>
          <w:bCs w:val="0"/>
        </w:rPr>
        <w:t>五部分　附表</w:t>
      </w:r>
      <w:bookmarkEnd w:id="55"/>
      <w:bookmarkEnd w:id="58"/>
    </w:p>
    <w:p>
      <w:pPr>
        <w:spacing w:line="578" w:lineRule="exact"/>
        <w:jc w:val="center"/>
        <w:outlineLvl w:val="0"/>
        <w:rPr>
          <w:rFonts w:eastAsia="方正仿宋_GBK"/>
          <w:color w:val="000000"/>
          <w:sz w:val="32"/>
          <w:szCs w:val="32"/>
        </w:rPr>
      </w:pPr>
    </w:p>
    <w:p>
      <w:pPr>
        <w:pStyle w:val="3"/>
        <w:spacing w:before="0" w:after="0" w:line="578" w:lineRule="exact"/>
        <w:ind w:firstLine="640" w:firstLineChars="200"/>
        <w:rPr>
          <w:rFonts w:ascii="Times New Roman" w:hAnsi="Times New Roman" w:eastAsia="方正仿宋_GBK"/>
          <w:b w:val="0"/>
          <w:bCs w:val="0"/>
          <w:color w:val="000000"/>
        </w:rPr>
      </w:pPr>
      <w:bookmarkStart w:id="59" w:name="_Toc15396619"/>
      <w:r>
        <w:rPr>
          <w:rFonts w:ascii="Times New Roman" w:hAnsi="Times New Roman" w:eastAsia="方正仿宋_GBK"/>
          <w:b w:val="0"/>
          <w:bCs w:val="0"/>
          <w:color w:val="000000"/>
        </w:rPr>
        <w:t>一</w:t>
      </w:r>
      <w:r>
        <w:rPr>
          <w:rFonts w:hint="eastAsia" w:ascii="Times New Roman" w:hAnsi="Times New Roman" w:eastAsia="方正仿宋_GBK"/>
          <w:b w:val="0"/>
          <w:bCs w:val="0"/>
          <w:color w:val="000000"/>
        </w:rPr>
        <w:t>、</w:t>
      </w:r>
      <w:r>
        <w:rPr>
          <w:rFonts w:ascii="Times New Roman" w:hAnsi="Times New Roman" w:eastAsia="方正仿宋_GBK"/>
          <w:b w:val="0"/>
          <w:bCs w:val="0"/>
          <w:color w:val="000000"/>
        </w:rPr>
        <w:t>收</w:t>
      </w:r>
      <w:r>
        <w:rPr>
          <w:rStyle w:val="18"/>
          <w:rFonts w:ascii="Times New Roman" w:hAnsi="Times New Roman" w:eastAsia="方正仿宋_GBK"/>
          <w:b w:val="0"/>
          <w:bCs w:val="0"/>
        </w:rPr>
        <w:t>入支出决算总表</w:t>
      </w:r>
      <w:bookmarkEnd w:id="59"/>
    </w:p>
    <w:p>
      <w:pPr>
        <w:pStyle w:val="3"/>
        <w:spacing w:before="0" w:after="0" w:line="578" w:lineRule="exact"/>
        <w:ind w:firstLine="640" w:firstLineChars="200"/>
        <w:rPr>
          <w:rFonts w:ascii="Times New Roman" w:hAnsi="Times New Roman" w:eastAsia="方正仿宋_GBK"/>
          <w:b w:val="0"/>
          <w:bCs w:val="0"/>
          <w:color w:val="000000"/>
        </w:rPr>
      </w:pPr>
      <w:bookmarkStart w:id="60" w:name="_Toc15396620"/>
      <w:r>
        <w:rPr>
          <w:rFonts w:ascii="Times New Roman" w:hAnsi="Times New Roman" w:eastAsia="方正仿宋_GBK"/>
          <w:b w:val="0"/>
          <w:bCs w:val="0"/>
          <w:color w:val="000000"/>
        </w:rPr>
        <w:t>二、收</w:t>
      </w:r>
      <w:r>
        <w:rPr>
          <w:rStyle w:val="18"/>
          <w:rFonts w:ascii="Times New Roman" w:hAnsi="Times New Roman" w:eastAsia="方正仿宋_GBK"/>
          <w:b w:val="0"/>
          <w:bCs w:val="0"/>
        </w:rPr>
        <w:t>入决算表</w:t>
      </w:r>
      <w:bookmarkEnd w:id="60"/>
    </w:p>
    <w:p>
      <w:pPr>
        <w:pStyle w:val="3"/>
        <w:spacing w:before="0" w:after="0" w:line="578" w:lineRule="exact"/>
        <w:ind w:firstLine="640" w:firstLineChars="200"/>
        <w:rPr>
          <w:rFonts w:ascii="Times New Roman" w:hAnsi="Times New Roman" w:eastAsia="方正仿宋_GBK"/>
          <w:b w:val="0"/>
          <w:bCs w:val="0"/>
          <w:color w:val="000000"/>
        </w:rPr>
      </w:pPr>
      <w:bookmarkStart w:id="61" w:name="_Toc15396621"/>
      <w:r>
        <w:rPr>
          <w:rStyle w:val="18"/>
          <w:rFonts w:ascii="Times New Roman" w:hAnsi="Times New Roman" w:eastAsia="方正仿宋_GBK"/>
          <w:b w:val="0"/>
          <w:bCs w:val="0"/>
        </w:rPr>
        <w:t>三、</w:t>
      </w:r>
      <w:r>
        <w:rPr>
          <w:rFonts w:ascii="Times New Roman" w:hAnsi="Times New Roman" w:eastAsia="方正仿宋_GBK"/>
          <w:b w:val="0"/>
          <w:bCs w:val="0"/>
          <w:color w:val="000000"/>
        </w:rPr>
        <w:t>支</w:t>
      </w:r>
      <w:r>
        <w:rPr>
          <w:rStyle w:val="18"/>
          <w:rFonts w:ascii="Times New Roman" w:hAnsi="Times New Roman" w:eastAsia="方正仿宋_GBK"/>
          <w:b w:val="0"/>
          <w:bCs w:val="0"/>
        </w:rPr>
        <w:t>出决算表</w:t>
      </w:r>
      <w:bookmarkEnd w:id="61"/>
    </w:p>
    <w:p>
      <w:pPr>
        <w:pStyle w:val="3"/>
        <w:spacing w:before="0" w:after="0" w:line="578" w:lineRule="exact"/>
        <w:ind w:firstLine="640" w:firstLineChars="200"/>
        <w:rPr>
          <w:rFonts w:ascii="Times New Roman" w:hAnsi="Times New Roman" w:eastAsia="方正仿宋_GBK"/>
          <w:b w:val="0"/>
          <w:bCs w:val="0"/>
          <w:color w:val="000000"/>
        </w:rPr>
      </w:pPr>
      <w:bookmarkStart w:id="62" w:name="_Toc15396622"/>
      <w:r>
        <w:rPr>
          <w:rStyle w:val="18"/>
          <w:rFonts w:ascii="Times New Roman" w:hAnsi="Times New Roman" w:eastAsia="方正仿宋_GBK"/>
          <w:b w:val="0"/>
          <w:bCs w:val="0"/>
        </w:rPr>
        <w:t>四、</w:t>
      </w:r>
      <w:r>
        <w:rPr>
          <w:rFonts w:ascii="Times New Roman" w:hAnsi="Times New Roman" w:eastAsia="方正仿宋_GBK"/>
          <w:b w:val="0"/>
          <w:bCs w:val="0"/>
          <w:color w:val="000000"/>
        </w:rPr>
        <w:t>财</w:t>
      </w:r>
      <w:r>
        <w:rPr>
          <w:rStyle w:val="18"/>
          <w:rFonts w:ascii="Times New Roman" w:hAnsi="Times New Roman" w:eastAsia="方正仿宋_GBK"/>
          <w:b w:val="0"/>
          <w:bCs w:val="0"/>
        </w:rPr>
        <w:t>政拨款收入支出决算总表</w:t>
      </w:r>
      <w:bookmarkEnd w:id="62"/>
    </w:p>
    <w:p>
      <w:pPr>
        <w:pStyle w:val="3"/>
        <w:spacing w:before="0" w:after="0" w:line="578" w:lineRule="exact"/>
        <w:ind w:firstLine="640" w:firstLineChars="200"/>
        <w:rPr>
          <w:rStyle w:val="18"/>
          <w:rFonts w:ascii="Times New Roman" w:hAnsi="Times New Roman" w:eastAsia="方正仿宋_GBK"/>
          <w:b w:val="0"/>
          <w:bCs w:val="0"/>
        </w:rPr>
      </w:pPr>
      <w:bookmarkStart w:id="63" w:name="_Toc15396623"/>
      <w:r>
        <w:rPr>
          <w:rStyle w:val="18"/>
          <w:rFonts w:ascii="Times New Roman" w:hAnsi="Times New Roman" w:eastAsia="方正仿宋_GBK"/>
          <w:b w:val="0"/>
          <w:bCs w:val="0"/>
        </w:rPr>
        <w:t>五、</w:t>
      </w:r>
      <w:r>
        <w:rPr>
          <w:rFonts w:ascii="Times New Roman" w:hAnsi="Times New Roman" w:eastAsia="方正仿宋_GBK"/>
          <w:b w:val="0"/>
          <w:bCs w:val="0"/>
          <w:color w:val="000000"/>
        </w:rPr>
        <w:t>财</w:t>
      </w:r>
      <w:r>
        <w:rPr>
          <w:rStyle w:val="18"/>
          <w:rFonts w:ascii="Times New Roman" w:hAnsi="Times New Roman" w:eastAsia="方正仿宋_GBK"/>
          <w:b w:val="0"/>
          <w:bCs w:val="0"/>
        </w:rPr>
        <w:t>政拨款支出决算明细表</w:t>
      </w:r>
      <w:bookmarkEnd w:id="63"/>
      <w:bookmarkStart w:id="64" w:name="_Toc15396624"/>
    </w:p>
    <w:p>
      <w:pPr>
        <w:pStyle w:val="3"/>
        <w:spacing w:before="0" w:after="0" w:line="578" w:lineRule="exact"/>
        <w:ind w:firstLine="640" w:firstLineChars="200"/>
        <w:rPr>
          <w:rFonts w:ascii="Times New Roman" w:hAnsi="Times New Roman" w:eastAsia="方正仿宋_GBK"/>
          <w:b w:val="0"/>
          <w:bCs w:val="0"/>
          <w:color w:val="000000"/>
        </w:rPr>
      </w:pPr>
      <w:r>
        <w:rPr>
          <w:rStyle w:val="18"/>
          <w:rFonts w:ascii="Times New Roman" w:hAnsi="Times New Roman" w:eastAsia="方正仿宋_GBK"/>
          <w:b w:val="0"/>
          <w:bCs w:val="0"/>
        </w:rPr>
        <w:t>六、</w:t>
      </w:r>
      <w:r>
        <w:rPr>
          <w:rFonts w:ascii="Times New Roman" w:hAnsi="Times New Roman" w:eastAsia="方正仿宋_GBK"/>
          <w:b w:val="0"/>
          <w:bCs w:val="0"/>
          <w:color w:val="000000"/>
        </w:rPr>
        <w:t>一</w:t>
      </w:r>
      <w:r>
        <w:rPr>
          <w:rStyle w:val="18"/>
          <w:rFonts w:ascii="Times New Roman" w:hAnsi="Times New Roman" w:eastAsia="方正仿宋_GBK"/>
          <w:b w:val="0"/>
          <w:bCs w:val="0"/>
        </w:rPr>
        <w:t>般公共预算财政拨款支出决算表</w:t>
      </w:r>
      <w:bookmarkEnd w:id="64"/>
    </w:p>
    <w:p>
      <w:pPr>
        <w:pStyle w:val="3"/>
        <w:spacing w:before="0" w:after="0" w:line="578" w:lineRule="exact"/>
        <w:ind w:firstLine="640" w:firstLineChars="200"/>
        <w:rPr>
          <w:rFonts w:ascii="Times New Roman" w:hAnsi="Times New Roman" w:eastAsia="方正仿宋_GBK"/>
          <w:b w:val="0"/>
          <w:bCs w:val="0"/>
          <w:color w:val="000000"/>
        </w:rPr>
      </w:pPr>
      <w:bookmarkStart w:id="65" w:name="_Toc15396625"/>
      <w:r>
        <w:rPr>
          <w:rStyle w:val="18"/>
          <w:rFonts w:ascii="Times New Roman" w:hAnsi="Times New Roman" w:eastAsia="方正仿宋_GBK"/>
          <w:b w:val="0"/>
          <w:bCs w:val="0"/>
        </w:rPr>
        <w:t>七、</w:t>
      </w:r>
      <w:r>
        <w:rPr>
          <w:rFonts w:ascii="Times New Roman" w:hAnsi="Times New Roman" w:eastAsia="方正仿宋_GBK"/>
          <w:b w:val="0"/>
          <w:bCs w:val="0"/>
          <w:color w:val="000000"/>
        </w:rPr>
        <w:t>一</w:t>
      </w:r>
      <w:r>
        <w:rPr>
          <w:rStyle w:val="18"/>
          <w:rFonts w:ascii="Times New Roman" w:hAnsi="Times New Roman" w:eastAsia="方正仿宋_GBK"/>
          <w:b w:val="0"/>
          <w:bCs w:val="0"/>
        </w:rPr>
        <w:t>般公共预算财政拨款支出决算明细表</w:t>
      </w:r>
      <w:bookmarkEnd w:id="65"/>
    </w:p>
    <w:p>
      <w:pPr>
        <w:pStyle w:val="3"/>
        <w:spacing w:before="0" w:after="0" w:line="578" w:lineRule="exact"/>
        <w:ind w:firstLine="640" w:firstLineChars="200"/>
        <w:rPr>
          <w:rFonts w:ascii="Times New Roman" w:hAnsi="Times New Roman" w:eastAsia="方正仿宋_GBK"/>
          <w:b w:val="0"/>
          <w:bCs w:val="0"/>
          <w:color w:val="000000"/>
        </w:rPr>
      </w:pPr>
      <w:bookmarkStart w:id="66" w:name="_Toc15396626"/>
      <w:r>
        <w:rPr>
          <w:rStyle w:val="18"/>
          <w:rFonts w:ascii="Times New Roman" w:hAnsi="Times New Roman" w:eastAsia="方正仿宋_GBK"/>
          <w:b w:val="0"/>
          <w:bCs w:val="0"/>
        </w:rPr>
        <w:t>八、</w:t>
      </w:r>
      <w:r>
        <w:rPr>
          <w:rFonts w:ascii="Times New Roman" w:hAnsi="Times New Roman" w:eastAsia="方正仿宋_GBK"/>
          <w:b w:val="0"/>
          <w:bCs w:val="0"/>
          <w:color w:val="000000"/>
        </w:rPr>
        <w:t>一</w:t>
      </w:r>
      <w:r>
        <w:rPr>
          <w:rStyle w:val="18"/>
          <w:rFonts w:ascii="Times New Roman" w:hAnsi="Times New Roman" w:eastAsia="方正仿宋_GBK"/>
          <w:b w:val="0"/>
          <w:bCs w:val="0"/>
        </w:rPr>
        <w:t>般公共预算财政拨款基本支出决算表</w:t>
      </w:r>
      <w:bookmarkEnd w:id="66"/>
    </w:p>
    <w:p>
      <w:pPr>
        <w:pStyle w:val="3"/>
        <w:spacing w:before="0" w:after="0" w:line="578" w:lineRule="exact"/>
        <w:ind w:firstLine="640" w:firstLineChars="200"/>
        <w:rPr>
          <w:rFonts w:ascii="Times New Roman" w:hAnsi="Times New Roman" w:eastAsia="方正仿宋_GBK"/>
          <w:b w:val="0"/>
          <w:bCs w:val="0"/>
          <w:color w:val="000000"/>
        </w:rPr>
      </w:pPr>
      <w:bookmarkStart w:id="67" w:name="_Toc15396627"/>
      <w:r>
        <w:rPr>
          <w:rStyle w:val="18"/>
          <w:rFonts w:ascii="Times New Roman" w:hAnsi="Times New Roman" w:eastAsia="方正仿宋_GBK"/>
          <w:b w:val="0"/>
          <w:bCs w:val="0"/>
        </w:rPr>
        <w:t>九、</w:t>
      </w:r>
      <w:r>
        <w:rPr>
          <w:rFonts w:ascii="Times New Roman" w:hAnsi="Times New Roman" w:eastAsia="方正仿宋_GBK"/>
          <w:b w:val="0"/>
          <w:bCs w:val="0"/>
          <w:color w:val="000000"/>
        </w:rPr>
        <w:t>一</w:t>
      </w:r>
      <w:r>
        <w:rPr>
          <w:rStyle w:val="18"/>
          <w:rFonts w:ascii="Times New Roman" w:hAnsi="Times New Roman" w:eastAsia="方正仿宋_GBK"/>
          <w:b w:val="0"/>
          <w:bCs w:val="0"/>
        </w:rPr>
        <w:t>般公共预算财政拨款项目支出决算表</w:t>
      </w:r>
      <w:bookmarkEnd w:id="67"/>
    </w:p>
    <w:p>
      <w:pPr>
        <w:pStyle w:val="3"/>
        <w:spacing w:before="0" w:after="0" w:line="578" w:lineRule="exact"/>
        <w:ind w:firstLine="640" w:firstLineChars="200"/>
        <w:rPr>
          <w:rFonts w:ascii="Times New Roman" w:hAnsi="Times New Roman" w:eastAsia="方正仿宋_GBK"/>
          <w:b w:val="0"/>
          <w:bCs w:val="0"/>
          <w:color w:val="000000"/>
        </w:rPr>
      </w:pPr>
      <w:bookmarkStart w:id="68" w:name="_Toc15396628"/>
      <w:r>
        <w:rPr>
          <w:rStyle w:val="18"/>
          <w:rFonts w:ascii="Times New Roman" w:hAnsi="Times New Roman" w:eastAsia="方正仿宋_GBK"/>
          <w:b w:val="0"/>
          <w:bCs w:val="0"/>
        </w:rPr>
        <w:t>十、</w:t>
      </w:r>
      <w:r>
        <w:rPr>
          <w:rFonts w:ascii="Times New Roman" w:hAnsi="Times New Roman" w:eastAsia="方正仿宋_GBK"/>
          <w:b w:val="0"/>
          <w:bCs w:val="0"/>
          <w:color w:val="000000"/>
        </w:rPr>
        <w:t>一</w:t>
      </w:r>
      <w:r>
        <w:rPr>
          <w:rStyle w:val="18"/>
          <w:rFonts w:ascii="Times New Roman" w:hAnsi="Times New Roman" w:eastAsia="方正仿宋_GBK"/>
          <w:b w:val="0"/>
          <w:bCs w:val="0"/>
        </w:rPr>
        <w:t>般公共预算财政拨款“三公”经费支出决算表</w:t>
      </w:r>
      <w:bookmarkEnd w:id="68"/>
    </w:p>
    <w:p>
      <w:pPr>
        <w:pStyle w:val="3"/>
        <w:spacing w:before="0" w:after="0" w:line="578" w:lineRule="exact"/>
        <w:ind w:firstLine="640" w:firstLineChars="200"/>
        <w:rPr>
          <w:rFonts w:ascii="Times New Roman" w:hAnsi="Times New Roman" w:eastAsia="方正仿宋_GBK"/>
          <w:b w:val="0"/>
          <w:bCs w:val="0"/>
          <w:color w:val="000000"/>
        </w:rPr>
      </w:pPr>
      <w:bookmarkStart w:id="69" w:name="_Toc15396629"/>
      <w:r>
        <w:rPr>
          <w:rStyle w:val="18"/>
          <w:rFonts w:ascii="Times New Roman" w:hAnsi="Times New Roman" w:eastAsia="方正仿宋_GBK"/>
          <w:b w:val="0"/>
          <w:bCs w:val="0"/>
        </w:rPr>
        <w:t>十一、</w:t>
      </w:r>
      <w:r>
        <w:rPr>
          <w:rFonts w:ascii="Times New Roman" w:hAnsi="Times New Roman" w:eastAsia="方正仿宋_GBK"/>
          <w:b w:val="0"/>
          <w:bCs w:val="0"/>
          <w:color w:val="000000"/>
        </w:rPr>
        <w:t>政</w:t>
      </w:r>
      <w:r>
        <w:rPr>
          <w:rStyle w:val="18"/>
          <w:rFonts w:ascii="Times New Roman" w:hAnsi="Times New Roman" w:eastAsia="方正仿宋_GBK"/>
          <w:b w:val="0"/>
          <w:bCs w:val="0"/>
        </w:rPr>
        <w:t>府性基金预算财政拨款收入支出决算表</w:t>
      </w:r>
      <w:bookmarkEnd w:id="69"/>
    </w:p>
    <w:p>
      <w:pPr>
        <w:pStyle w:val="3"/>
        <w:spacing w:before="0" w:after="0" w:line="578" w:lineRule="exact"/>
        <w:ind w:firstLine="640" w:firstLineChars="200"/>
        <w:rPr>
          <w:rFonts w:ascii="Times New Roman" w:hAnsi="Times New Roman" w:eastAsia="方正仿宋_GBK"/>
          <w:b w:val="0"/>
          <w:bCs w:val="0"/>
          <w:color w:val="000000"/>
        </w:rPr>
      </w:pPr>
      <w:bookmarkStart w:id="70" w:name="_Toc15396630"/>
      <w:r>
        <w:rPr>
          <w:rStyle w:val="18"/>
          <w:rFonts w:ascii="Times New Roman" w:hAnsi="Times New Roman" w:eastAsia="方正仿宋_GBK"/>
          <w:b w:val="0"/>
          <w:bCs w:val="0"/>
        </w:rPr>
        <w:t>十二、</w:t>
      </w:r>
      <w:r>
        <w:rPr>
          <w:rFonts w:ascii="Times New Roman" w:hAnsi="Times New Roman" w:eastAsia="方正仿宋_GBK"/>
          <w:b w:val="0"/>
          <w:bCs w:val="0"/>
          <w:color w:val="000000"/>
        </w:rPr>
        <w:t>政</w:t>
      </w:r>
      <w:r>
        <w:rPr>
          <w:rStyle w:val="18"/>
          <w:rFonts w:ascii="Times New Roman" w:hAnsi="Times New Roman" w:eastAsia="方正仿宋_GBK"/>
          <w:b w:val="0"/>
          <w:bCs w:val="0"/>
        </w:rPr>
        <w:t>府性基金预算财政拨款“三公”经费支出决算表</w:t>
      </w:r>
      <w:bookmarkEnd w:id="70"/>
    </w:p>
    <w:p>
      <w:pPr>
        <w:pStyle w:val="3"/>
        <w:spacing w:before="0" w:after="0" w:line="578" w:lineRule="exact"/>
        <w:ind w:firstLine="640" w:firstLineChars="200"/>
        <w:rPr>
          <w:rStyle w:val="18"/>
          <w:rFonts w:ascii="Times New Roman" w:hAnsi="Times New Roman" w:eastAsia="方正仿宋_GBK"/>
          <w:b w:val="0"/>
          <w:bCs w:val="0"/>
        </w:rPr>
      </w:pPr>
      <w:bookmarkStart w:id="71" w:name="_Toc15396631"/>
      <w:r>
        <w:rPr>
          <w:rStyle w:val="18"/>
          <w:rFonts w:ascii="Times New Roman" w:hAnsi="Times New Roman" w:eastAsia="方正仿宋_GBK"/>
          <w:b w:val="0"/>
          <w:bCs w:val="0"/>
        </w:rPr>
        <w:t>十三、</w:t>
      </w:r>
      <w:r>
        <w:rPr>
          <w:rFonts w:ascii="Times New Roman" w:hAnsi="Times New Roman" w:eastAsia="方正仿宋_GBK"/>
          <w:b w:val="0"/>
          <w:bCs w:val="0"/>
          <w:color w:val="000000"/>
        </w:rPr>
        <w:t>国</w:t>
      </w:r>
      <w:r>
        <w:rPr>
          <w:rStyle w:val="18"/>
          <w:rFonts w:ascii="Times New Roman" w:hAnsi="Times New Roman" w:eastAsia="方正仿宋_GBK"/>
          <w:b w:val="0"/>
          <w:bCs w:val="0"/>
        </w:rPr>
        <w:t>有资本经营预算财政拨款收入支出决算表</w:t>
      </w:r>
      <w:bookmarkEnd w:id="71"/>
    </w:p>
    <w:p>
      <w:pPr>
        <w:pStyle w:val="3"/>
        <w:spacing w:before="0" w:after="0" w:line="578" w:lineRule="exact"/>
        <w:ind w:firstLine="640" w:firstLineChars="200"/>
        <w:rPr>
          <w:rFonts w:ascii="Times New Roman" w:hAnsi="Times New Roman" w:eastAsia="方正仿宋_GBK"/>
          <w:b w:val="0"/>
          <w:bCs w:val="0"/>
          <w:color w:val="000000"/>
        </w:rPr>
      </w:pPr>
      <w:r>
        <w:rPr>
          <w:rStyle w:val="18"/>
          <w:rFonts w:ascii="Times New Roman" w:hAnsi="Times New Roman" w:eastAsia="方正仿宋_GBK"/>
          <w:b w:val="0"/>
          <w:bCs w:val="0"/>
        </w:rPr>
        <w:t>十四、</w:t>
      </w:r>
      <w:r>
        <w:rPr>
          <w:rFonts w:ascii="Times New Roman" w:hAnsi="Times New Roman" w:eastAsia="方正仿宋_GBK"/>
          <w:b w:val="0"/>
          <w:bCs w:val="0"/>
          <w:color w:val="000000"/>
        </w:rPr>
        <w:t>国</w:t>
      </w:r>
      <w:r>
        <w:rPr>
          <w:rStyle w:val="18"/>
          <w:rFonts w:ascii="Times New Roman" w:hAnsi="Times New Roman" w:eastAsia="方正仿宋_GBK"/>
          <w:b w:val="0"/>
          <w:bCs w:val="0"/>
        </w:rPr>
        <w:t>有资本经营预算财政拨款支出决算表</w:t>
      </w:r>
    </w:p>
    <w:p>
      <w:pPr>
        <w:spacing w:line="578" w:lineRule="exact"/>
        <w:rPr>
          <w:rFonts w:eastAsia="方正仿宋_GBK"/>
          <w:sz w:val="32"/>
          <w:szCs w:val="32"/>
        </w:rPr>
      </w:pPr>
    </w:p>
    <w:sectPr>
      <w:footerReference r:id="rId4" w:type="first"/>
      <w:footerReference r:id="rId3" w:type="default"/>
      <w:pgSz w:w="11906" w:h="16838"/>
      <w:pgMar w:top="1701" w:right="1588" w:bottom="1588" w:left="158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0</wp:posOffset>
              </wp:positionV>
              <wp:extent cx="145415" cy="133350"/>
              <wp:effectExtent l="0" t="0" r="0" b="0"/>
              <wp:wrapNone/>
              <wp:docPr id="1" name="_x0000_s3075"/>
              <wp:cNvGraphicFramePr/>
              <a:graphic xmlns:a="http://schemas.openxmlformats.org/drawingml/2006/main">
                <a:graphicData uri="http://schemas.microsoft.com/office/word/2010/wordprocessingShape">
                  <wps:wsp>
                    <wps:cNvSpPr/>
                    <wps:spPr>
                      <a:xfrm>
                        <a:off x="0" y="0"/>
                        <a:ext cx="145389" cy="133159"/>
                      </a:xfrm>
                      <a:prstGeom prst="rect">
                        <a:avLst/>
                      </a:prstGeom>
                      <a:noFill/>
                      <a:ln w="9525" cap="flat" cmpd="sng">
                        <a:noFill/>
                        <a:prstDash val="solid"/>
                        <a:miter/>
                      </a:ln>
                    </wps:spPr>
                    <wps:txbx>
                      <w:txbxContent>
                        <w:p>
                          <w:pPr>
                            <w:pStyle w:val="8"/>
                          </w:pPr>
                          <w:r>
                            <w:fldChar w:fldCharType="begin"/>
                          </w:r>
                          <w:r>
                            <w:instrText xml:space="preserve"> PAGE  \* MERGEFORMAT </w:instrText>
                          </w:r>
                          <w:r>
                            <w:fldChar w:fldCharType="separate"/>
                          </w:r>
                          <w:r>
                            <w:t>40</w:t>
                          </w:r>
                          <w:r>
                            <w:fldChar w:fldCharType="end"/>
                          </w:r>
                        </w:p>
                      </w:txbxContent>
                    </wps:txbx>
                    <wps:bodyPr vert="horz" wrap="none" lIns="0" tIns="0" rIns="0" bIns="0" anchor="t" anchorCtr="0" upright="1">
                      <a:spAutoFit/>
                    </wps:bodyPr>
                  </wps:wsp>
                </a:graphicData>
              </a:graphic>
            </wp:anchor>
          </w:drawing>
        </mc:Choice>
        <mc:Fallback>
          <w:pict>
            <v:rect id="_x0000_s3075" o:spid="_x0000_s1026" o:spt="1" style="position:absolute;left:0pt;margin-top:0pt;height:10.5pt;width:11.45pt;mso-position-horizontal:right;mso-position-horizontal-relative:margin;mso-wrap-style:none;z-index:251659264;mso-width-relative:page;mso-height-relative:page;" filled="f" stroked="f" coordsize="21600,21600" o:gfxdata="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DaDFhNEAAAADAQAADwAAAAAAAAABACAAAAA4AAAA&#10;ZHJzL2Rvd25yZXYueG1sUEsBAhQAFAAAAAgAh07iQInqs9f4AQAA9QMAAA4AAAAAAAAAAQAgAAAA&#10;NgEAAGRycy9lMm9Eb2MueG1sUEsFBgAAAAAGAAYAWQEAAKAFAAAAAA==&#10;">
              <v:fill on="f" focussize="0,0"/>
              <v:stroke on="f" joinstyle="miter"/>
              <v:imagedata o:title=""/>
              <o:lock v:ext="edit" aspectratio="f"/>
              <v:textbox inset="0mm,0mm,0mm,0mm" style="mso-fit-shape-to-text:t;">
                <w:txbxContent>
                  <w:p>
                    <w:pPr>
                      <w:pStyle w:val="8"/>
                    </w:pPr>
                    <w:r>
                      <w:fldChar w:fldCharType="begin"/>
                    </w:r>
                    <w:r>
                      <w:instrText xml:space="preserve"> PAGE  \* MERGEFORMAT </w:instrText>
                    </w:r>
                    <w:r>
                      <w:fldChar w:fldCharType="separate"/>
                    </w:r>
                    <w:r>
                      <w:t>40</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0</wp:posOffset>
              </wp:positionV>
              <wp:extent cx="72390" cy="133350"/>
              <wp:effectExtent l="0" t="0" r="0" b="0"/>
              <wp:wrapNone/>
              <wp:docPr id="4" name="_x0000_s3076"/>
              <wp:cNvGraphicFramePr/>
              <a:graphic xmlns:a="http://schemas.openxmlformats.org/drawingml/2006/main">
                <a:graphicData uri="http://schemas.microsoft.com/office/word/2010/wordprocessingShape">
                  <wps:wsp>
                    <wps:cNvSpPr/>
                    <wps:spPr>
                      <a:xfrm>
                        <a:off x="0" y="0"/>
                        <a:ext cx="72694" cy="133159"/>
                      </a:xfrm>
                      <a:prstGeom prst="rect">
                        <a:avLst/>
                      </a:prstGeom>
                      <a:noFill/>
                      <a:ln w="9525" cap="flat" cmpd="sng">
                        <a:noFill/>
                        <a:prstDash val="solid"/>
                        <a:miter/>
                      </a:ln>
                    </wps:spPr>
                    <wps:txbx>
                      <w:txbxContent>
                        <w:p>
                          <w:pPr>
                            <w:pStyle w:val="8"/>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_x0000_s3076" o:spid="_x0000_s1026" o:spt="1" style="position:absolute;left:0pt;margin-top:0pt;height:10.5pt;width:5.7pt;mso-position-horizontal:right;mso-position-horizontal-relative:margin;mso-wrap-style:none;z-index:251659264;mso-width-relative:page;mso-height-relative:page;" filled="f" stroked="f" coordsize="21600,21600" o:gfxdata="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Ialzu0QAAAAMBAAAPAAAAAAAAAAEAIAAAADgAAABk&#10;cnMvZG93bnJldi54bWxQSwECFAAUAAAACACHTuJAoFCug/cBAAD0AwAADgAAAAAAAAABACAAAAA2&#10;AQAAZHJzL2Uyb0RvYy54bWxQSwUGAAAAAAYABgBZAQAAnwUAAAAA&#10;">
              <v:fill on="f" focussize="0,0"/>
              <v:stroke on="f" joinstyle="miter"/>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294CA"/>
    <w:multiLevelType w:val="singleLevel"/>
    <w:tmpl w:val="8EC294CA"/>
    <w:lvl w:ilvl="0" w:tentative="0">
      <w:start w:val="4"/>
      <w:numFmt w:val="decimal"/>
      <w:suff w:val="nothing"/>
      <w:lvlText w:val="（%1）"/>
      <w:lvlJc w:val="left"/>
      <w:pPr>
        <w:tabs>
          <w:tab w:val="left" w:pos="0"/>
        </w:tabs>
        <w:ind w:left="0" w:firstLine="0"/>
      </w:pPr>
    </w:lvl>
  </w:abstractNum>
  <w:abstractNum w:abstractNumId="1">
    <w:nsid w:val="8EC4E1C0"/>
    <w:multiLevelType w:val="singleLevel"/>
    <w:tmpl w:val="8EC4E1C0"/>
    <w:lvl w:ilvl="0" w:tentative="0">
      <w:start w:val="1"/>
      <w:numFmt w:val="decimal"/>
      <w:suff w:val="space"/>
      <w:lvlText w:val="%1."/>
      <w:lvlJc w:val="left"/>
      <w:pPr>
        <w:tabs>
          <w:tab w:val="left" w:pos="0"/>
        </w:tabs>
        <w:ind w:left="0" w:firstLine="0"/>
      </w:pPr>
    </w:lvl>
  </w:abstractNum>
  <w:abstractNum w:abstractNumId="2">
    <w:nsid w:val="A54D206A"/>
    <w:multiLevelType w:val="singleLevel"/>
    <w:tmpl w:val="A54D206A"/>
    <w:lvl w:ilvl="0" w:tentative="0">
      <w:start w:val="1"/>
      <w:numFmt w:val="decimal"/>
      <w:suff w:val="space"/>
      <w:lvlText w:val="%1."/>
      <w:lvlJc w:val="left"/>
      <w:pPr>
        <w:tabs>
          <w:tab w:val="left" w:pos="0"/>
        </w:tabs>
        <w:ind w:left="0" w:firstLine="0"/>
      </w:pPr>
    </w:lvl>
  </w:abstractNum>
  <w:abstractNum w:abstractNumId="3">
    <w:nsid w:val="0633A94B"/>
    <w:multiLevelType w:val="singleLevel"/>
    <w:tmpl w:val="0633A94B"/>
    <w:lvl w:ilvl="0" w:tentative="0">
      <w:start w:val="2"/>
      <w:numFmt w:val="chineseCounting"/>
      <w:suff w:val="nothing"/>
      <w:lvlText w:val="（%1）"/>
      <w:lvlJc w:val="left"/>
      <w:pPr>
        <w:tabs>
          <w:tab w:val="left" w:pos="0"/>
        </w:tabs>
        <w:ind w:left="0" w:firstLine="0"/>
      </w:pPr>
      <w:rPr>
        <w:rFonts w:hint="eastAsia"/>
      </w:rPr>
    </w:lvl>
  </w:abstractNum>
  <w:abstractNum w:abstractNumId="4">
    <w:nsid w:val="1673881C"/>
    <w:multiLevelType w:val="singleLevel"/>
    <w:tmpl w:val="1673881C"/>
    <w:lvl w:ilvl="0" w:tentative="0">
      <w:start w:val="1"/>
      <w:numFmt w:val="decimal"/>
      <w:suff w:val="space"/>
      <w:lvlText w:val="%1."/>
      <w:lvlJc w:val="left"/>
      <w:pPr>
        <w:tabs>
          <w:tab w:val="left" w:pos="0"/>
        </w:tabs>
        <w:ind w:left="0" w:firstLine="0"/>
      </w:pPr>
    </w:lvl>
  </w:abstractNum>
  <w:abstractNum w:abstractNumId="5">
    <w:nsid w:val="2439651F"/>
    <w:multiLevelType w:val="singleLevel"/>
    <w:tmpl w:val="2439651F"/>
    <w:lvl w:ilvl="0" w:tentative="0">
      <w:start w:val="1"/>
      <w:numFmt w:val="decimal"/>
      <w:suff w:val="nothing"/>
      <w:lvlText w:val="（%1）"/>
      <w:lvlJc w:val="left"/>
      <w:pPr>
        <w:tabs>
          <w:tab w:val="left" w:pos="0"/>
        </w:tabs>
        <w:ind w:left="0" w:firstLine="0"/>
      </w:pPr>
    </w:lvl>
  </w:abstractNum>
  <w:abstractNum w:abstractNumId="6">
    <w:nsid w:val="3B941134"/>
    <w:multiLevelType w:val="singleLevel"/>
    <w:tmpl w:val="3B941134"/>
    <w:lvl w:ilvl="0" w:tentative="0">
      <w:start w:val="4"/>
      <w:numFmt w:val="chineseCounting"/>
      <w:suff w:val="space"/>
      <w:lvlText w:val="第%1部分"/>
      <w:lvlJc w:val="left"/>
      <w:pPr>
        <w:tabs>
          <w:tab w:val="left" w:pos="0"/>
        </w:tabs>
        <w:ind w:left="0" w:firstLine="0"/>
      </w:pPr>
      <w:rPr>
        <w:rFonts w:hint="eastAsia"/>
      </w:rPr>
    </w:lvl>
  </w:abstractNum>
  <w:abstractNum w:abstractNumId="7">
    <w:nsid w:val="4B23D1B7"/>
    <w:multiLevelType w:val="singleLevel"/>
    <w:tmpl w:val="4B23D1B7"/>
    <w:lvl w:ilvl="0" w:tentative="0">
      <w:start w:val="1"/>
      <w:numFmt w:val="decimal"/>
      <w:suff w:val="space"/>
      <w:lvlText w:val="%1."/>
      <w:lvlJc w:val="left"/>
      <w:pPr>
        <w:tabs>
          <w:tab w:val="left" w:pos="0"/>
        </w:tabs>
        <w:ind w:left="0" w:firstLine="0"/>
      </w:pPr>
    </w:lvl>
  </w:abstractNum>
  <w:abstractNum w:abstractNumId="8">
    <w:nsid w:val="5A124020"/>
    <w:multiLevelType w:val="singleLevel"/>
    <w:tmpl w:val="5A124020"/>
    <w:lvl w:ilvl="0" w:tentative="0">
      <w:start w:val="3"/>
      <w:numFmt w:val="decimal"/>
      <w:suff w:val="nothing"/>
      <w:lvlText w:val="（%1）"/>
      <w:lvlJc w:val="left"/>
      <w:pPr>
        <w:tabs>
          <w:tab w:val="left" w:pos="0"/>
        </w:tabs>
        <w:ind w:left="0" w:firstLine="0"/>
      </w:pPr>
    </w:lvl>
  </w:abstractNum>
  <w:abstractNum w:abstractNumId="9">
    <w:nsid w:val="6899304F"/>
    <w:multiLevelType w:val="singleLevel"/>
    <w:tmpl w:val="6899304F"/>
    <w:lvl w:ilvl="0" w:tentative="0">
      <w:start w:val="1"/>
      <w:numFmt w:val="decimal"/>
      <w:suff w:val="space"/>
      <w:lvlText w:val="%1."/>
      <w:lvlJc w:val="left"/>
      <w:pPr>
        <w:tabs>
          <w:tab w:val="left" w:pos="0"/>
        </w:tabs>
        <w:ind w:left="0" w:firstLine="0"/>
      </w:pPr>
    </w:lvl>
  </w:abstractNum>
  <w:num w:numId="1">
    <w:abstractNumId w:val="1"/>
  </w:num>
  <w:num w:numId="2">
    <w:abstractNumId w:val="8"/>
  </w:num>
  <w:num w:numId="3">
    <w:abstractNumId w:val="5"/>
  </w:num>
  <w:num w:numId="4">
    <w:abstractNumId w:val="0"/>
  </w:num>
  <w:num w:numId="5">
    <w:abstractNumId w:val="2"/>
  </w:num>
  <w:num w:numId="6">
    <w:abstractNumId w:val="7"/>
  </w:num>
  <w:num w:numId="7">
    <w:abstractNumId w:val="4"/>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compatSetting w:name="compatibilityMode" w:uri="http://schemas.microsoft.com/office/word" w:val="15"/>
  </w:compat>
  <w:rsids>
    <w:rsidRoot w:val="00000000"/>
    <w:rsid w:val="3FF5FE39"/>
    <w:rsid w:val="59BB0A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link w:val="18"/>
    <w:qFormat/>
    <w:uiPriority w:val="0"/>
    <w:pPr>
      <w:keepNext/>
      <w:keepLines/>
      <w:widowControl w:val="0"/>
      <w:spacing w:before="260" w:after="260" w:line="415" w:lineRule="auto"/>
      <w:outlineLvl w:val="1"/>
    </w:pPr>
    <w:rPr>
      <w:rFonts w:ascii="Cambria" w:hAnsi="Cambria"/>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before="30" w:beforeLines="30"/>
    </w:pPr>
    <w:rPr>
      <w:rFonts w:ascii="仿宋_GB2312" w:eastAsia="仿宋_GB2312"/>
      <w:kern w:val="0"/>
      <w:sz w:val="24"/>
      <w:szCs w:val="20"/>
    </w:rPr>
  </w:style>
  <w:style w:type="paragraph" w:styleId="6">
    <w:name w:val="toc 3"/>
    <w:basedOn w:val="1"/>
    <w:next w:val="1"/>
    <w:qFormat/>
    <w:uiPriority w:val="0"/>
    <w:pPr>
      <w:tabs>
        <w:tab w:val="right" w:leader="dot" w:pos="8296"/>
      </w:tabs>
      <w:ind w:left="400" w:leftChars="4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kern w:val="0"/>
      <w:sz w:val="18"/>
      <w:szCs w:val="20"/>
    </w:rPr>
  </w:style>
  <w:style w:type="paragraph" w:styleId="9">
    <w:name w:val="header"/>
    <w:basedOn w:val="1"/>
    <w:qFormat/>
    <w:uiPriority w:val="0"/>
    <w:pPr>
      <w:pBdr>
        <w:bottom w:val="single" w:color="auto" w:sz="6" w:space="1"/>
      </w:pBdr>
      <w:tabs>
        <w:tab w:val="center" w:pos="4153"/>
        <w:tab w:val="right" w:pos="8306"/>
      </w:tabs>
      <w:snapToGrid w:val="0"/>
      <w:jc w:val="center"/>
    </w:pPr>
    <w:rPr>
      <w:kern w:val="0"/>
      <w:sz w:val="18"/>
      <w:szCs w:val="20"/>
    </w:rPr>
  </w:style>
  <w:style w:type="paragraph" w:styleId="10">
    <w:name w:val="toc 1"/>
    <w:basedOn w:val="1"/>
    <w:next w:val="1"/>
    <w:qFormat/>
    <w:uiPriority w:val="0"/>
    <w:pPr>
      <w:tabs>
        <w:tab w:val="right" w:leader="dot" w:pos="8296"/>
      </w:tabs>
      <w:spacing w:before="93"/>
      <w:jc w:val="center"/>
    </w:pPr>
    <w:rPr>
      <w:rFonts w:ascii="仿宋" w:eastAsia="仿宋"/>
      <w:sz w:val="28"/>
      <w:szCs w:val="28"/>
    </w:rPr>
  </w:style>
  <w:style w:type="paragraph" w:styleId="11">
    <w:name w:val="toc 2"/>
    <w:basedOn w:val="1"/>
    <w:next w:val="1"/>
    <w:qFormat/>
    <w:uiPriority w:val="0"/>
    <w:pPr>
      <w:tabs>
        <w:tab w:val="right" w:leader="dot" w:pos="8296"/>
      </w:tabs>
      <w:ind w:left="200" w:leftChars="200"/>
    </w:pPr>
  </w:style>
  <w:style w:type="paragraph" w:styleId="12">
    <w:name w:val="Normal (Web)"/>
    <w:basedOn w:val="1"/>
    <w:qFormat/>
    <w:uiPriority w:val="0"/>
    <w:pPr>
      <w:widowControl/>
      <w:adjustRightInd w:val="0"/>
      <w:snapToGrid w:val="0"/>
      <w:spacing w:before="100" w:beforeAutospacing="1" w:after="100" w:afterAutospacing="1"/>
      <w:jc w:val="left"/>
    </w:pPr>
    <w:rPr>
      <w:rFonts w:ascii="宋体" w:hAnsi="宋体" w:eastAsia="微软雅黑" w:cs="宋体"/>
      <w:kern w:val="0"/>
      <w:sz w:val="24"/>
    </w:rPr>
  </w:style>
  <w:style w:type="character" w:styleId="15">
    <w:name w:val="Strong"/>
    <w:basedOn w:val="14"/>
    <w:qFormat/>
    <w:uiPriority w:val="0"/>
    <w:rPr>
      <w:rFonts w:cs="Times New Roman"/>
      <w:b/>
    </w:rPr>
  </w:style>
  <w:style w:type="character" w:styleId="16">
    <w:name w:val="Hyperlink"/>
    <w:basedOn w:val="14"/>
    <w:qFormat/>
    <w:uiPriority w:val="0"/>
    <w:rPr>
      <w:rFonts w:cs="Times New Roman"/>
      <w:color w:val="0000FF"/>
      <w:u w:val="single"/>
    </w:rPr>
  </w:style>
  <w:style w:type="character" w:customStyle="1" w:styleId="17">
    <w:name w:val="heading 1 Char"/>
    <w:basedOn w:val="14"/>
    <w:link w:val="2"/>
    <w:qFormat/>
    <w:uiPriority w:val="0"/>
    <w:rPr>
      <w:rFonts w:ascii="Times New Roman" w:hAnsi="Times New Roman" w:eastAsia="宋体" w:cs="Times New Roman"/>
      <w:b/>
      <w:bCs/>
      <w:kern w:val="44"/>
      <w:sz w:val="44"/>
      <w:szCs w:val="44"/>
      <w:lang w:val="en-US" w:eastAsia="zh-CN" w:bidi="ar-SA"/>
    </w:rPr>
  </w:style>
  <w:style w:type="character" w:customStyle="1" w:styleId="18">
    <w:name w:val="heading 2 Char"/>
    <w:basedOn w:val="14"/>
    <w:link w:val="3"/>
    <w:qFormat/>
    <w:uiPriority w:val="0"/>
    <w:rPr>
      <w:rFonts w:ascii="Cambria" w:hAnsi="Cambria" w:eastAsia="宋体" w:cs="Times New Roman"/>
      <w:b/>
      <w:bCs/>
      <w:kern w:val="2"/>
      <w:sz w:val="32"/>
      <w:szCs w:val="32"/>
      <w:lang w:val="en-US" w:eastAsia="zh-CN" w:bidi="ar-SA"/>
    </w:rPr>
  </w:style>
  <w:style w:type="paragraph" w:customStyle="1" w:styleId="19">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0">
    <w:name w:val="List Paragraph"/>
    <w:basedOn w:val="1"/>
    <w:qFormat/>
    <w:uiPriority w:val="0"/>
    <w:pPr>
      <w:ind w:firstLine="200" w:firstLineChars="200"/>
    </w:pPr>
  </w:style>
  <w:style w:type="paragraph" w:customStyle="1" w:styleId="21">
    <w:name w:val="TOC 标题1"/>
    <w:basedOn w:val="2"/>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2">
    <w:name w:val="TOC 标题2"/>
    <w:basedOn w:val="2"/>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53</Pages>
  <Words>22958</Words>
  <Characters>24547</Characters>
  <Lines>1537</Lines>
  <Paragraphs>508</Paragraphs>
  <TotalTime>27</TotalTime>
  <ScaleCrop>false</ScaleCrop>
  <LinksUpToDate>false</LinksUpToDate>
  <CharactersWithSpaces>24891</CharactersWithSpaces>
  <Application>WPS Office_11.8.2.1127_F1E327BC-269C-435d-A152-05C5408002CA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2021-09-10T09:14:00Z</dcterms:created>
  <dc:creator>曹颖</dc:creator>
  <cp:lastModifiedBy>user</cp:lastModifiedBy>
  <cp:lastPrinted>2021-09-13T14:29:00Z</cp:lastPrinted>
  <dcterms:modified xsi:type="dcterms:W3CDTF">2023-11-30T14:56:33Z</dcterms:modified>
  <dc:title>四川省***</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6ED051317D384A99BFDB9C4AC0DB077C</vt:lpwstr>
  </property>
</Properties>
</file>