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达州市达川区</w:t>
      </w:r>
      <w:r>
        <w:rPr>
          <w:rFonts w:hint="eastAsia" w:ascii="宋体" w:hAnsi="宋体" w:eastAsia="宋体"/>
          <w:b/>
          <w:sz w:val="44"/>
          <w:szCs w:val="44"/>
          <w:shd w:val="clear" w:color="auto" w:fill="FFFFFF"/>
          <w:lang w:eastAsia="zh-CN"/>
        </w:rPr>
        <w:t>明月江</w:t>
      </w:r>
      <w:r>
        <w:rPr>
          <w:rFonts w:hint="eastAsia" w:ascii="宋体" w:hAnsi="宋体" w:eastAsia="宋体"/>
          <w:b/>
          <w:sz w:val="44"/>
          <w:szCs w:val="44"/>
          <w:shd w:val="clear" w:color="auto" w:fill="FFFFFF"/>
        </w:rPr>
        <w:t>学校</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2023年单位整体支出绩效评价报告</w:t>
      </w:r>
    </w:p>
    <w:p>
      <w:pPr>
        <w:tabs>
          <w:tab w:val="left" w:pos="3885"/>
        </w:tabs>
        <w:snapToGrid w:val="0"/>
        <w:spacing w:line="600" w:lineRule="exact"/>
        <w:rPr>
          <w:rFonts w:eastAsia="仿宋"/>
          <w:kern w:val="0"/>
          <w:szCs w:val="32"/>
        </w:rPr>
      </w:pPr>
    </w:p>
    <w:p>
      <w:pPr>
        <w:tabs>
          <w:tab w:val="left" w:pos="3885"/>
        </w:tabs>
        <w:snapToGrid w:val="0"/>
        <w:spacing w:line="600" w:lineRule="exact"/>
        <w:ind w:firstLine="640" w:firstLineChars="200"/>
        <w:rPr>
          <w:rFonts w:eastAsia="仿宋"/>
          <w:kern w:val="0"/>
          <w:szCs w:val="32"/>
        </w:rPr>
      </w:pPr>
      <w:r>
        <w:rPr>
          <w:rFonts w:hint="eastAsia" w:eastAsia="仿宋"/>
          <w:kern w:val="0"/>
          <w:szCs w:val="32"/>
        </w:rPr>
        <w:t>根据达州市达川区财政局《</w:t>
      </w:r>
      <w:r>
        <w:rPr>
          <w:rFonts w:eastAsia="仿宋"/>
          <w:kern w:val="0"/>
          <w:szCs w:val="32"/>
        </w:rPr>
        <w:t>关于开展202</w:t>
      </w:r>
      <w:r>
        <w:rPr>
          <w:rFonts w:hint="eastAsia" w:eastAsia="仿宋"/>
          <w:kern w:val="0"/>
          <w:szCs w:val="32"/>
        </w:rPr>
        <w:t>3</w:t>
      </w:r>
      <w:r>
        <w:rPr>
          <w:rFonts w:eastAsia="仿宋"/>
          <w:kern w:val="0"/>
          <w:szCs w:val="32"/>
        </w:rPr>
        <w:t>年部门</w:t>
      </w:r>
      <w:r>
        <w:rPr>
          <w:rFonts w:hint="eastAsia" w:eastAsia="仿宋"/>
          <w:kern w:val="0"/>
          <w:szCs w:val="32"/>
        </w:rPr>
        <w:t>（单位）、</w:t>
      </w:r>
      <w:r>
        <w:rPr>
          <w:rFonts w:eastAsia="仿宋"/>
          <w:kern w:val="0"/>
          <w:szCs w:val="32"/>
        </w:rPr>
        <w:t>政策和项目支出绩效评价工作的通知</w:t>
      </w:r>
      <w:r>
        <w:rPr>
          <w:rFonts w:hint="eastAsia" w:eastAsia="仿宋"/>
          <w:kern w:val="0"/>
          <w:szCs w:val="32"/>
        </w:rPr>
        <w:t>》（达川财绩效〔2023〕9号）文件要求，现将本单位2023年开展单位整体支出绩效评价情况报告如下：</w:t>
      </w:r>
    </w:p>
    <w:p>
      <w:pPr>
        <w:widowControl/>
        <w:adjustRightInd w:val="0"/>
        <w:snapToGrid w:val="0"/>
        <w:spacing w:line="580" w:lineRule="exact"/>
        <w:ind w:firstLine="643" w:firstLineChars="200"/>
        <w:contextualSpacing/>
        <w:jc w:val="left"/>
        <w:rPr>
          <w:rFonts w:ascii="黑体" w:hAnsi="宋体" w:eastAsia="黑体" w:cs="宋体"/>
          <w:b/>
          <w:kern w:val="0"/>
          <w:szCs w:val="32"/>
          <w:shd w:val="clear" w:color="auto" w:fill="FFFFFF"/>
          <w:lang w:val="zh-CN"/>
        </w:rPr>
      </w:pPr>
      <w:r>
        <w:rPr>
          <w:rFonts w:hint="eastAsia" w:ascii="黑体" w:hAnsi="宋体" w:eastAsia="黑体" w:cs="宋体"/>
          <w:b/>
          <w:kern w:val="0"/>
          <w:szCs w:val="32"/>
          <w:shd w:val="clear" w:color="auto" w:fill="FFFFFF"/>
        </w:rPr>
        <w:t>一、</w:t>
      </w:r>
      <w:r>
        <w:rPr>
          <w:rFonts w:hint="eastAsia" w:ascii="黑体" w:hAnsi="宋体" w:eastAsia="黑体" w:cs="宋体"/>
          <w:b/>
          <w:kern w:val="0"/>
          <w:szCs w:val="32"/>
          <w:shd w:val="clear" w:color="auto" w:fill="FFFFFF"/>
          <w:lang w:val="zh-CN"/>
        </w:rPr>
        <w:t>单位概况</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（一）机构组成。</w:t>
      </w:r>
    </w:p>
    <w:p>
      <w:pPr>
        <w:tabs>
          <w:tab w:val="left" w:pos="3885"/>
        </w:tabs>
        <w:snapToGrid w:val="0"/>
        <w:spacing w:line="600" w:lineRule="exact"/>
        <w:ind w:firstLine="640" w:firstLineChars="200"/>
      </w:pPr>
      <w:bookmarkStart w:id="0" w:name="_Hlk109805662"/>
      <w:r>
        <w:rPr>
          <w:rFonts w:hint="eastAsia" w:eastAsia="仿宋"/>
          <w:kern w:val="0"/>
          <w:szCs w:val="32"/>
        </w:rPr>
        <w:t>达川区</w:t>
      </w:r>
      <w:r>
        <w:rPr>
          <w:rFonts w:hint="eastAsia" w:eastAsia="仿宋"/>
          <w:kern w:val="0"/>
          <w:szCs w:val="32"/>
          <w:lang w:eastAsia="zh-CN"/>
        </w:rPr>
        <w:t>明月江</w:t>
      </w:r>
      <w:r>
        <w:rPr>
          <w:rFonts w:hint="eastAsia" w:eastAsia="仿宋"/>
          <w:kern w:val="0"/>
          <w:szCs w:val="32"/>
        </w:rPr>
        <w:t>学校是达川区二级预算单位，隶属于达州市达川区教育局主管，属公益一类事业单位，经费来源为财政补助拨款。内设机构4个，分别是行政办公室、教务处、安全办公室、后勤处。</w:t>
      </w:r>
    </w:p>
    <w:bookmarkEnd w:id="0"/>
    <w:p>
      <w:pPr>
        <w:widowControl/>
        <w:adjustRightInd w:val="0"/>
        <w:snapToGrid w:val="0"/>
        <w:spacing w:line="580" w:lineRule="exact"/>
        <w:ind w:left="643"/>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（二）机构职能。</w:t>
      </w:r>
    </w:p>
    <w:p>
      <w:pPr>
        <w:widowControl/>
        <w:adjustRightInd w:val="0"/>
        <w:snapToGrid w:val="0"/>
        <w:spacing w:line="580" w:lineRule="exact"/>
        <w:ind w:firstLine="640" w:firstLineChars="200"/>
        <w:contextualSpacing/>
        <w:jc w:val="left"/>
        <w:rPr>
          <w:rFonts w:eastAsia="仿宋"/>
          <w:kern w:val="0"/>
          <w:szCs w:val="32"/>
        </w:rPr>
      </w:pPr>
      <w:r>
        <w:rPr>
          <w:rFonts w:hint="eastAsia" w:eastAsia="仿宋"/>
          <w:kern w:val="0"/>
          <w:szCs w:val="32"/>
        </w:rPr>
        <w:t>根据</w:t>
      </w:r>
      <w:r>
        <w:rPr>
          <w:rFonts w:eastAsia="仿宋"/>
          <w:kern w:val="0"/>
          <w:szCs w:val="32"/>
        </w:rPr>
        <w:t>达州市</w:t>
      </w:r>
      <w:r>
        <w:rPr>
          <w:rFonts w:hint="eastAsia" w:eastAsia="仿宋"/>
          <w:kern w:val="0"/>
          <w:szCs w:val="32"/>
        </w:rPr>
        <w:t>达川区教育局三定方案，我</w:t>
      </w:r>
      <w:r>
        <w:rPr>
          <w:rFonts w:hint="eastAsia" w:ascii="仿宋_GB2312" w:hAnsi="宋体" w:cs="宋体"/>
          <w:kern w:val="0"/>
          <w:szCs w:val="32"/>
          <w:shd w:val="clear" w:color="auto" w:fill="FFFFFF"/>
          <w:lang w:val="zh-CN"/>
        </w:rPr>
        <w:t>单位</w:t>
      </w:r>
      <w:r>
        <w:rPr>
          <w:rFonts w:hint="eastAsia" w:eastAsia="仿宋"/>
          <w:kern w:val="0"/>
          <w:szCs w:val="32"/>
        </w:rPr>
        <w:t>的主要职能职责为：面向</w:t>
      </w:r>
      <w:r>
        <w:rPr>
          <w:rFonts w:hint="eastAsia" w:eastAsia="仿宋"/>
          <w:kern w:val="0"/>
          <w:szCs w:val="32"/>
          <w:lang w:eastAsia="zh-CN"/>
        </w:rPr>
        <w:t>明月江区域内</w:t>
      </w:r>
      <w:r>
        <w:rPr>
          <w:rFonts w:hint="eastAsia" w:eastAsia="仿宋"/>
          <w:kern w:val="0"/>
          <w:szCs w:val="32"/>
        </w:rPr>
        <w:t>儿童</w:t>
      </w:r>
      <w:r>
        <w:rPr>
          <w:rFonts w:hint="eastAsia" w:eastAsia="仿宋"/>
          <w:kern w:val="0"/>
          <w:szCs w:val="32"/>
          <w:lang w:eastAsia="zh-CN"/>
        </w:rPr>
        <w:t>开展教育教学，使孩子们接受更好的教育，同时让孩子们的身心健康发展</w:t>
      </w:r>
      <w:r>
        <w:rPr>
          <w:rFonts w:hint="eastAsia" w:eastAsia="仿宋"/>
          <w:kern w:val="0"/>
          <w:szCs w:val="32"/>
        </w:rPr>
        <w:t>。</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（三）人员概况。</w:t>
      </w:r>
    </w:p>
    <w:p>
      <w:pPr>
        <w:widowControl/>
        <w:adjustRightInd w:val="0"/>
        <w:snapToGrid w:val="0"/>
        <w:spacing w:line="580" w:lineRule="exact"/>
        <w:ind w:firstLine="640" w:firstLineChars="200"/>
        <w:contextualSpacing/>
        <w:jc w:val="left"/>
        <w:rPr>
          <w:rFonts w:eastAsia="方正仿宋_GBK"/>
          <w:kern w:val="0"/>
          <w:szCs w:val="32"/>
          <w:shd w:val="clear" w:color="auto" w:fill="FFFFFF"/>
        </w:rPr>
      </w:pPr>
      <w:r>
        <w:rPr>
          <w:rFonts w:eastAsia="仿宋"/>
          <w:szCs w:val="32"/>
        </w:rPr>
        <w:t>根据</w:t>
      </w:r>
      <w:r>
        <w:rPr>
          <w:rFonts w:hint="eastAsia" w:eastAsia="仿宋"/>
          <w:szCs w:val="32"/>
        </w:rPr>
        <w:t>人社局</w:t>
      </w:r>
      <w:r>
        <w:rPr>
          <w:rFonts w:eastAsia="仿宋"/>
          <w:szCs w:val="32"/>
        </w:rPr>
        <w:t>相关编制批复文件，核定</w:t>
      </w:r>
      <w:r>
        <w:rPr>
          <w:rFonts w:hint="eastAsia" w:eastAsia="仿宋"/>
          <w:szCs w:val="32"/>
        </w:rPr>
        <w:t>我</w:t>
      </w:r>
      <w:r>
        <w:rPr>
          <w:rFonts w:hint="eastAsia" w:ascii="仿宋_GB2312" w:hAnsi="宋体" w:cs="宋体"/>
          <w:kern w:val="0"/>
          <w:szCs w:val="32"/>
          <w:shd w:val="clear" w:color="auto" w:fill="FFFFFF"/>
          <w:lang w:val="zh-CN"/>
        </w:rPr>
        <w:t>单位</w:t>
      </w:r>
      <w:r>
        <w:rPr>
          <w:rFonts w:eastAsia="仿宋"/>
          <w:szCs w:val="32"/>
        </w:rPr>
        <w:t>事业编制</w:t>
      </w:r>
      <w:r>
        <w:rPr>
          <w:rFonts w:hint="eastAsia" w:eastAsia="仿宋"/>
          <w:szCs w:val="32"/>
          <w:lang w:val="en-US" w:eastAsia="zh-CN"/>
        </w:rPr>
        <w:t>49</w:t>
      </w:r>
      <w:r>
        <w:rPr>
          <w:rFonts w:eastAsia="仿宋"/>
          <w:szCs w:val="32"/>
        </w:rPr>
        <w:t>名；</w:t>
      </w:r>
      <w:bookmarkStart w:id="1" w:name="_Hlk109807352"/>
      <w:r>
        <w:rPr>
          <w:rFonts w:eastAsia="仿宋"/>
          <w:szCs w:val="32"/>
        </w:rPr>
        <w:t>截至202</w:t>
      </w:r>
      <w:r>
        <w:rPr>
          <w:rFonts w:hint="eastAsia" w:eastAsia="仿宋"/>
          <w:szCs w:val="32"/>
        </w:rPr>
        <w:t>2</w:t>
      </w:r>
      <w:r>
        <w:rPr>
          <w:rFonts w:eastAsia="仿宋"/>
          <w:szCs w:val="32"/>
        </w:rPr>
        <w:t>年年末实有在职人员</w:t>
      </w:r>
      <w:r>
        <w:rPr>
          <w:rFonts w:hint="eastAsia" w:eastAsia="仿宋"/>
          <w:szCs w:val="32"/>
          <w:lang w:val="en-US" w:eastAsia="zh-CN"/>
        </w:rPr>
        <w:t>49</w:t>
      </w:r>
      <w:r>
        <w:rPr>
          <w:rFonts w:eastAsia="仿宋"/>
          <w:szCs w:val="32"/>
        </w:rPr>
        <w:t>人，</w:t>
      </w:r>
      <w:r>
        <w:rPr>
          <w:rFonts w:hint="eastAsia" w:eastAsia="仿宋"/>
          <w:szCs w:val="32"/>
        </w:rPr>
        <w:t>均属</w:t>
      </w:r>
      <w:r>
        <w:rPr>
          <w:rFonts w:eastAsia="仿宋"/>
          <w:szCs w:val="32"/>
        </w:rPr>
        <w:t>事业编制。</w:t>
      </w:r>
      <w:bookmarkEnd w:id="1"/>
      <w:r>
        <w:rPr>
          <w:rFonts w:eastAsia="仿宋"/>
          <w:bCs/>
          <w:kern w:val="0"/>
          <w:szCs w:val="32"/>
        </w:rPr>
        <w:t>退休人员</w:t>
      </w:r>
      <w:r>
        <w:rPr>
          <w:rFonts w:hint="eastAsia" w:eastAsia="仿宋"/>
          <w:bCs/>
          <w:kern w:val="0"/>
          <w:szCs w:val="32"/>
          <w:lang w:val="en-US" w:eastAsia="zh-CN"/>
        </w:rPr>
        <w:t>27</w:t>
      </w:r>
      <w:r>
        <w:rPr>
          <w:rFonts w:eastAsia="仿宋"/>
          <w:bCs/>
          <w:kern w:val="0"/>
          <w:szCs w:val="32"/>
        </w:rPr>
        <w:t>人</w:t>
      </w:r>
      <w:r>
        <w:rPr>
          <w:rFonts w:hint="eastAsia" w:eastAsia="仿宋"/>
          <w:bCs/>
          <w:kern w:val="0"/>
          <w:szCs w:val="32"/>
        </w:rPr>
        <w:t>，</w:t>
      </w:r>
      <w:r>
        <w:rPr>
          <w:rFonts w:hint="eastAsia" w:ascii="仿宋" w:hAnsi="仿宋" w:eastAsia="仿宋" w:cs="仿宋"/>
          <w:kern w:val="0"/>
          <w:szCs w:val="32"/>
          <w:shd w:val="clear" w:color="auto" w:fill="FFFFFF"/>
        </w:rPr>
        <w:t>学生总人数为</w:t>
      </w:r>
      <w:r>
        <w:rPr>
          <w:rFonts w:hint="eastAsia" w:ascii="仿宋" w:hAnsi="仿宋" w:eastAsia="仿宋" w:cs="仿宋"/>
          <w:kern w:val="0"/>
          <w:szCs w:val="32"/>
          <w:shd w:val="clear" w:color="auto" w:fill="FFFFFF"/>
          <w:lang w:val="en-US" w:eastAsia="zh-CN"/>
        </w:rPr>
        <w:t>105</w:t>
      </w:r>
      <w:r>
        <w:rPr>
          <w:rFonts w:hint="eastAsia" w:ascii="仿宋" w:hAnsi="仿宋" w:eastAsia="仿宋" w:cs="仿宋"/>
          <w:kern w:val="0"/>
          <w:szCs w:val="32"/>
          <w:shd w:val="clear" w:color="auto" w:fill="FFFFFF"/>
        </w:rPr>
        <w:t>人</w:t>
      </w:r>
      <w:r>
        <w:rPr>
          <w:rFonts w:eastAsia="方正仿宋_GBK"/>
          <w:kern w:val="0"/>
          <w:szCs w:val="32"/>
          <w:shd w:val="clear" w:color="auto" w:fill="FFFFFF"/>
        </w:rPr>
        <w:t>。</w:t>
      </w:r>
    </w:p>
    <w:p>
      <w:pPr>
        <w:widowControl/>
        <w:adjustRightInd w:val="0"/>
        <w:snapToGrid w:val="0"/>
        <w:spacing w:line="580" w:lineRule="exact"/>
        <w:ind w:firstLine="643" w:firstLineChars="200"/>
        <w:contextualSpacing/>
        <w:jc w:val="left"/>
        <w:rPr>
          <w:rFonts w:ascii="黑体" w:hAnsi="宋体" w:eastAsia="黑体" w:cs="宋体"/>
          <w:b/>
          <w:kern w:val="0"/>
          <w:szCs w:val="32"/>
          <w:shd w:val="clear" w:color="auto" w:fill="FFFFFF"/>
        </w:rPr>
      </w:pPr>
      <w:r>
        <w:rPr>
          <w:rFonts w:hint="eastAsia" w:ascii="黑体" w:hAnsi="宋体" w:eastAsia="黑体" w:cs="宋体"/>
          <w:b/>
          <w:kern w:val="0"/>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eastAsia="楷体_GB2312"/>
          <w:b/>
          <w:kern w:val="0"/>
          <w:szCs w:val="32"/>
          <w:shd w:val="clear" w:color="auto" w:fill="FFFFFF"/>
        </w:rPr>
      </w:pPr>
      <w:r>
        <w:rPr>
          <w:rFonts w:eastAsia="楷体_GB2312"/>
          <w:b/>
          <w:kern w:val="0"/>
          <w:szCs w:val="32"/>
          <w:shd w:val="clear" w:color="auto" w:fill="FFFFFF"/>
        </w:rPr>
        <w:t>（一）</w:t>
      </w:r>
      <w:r>
        <w:rPr>
          <w:rFonts w:hint="eastAsia" w:ascii="仿宋" w:hAnsi="仿宋" w:eastAsia="仿宋" w:cs="仿宋"/>
          <w:b/>
          <w:kern w:val="0"/>
          <w:szCs w:val="32"/>
          <w:shd w:val="clear" w:color="auto" w:fill="FFFFFF"/>
        </w:rPr>
        <w:t>部门财政资金收入情况</w:t>
      </w:r>
      <w:r>
        <w:rPr>
          <w:rFonts w:hint="eastAsia" w:eastAsia="楷体_GB2312"/>
          <w:b/>
          <w:kern w:val="0"/>
          <w:szCs w:val="32"/>
          <w:shd w:val="clear" w:color="auto" w:fill="FFFFFF"/>
        </w:rPr>
        <w:t>。</w:t>
      </w:r>
    </w:p>
    <w:p>
      <w:pPr>
        <w:widowControl/>
        <w:adjustRightInd w:val="0"/>
        <w:snapToGrid w:val="0"/>
        <w:spacing w:line="580" w:lineRule="exact"/>
        <w:ind w:firstLine="640" w:firstLineChars="200"/>
        <w:contextualSpacing/>
        <w:jc w:val="left"/>
        <w:rPr>
          <w:rFonts w:hint="eastAsia" w:eastAsia="方正仿宋_GBK"/>
          <w:kern w:val="0"/>
          <w:szCs w:val="32"/>
          <w:shd w:val="clear" w:color="auto" w:fill="FFFFFF"/>
          <w:lang w:eastAsia="zh-CN"/>
        </w:rPr>
      </w:pPr>
      <w:r>
        <w:rPr>
          <w:rFonts w:hint="eastAsia" w:ascii="仿宋" w:hAnsi="仿宋" w:eastAsia="仿宋" w:cs="仿宋"/>
          <w:kern w:val="0"/>
          <w:szCs w:val="32"/>
          <w:shd w:val="clear" w:color="auto" w:fill="FFFFFF"/>
        </w:rPr>
        <w:t>2022年本单位财政资金收入为</w:t>
      </w:r>
      <w:r>
        <w:rPr>
          <w:rFonts w:hint="eastAsia" w:ascii="仿宋" w:hAnsi="仿宋" w:eastAsia="仿宋" w:cs="仿宋"/>
          <w:kern w:val="0"/>
          <w:szCs w:val="32"/>
          <w:shd w:val="clear" w:color="auto" w:fill="FFFFFF"/>
          <w:lang w:val="en-US" w:eastAsia="zh-CN"/>
        </w:rPr>
        <w:t>637.618562</w:t>
      </w:r>
      <w:r>
        <w:rPr>
          <w:rFonts w:hint="eastAsia" w:ascii="仿宋" w:hAnsi="仿宋" w:eastAsia="仿宋" w:cs="仿宋"/>
          <w:kern w:val="0"/>
          <w:szCs w:val="32"/>
          <w:shd w:val="clear" w:color="auto" w:fill="FFFFFF"/>
        </w:rPr>
        <w:t>万元</w:t>
      </w:r>
      <w:r>
        <w:rPr>
          <w:rFonts w:hint="eastAsia" w:eastAsia="方正仿宋_GBK"/>
          <w:kern w:val="0"/>
          <w:szCs w:val="32"/>
          <w:shd w:val="clear" w:color="auto" w:fill="FFFFFF"/>
          <w:lang w:eastAsia="zh-CN"/>
        </w:rPr>
        <w:t>。</w:t>
      </w:r>
    </w:p>
    <w:p>
      <w:pPr>
        <w:widowControl/>
        <w:adjustRightInd w:val="0"/>
        <w:snapToGrid w:val="0"/>
        <w:spacing w:line="580" w:lineRule="exact"/>
        <w:ind w:firstLine="643" w:firstLineChars="200"/>
        <w:contextualSpacing/>
        <w:jc w:val="left"/>
        <w:rPr>
          <w:rFonts w:eastAsia="楷体_GB2312"/>
          <w:b/>
          <w:kern w:val="0"/>
          <w:szCs w:val="32"/>
          <w:shd w:val="clear" w:color="auto" w:fill="FFFFFF"/>
        </w:rPr>
      </w:pPr>
      <w:r>
        <w:rPr>
          <w:rFonts w:eastAsia="楷体_GB2312"/>
          <w:b/>
          <w:kern w:val="0"/>
          <w:szCs w:val="32"/>
          <w:shd w:val="clear" w:color="auto" w:fill="FFFFFF"/>
        </w:rPr>
        <w:t>（二）</w:t>
      </w:r>
      <w:r>
        <w:rPr>
          <w:rFonts w:hint="eastAsia" w:ascii="仿宋" w:hAnsi="仿宋" w:eastAsia="仿宋" w:cs="仿宋"/>
          <w:b/>
          <w:kern w:val="0"/>
          <w:szCs w:val="32"/>
          <w:shd w:val="clear" w:color="auto" w:fill="FFFFFF"/>
        </w:rPr>
        <w:t>部门财政资金支出情况</w:t>
      </w:r>
      <w:r>
        <w:rPr>
          <w:rFonts w:hint="eastAsia" w:eastAsia="楷体_GB2312"/>
          <w:b/>
          <w:kern w:val="0"/>
          <w:szCs w:val="32"/>
          <w:shd w:val="clear" w:color="auto" w:fill="FFFFFF"/>
        </w:rPr>
        <w:t>。</w:t>
      </w:r>
    </w:p>
    <w:p>
      <w:pPr>
        <w:widowControl/>
        <w:adjustRightInd w:val="0"/>
        <w:snapToGrid w:val="0"/>
        <w:spacing w:line="580" w:lineRule="exact"/>
        <w:ind w:firstLine="640" w:firstLineChars="200"/>
        <w:contextualSpacing/>
        <w:jc w:val="left"/>
        <w:rPr>
          <w:rFonts w:hint="eastAsia" w:ascii="仿宋" w:hAnsi="仿宋" w:eastAsia="仿宋" w:cs="仿宋"/>
          <w:kern w:val="0"/>
          <w:szCs w:val="32"/>
          <w:shd w:val="clear" w:color="auto" w:fill="FFFFFF"/>
        </w:rPr>
      </w:pPr>
      <w:r>
        <w:rPr>
          <w:rFonts w:hint="eastAsia" w:ascii="仿宋" w:hAnsi="仿宋" w:eastAsia="仿宋" w:cs="仿宋"/>
          <w:kern w:val="0"/>
          <w:szCs w:val="32"/>
          <w:shd w:val="clear" w:color="auto" w:fill="FFFFFF"/>
        </w:rPr>
        <w:t>2022年本单位财政资金支出</w:t>
      </w:r>
      <w:r>
        <w:rPr>
          <w:rFonts w:hint="eastAsia" w:ascii="仿宋" w:hAnsi="仿宋" w:eastAsia="仿宋" w:cs="仿宋"/>
          <w:kern w:val="0"/>
          <w:szCs w:val="32"/>
          <w:shd w:val="clear" w:color="auto" w:fill="FFFFFF"/>
          <w:lang w:val="en-US" w:eastAsia="zh-CN"/>
        </w:rPr>
        <w:t>637.618562</w:t>
      </w:r>
      <w:r>
        <w:rPr>
          <w:rFonts w:hint="eastAsia" w:ascii="仿宋" w:hAnsi="仿宋" w:eastAsia="仿宋" w:cs="仿宋"/>
          <w:kern w:val="0"/>
          <w:szCs w:val="32"/>
          <w:shd w:val="clear" w:color="auto" w:fill="FFFFFF"/>
        </w:rPr>
        <w:t>万元，其中：基本支出</w:t>
      </w:r>
      <w:r>
        <w:rPr>
          <w:rFonts w:hint="eastAsia" w:ascii="仿宋" w:hAnsi="仿宋" w:eastAsia="仿宋" w:cs="仿宋"/>
          <w:kern w:val="0"/>
          <w:szCs w:val="32"/>
          <w:shd w:val="clear" w:color="auto" w:fill="FFFFFF"/>
          <w:lang w:val="en-US" w:eastAsia="zh-CN"/>
        </w:rPr>
        <w:t>602.043562</w:t>
      </w:r>
      <w:r>
        <w:rPr>
          <w:rFonts w:hint="eastAsia" w:ascii="仿宋" w:hAnsi="仿宋" w:eastAsia="仿宋" w:cs="仿宋"/>
          <w:kern w:val="0"/>
          <w:szCs w:val="32"/>
          <w:shd w:val="clear" w:color="auto" w:fill="FFFFFF"/>
        </w:rPr>
        <w:t>万元（人员经费</w:t>
      </w:r>
      <w:r>
        <w:rPr>
          <w:rFonts w:hint="eastAsia" w:ascii="仿宋" w:hAnsi="仿宋" w:eastAsia="仿宋" w:cs="仿宋"/>
          <w:kern w:val="0"/>
          <w:szCs w:val="32"/>
          <w:shd w:val="clear" w:color="auto" w:fill="FFFFFF"/>
          <w:lang w:val="en-US" w:eastAsia="zh-CN"/>
        </w:rPr>
        <w:t>563.713562</w:t>
      </w:r>
      <w:r>
        <w:rPr>
          <w:rFonts w:hint="eastAsia" w:ascii="仿宋" w:hAnsi="仿宋" w:eastAsia="仿宋" w:cs="仿宋"/>
          <w:kern w:val="0"/>
          <w:szCs w:val="32"/>
          <w:shd w:val="clear" w:color="auto" w:fill="FFFFFF"/>
        </w:rPr>
        <w:t>万元、日常公用经费</w:t>
      </w:r>
      <w:r>
        <w:rPr>
          <w:rFonts w:hint="eastAsia" w:ascii="仿宋" w:hAnsi="仿宋" w:eastAsia="仿宋" w:cs="仿宋"/>
          <w:kern w:val="0"/>
          <w:szCs w:val="32"/>
          <w:shd w:val="clear" w:color="auto" w:fill="FFFFFF"/>
          <w:lang w:val="en-US" w:eastAsia="zh-CN"/>
        </w:rPr>
        <w:t>38.33</w:t>
      </w:r>
      <w:r>
        <w:rPr>
          <w:rFonts w:hint="eastAsia" w:ascii="仿宋" w:hAnsi="仿宋" w:eastAsia="仿宋" w:cs="仿宋"/>
          <w:kern w:val="0"/>
          <w:szCs w:val="32"/>
          <w:shd w:val="clear" w:color="auto" w:fill="FFFFFF"/>
        </w:rPr>
        <w:t>万元），项目支出</w:t>
      </w:r>
      <w:r>
        <w:rPr>
          <w:rFonts w:hint="eastAsia" w:ascii="仿宋" w:hAnsi="仿宋" w:eastAsia="仿宋" w:cs="仿宋"/>
          <w:kern w:val="0"/>
          <w:szCs w:val="32"/>
          <w:shd w:val="clear" w:color="auto" w:fill="FFFFFF"/>
          <w:lang w:val="en-US" w:eastAsia="zh-CN"/>
        </w:rPr>
        <w:t>35.575</w:t>
      </w:r>
      <w:r>
        <w:rPr>
          <w:rFonts w:hint="eastAsia" w:ascii="仿宋" w:hAnsi="仿宋" w:eastAsia="仿宋" w:cs="仿宋"/>
          <w:kern w:val="0"/>
          <w:szCs w:val="32"/>
          <w:shd w:val="clear" w:color="auto" w:fill="FFFFFF"/>
        </w:rPr>
        <w:t>万元。</w:t>
      </w:r>
    </w:p>
    <w:p>
      <w:pPr>
        <w:widowControl/>
        <w:adjustRightInd w:val="0"/>
        <w:snapToGrid w:val="0"/>
        <w:spacing w:line="580" w:lineRule="exact"/>
        <w:ind w:firstLine="640" w:firstLineChars="200"/>
        <w:contextualSpacing/>
        <w:jc w:val="left"/>
        <w:rPr>
          <w:rFonts w:hint="eastAsia" w:ascii="仿宋" w:hAnsi="仿宋" w:eastAsia="仿宋" w:cs="仿宋"/>
          <w:kern w:val="0"/>
          <w:szCs w:val="32"/>
          <w:shd w:val="clear" w:color="auto" w:fill="FFFFFF"/>
        </w:rPr>
      </w:pPr>
      <w:r>
        <w:rPr>
          <w:rFonts w:hint="eastAsia" w:ascii="仿宋" w:hAnsi="仿宋" w:eastAsia="仿宋" w:cs="仿宋"/>
          <w:kern w:val="0"/>
          <w:szCs w:val="32"/>
          <w:shd w:val="clear" w:color="auto" w:fill="FFFFFF"/>
        </w:rPr>
        <w:t>达川区</w:t>
      </w:r>
      <w:r>
        <w:rPr>
          <w:rFonts w:hint="eastAsia" w:ascii="仿宋" w:hAnsi="仿宋" w:eastAsia="仿宋" w:cs="仿宋"/>
          <w:kern w:val="0"/>
          <w:szCs w:val="32"/>
          <w:shd w:val="clear" w:color="auto" w:fill="FFFFFF"/>
          <w:lang w:eastAsia="zh-CN"/>
        </w:rPr>
        <w:t>明月江</w:t>
      </w:r>
      <w:r>
        <w:rPr>
          <w:rFonts w:hint="eastAsia" w:ascii="仿宋" w:hAnsi="仿宋" w:eastAsia="仿宋" w:cs="仿宋"/>
          <w:kern w:val="0"/>
          <w:szCs w:val="32"/>
          <w:shd w:val="clear" w:color="auto" w:fill="FFFFFF"/>
        </w:rPr>
        <w:t>学校无下属单位，2022年无下属单位支出。</w:t>
      </w:r>
    </w:p>
    <w:p>
      <w:pPr>
        <w:widowControl/>
        <w:adjustRightInd w:val="0"/>
        <w:snapToGrid w:val="0"/>
        <w:spacing w:line="580" w:lineRule="exact"/>
        <w:ind w:firstLine="643" w:firstLineChars="200"/>
        <w:contextualSpacing/>
        <w:jc w:val="left"/>
        <w:rPr>
          <w:rFonts w:eastAsia="楷体_GB2312"/>
          <w:b/>
          <w:kern w:val="0"/>
          <w:szCs w:val="32"/>
          <w:shd w:val="clear" w:color="auto" w:fill="FFFFFF"/>
        </w:rPr>
      </w:pPr>
      <w:r>
        <w:rPr>
          <w:rFonts w:eastAsia="楷体_GB2312"/>
          <w:b/>
          <w:kern w:val="0"/>
          <w:szCs w:val="32"/>
          <w:shd w:val="clear" w:color="auto" w:fill="FFFFFF"/>
        </w:rPr>
        <w:t>（三）</w:t>
      </w:r>
      <w:r>
        <w:rPr>
          <w:rFonts w:hint="eastAsia" w:ascii="仿宋" w:hAnsi="仿宋" w:eastAsia="仿宋" w:cs="仿宋"/>
          <w:b/>
          <w:kern w:val="0"/>
          <w:szCs w:val="32"/>
          <w:shd w:val="clear" w:color="auto" w:fill="FFFFFF"/>
        </w:rPr>
        <w:t>部门财政收入结转结余情况</w:t>
      </w:r>
      <w:r>
        <w:rPr>
          <w:rFonts w:eastAsia="楷体_GB2312"/>
          <w:b/>
          <w:kern w:val="0"/>
          <w:szCs w:val="32"/>
          <w:shd w:val="clear" w:color="auto" w:fill="FFFFFF"/>
        </w:rPr>
        <w:t>。</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 w:hAnsi="仿宋" w:eastAsia="仿宋" w:cs="仿宋"/>
          <w:kern w:val="0"/>
          <w:szCs w:val="32"/>
          <w:shd w:val="clear" w:color="auto" w:fill="FFFFFF"/>
        </w:rPr>
        <w:t>2021年本单位结转下年资金</w:t>
      </w:r>
      <w:r>
        <w:rPr>
          <w:rFonts w:hint="eastAsia" w:ascii="仿宋" w:hAnsi="仿宋" w:eastAsia="仿宋" w:cs="仿宋"/>
          <w:kern w:val="0"/>
          <w:szCs w:val="32"/>
          <w:shd w:val="clear" w:color="auto" w:fill="FFFFFF"/>
          <w:lang w:val="en-US" w:eastAsia="zh-CN"/>
        </w:rPr>
        <w:t>0</w:t>
      </w:r>
      <w:r>
        <w:rPr>
          <w:rFonts w:hint="eastAsia" w:ascii="仿宋" w:hAnsi="仿宋" w:eastAsia="仿宋" w:cs="仿宋"/>
          <w:kern w:val="0"/>
          <w:szCs w:val="32"/>
          <w:shd w:val="clear" w:color="auto" w:fill="FFFFFF"/>
        </w:rPr>
        <w:t>万元。结转资金未进行结余分配，全部结转下年</w:t>
      </w:r>
      <w:r>
        <w:rPr>
          <w:rFonts w:hint="eastAsia" w:ascii="仿宋" w:hAnsi="仿宋" w:eastAsia="仿宋" w:cs="仿宋"/>
          <w:kern w:val="0"/>
          <w:szCs w:val="32"/>
          <w:shd w:val="clear" w:color="auto" w:fill="FFFFFF"/>
          <w:lang w:val="en-US" w:eastAsia="zh-CN"/>
        </w:rPr>
        <w:t>0</w:t>
      </w:r>
      <w:r>
        <w:rPr>
          <w:rFonts w:hint="eastAsia" w:ascii="仿宋" w:hAnsi="仿宋" w:eastAsia="仿宋" w:cs="仿宋"/>
          <w:kern w:val="0"/>
          <w:szCs w:val="32"/>
          <w:shd w:val="clear" w:color="auto" w:fill="FFFFFF"/>
        </w:rPr>
        <w:t>万元。</w:t>
      </w:r>
    </w:p>
    <w:p>
      <w:pPr>
        <w:widowControl/>
        <w:adjustRightInd w:val="0"/>
        <w:snapToGrid w:val="0"/>
        <w:spacing w:line="580" w:lineRule="exact"/>
        <w:ind w:left="640"/>
        <w:contextualSpacing/>
        <w:jc w:val="left"/>
        <w:rPr>
          <w:rFonts w:ascii="黑体" w:hAnsi="宋体" w:eastAsia="黑体" w:cs="宋体"/>
          <w:b/>
          <w:kern w:val="0"/>
          <w:szCs w:val="32"/>
          <w:shd w:val="clear" w:color="auto" w:fill="FFFFFF"/>
        </w:rPr>
      </w:pPr>
      <w:r>
        <w:rPr>
          <w:rFonts w:hint="eastAsia" w:ascii="黑体" w:hAnsi="宋体" w:eastAsia="黑体" w:cs="宋体"/>
          <w:b/>
          <w:kern w:val="0"/>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(一)总体工作情况。</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_GB2312" w:hAnsi="宋体" w:cs="宋体"/>
          <w:kern w:val="0"/>
          <w:szCs w:val="32"/>
          <w:shd w:val="clear" w:color="auto" w:fill="FFFFFF"/>
          <w:lang w:val="zh-CN"/>
        </w:rPr>
        <w:t>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ascii="仿宋_GB2312" w:hAnsi="宋体" w:cs="宋体"/>
          <w:kern w:val="0"/>
          <w:szCs w:val="32"/>
          <w:shd w:val="clear" w:color="auto" w:fill="FFFFFF"/>
        </w:rPr>
        <w:t>2022</w:t>
      </w:r>
      <w:r>
        <w:rPr>
          <w:rFonts w:hint="eastAsia" w:ascii="仿宋_GB2312" w:hAnsi="宋体" w:cs="宋体"/>
          <w:kern w:val="0"/>
          <w:szCs w:val="32"/>
          <w:shd w:val="clear" w:color="auto" w:fill="FFFFFF"/>
        </w:rPr>
        <w:t>年年终各项工作任务均全面完成，完成质量较高。</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(二)部门预算管理情况。</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年，我单位的部门预算管理工作有序开展，现结合整体支出绩效评价指标体系，将主要情况总结如下:</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1.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w:t>
      </w:r>
      <w:r>
        <w:rPr>
          <w:rFonts w:hint="eastAsia" w:ascii="仿宋_GB2312" w:hAnsi="宋体" w:cs="宋体"/>
          <w:kern w:val="0"/>
          <w:szCs w:val="32"/>
          <w:shd w:val="clear" w:color="auto" w:fill="FFFFFF"/>
        </w:rPr>
        <w:t>5</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2.在“目标实现”方面，我单位202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年共</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个部门预算项目，均属于特定目标类项目。部门所有纳入绩效目标管理的部门预算项目中涉及数量指标共计</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个，已完成数量为</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个。该项指标分值为10分，自评得分</w:t>
      </w:r>
      <w:r>
        <w:rPr>
          <w:rFonts w:hint="eastAsia" w:ascii="仿宋_GB2312" w:hAnsi="宋体" w:cs="宋体"/>
          <w:kern w:val="0"/>
          <w:szCs w:val="32"/>
          <w:shd w:val="clear" w:color="auto" w:fill="FFFFFF"/>
        </w:rPr>
        <w:t>10</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3.在“支出控制”方面，我单位202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年日常公用经费、项目支出中“办公费、印刷费、水费、电费、物业管理费”等科目年初预算额</w:t>
      </w:r>
      <w:r>
        <w:rPr>
          <w:rFonts w:hint="eastAsia" w:ascii="仿宋_GB2312" w:hAnsi="宋体" w:cs="宋体"/>
          <w:kern w:val="0"/>
          <w:szCs w:val="32"/>
          <w:shd w:val="clear" w:color="auto" w:fill="FFFFFF"/>
          <w:lang w:val="en-US" w:eastAsia="zh-CN"/>
        </w:rPr>
        <w:t>29.10</w:t>
      </w:r>
      <w:r>
        <w:rPr>
          <w:rFonts w:hint="eastAsia" w:ascii="仿宋_GB2312" w:hAnsi="宋体" w:cs="宋体"/>
          <w:kern w:val="0"/>
          <w:szCs w:val="32"/>
          <w:shd w:val="clear" w:color="auto" w:fill="FFFFFF"/>
          <w:lang w:val="zh-CN"/>
        </w:rPr>
        <w:t>万元，年末决算数</w:t>
      </w:r>
      <w:r>
        <w:rPr>
          <w:rFonts w:hint="eastAsia" w:ascii="仿宋_GB2312" w:hAnsi="宋体" w:cs="宋体"/>
          <w:kern w:val="0"/>
          <w:szCs w:val="32"/>
          <w:shd w:val="clear" w:color="auto" w:fill="FFFFFF"/>
          <w:lang w:val="en-US" w:eastAsia="zh-CN"/>
        </w:rPr>
        <w:t>38.33</w:t>
      </w:r>
      <w:r>
        <w:rPr>
          <w:rFonts w:hint="eastAsia" w:ascii="仿宋_GB2312" w:hAnsi="宋体" w:cs="宋体"/>
          <w:kern w:val="0"/>
          <w:szCs w:val="32"/>
          <w:shd w:val="clear" w:color="auto" w:fill="FFFFFF"/>
          <w:lang w:val="zh-CN"/>
        </w:rPr>
        <w:t>万元，偏差度</w:t>
      </w:r>
      <w:r>
        <w:rPr>
          <w:rFonts w:hint="eastAsia" w:ascii="仿宋_GB2312" w:hAnsi="宋体" w:cs="宋体"/>
          <w:kern w:val="0"/>
          <w:szCs w:val="32"/>
          <w:shd w:val="clear" w:color="auto" w:fill="FFFFFF"/>
          <w:lang w:val="en-US" w:eastAsia="zh-CN"/>
        </w:rPr>
        <w:t>31.7</w:t>
      </w:r>
      <w:r>
        <w:rPr>
          <w:rFonts w:hint="eastAsia" w:ascii="仿宋_GB2312" w:hAnsi="宋体" w:cs="宋体"/>
          <w:kern w:val="0"/>
          <w:szCs w:val="32"/>
          <w:shd w:val="clear" w:color="auto" w:fill="FFFFFF"/>
          <w:lang w:val="zh-CN"/>
        </w:rPr>
        <w:t>%。该项指标分值为2分，年初预算数与决算数偏差程度在10%以外的，自评得</w:t>
      </w:r>
      <w:r>
        <w:rPr>
          <w:rFonts w:hint="eastAsia" w:ascii="仿宋_GB2312" w:hAnsi="宋体" w:cs="宋体"/>
          <w:kern w:val="0"/>
          <w:szCs w:val="32"/>
          <w:shd w:val="clear" w:color="auto" w:fill="FFFFFF"/>
          <w:lang w:val="en-US" w:eastAsia="zh-CN"/>
        </w:rPr>
        <w:t>1</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4.在“及时处置”方面，我单位部门绩效监控调整取消额(0万元)和结余注销额(0万元)，该项指标分值为4分，指标自评得分4分。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5.在“执行进度”方面，根据系统提取数据显示，我单位202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年6月、9月、11月执行进度分别为</w:t>
      </w:r>
      <w:r>
        <w:rPr>
          <w:rFonts w:hint="eastAsia" w:ascii="仿宋_GB2312" w:hAnsi="宋体" w:cs="宋体"/>
          <w:kern w:val="0"/>
          <w:szCs w:val="32"/>
          <w:shd w:val="clear" w:color="auto" w:fill="FFFFFF"/>
        </w:rPr>
        <w:t>1</w:t>
      </w:r>
      <w:r>
        <w:rPr>
          <w:rFonts w:hint="eastAsia" w:ascii="仿宋_GB2312" w:hAnsi="宋体" w:cs="宋体"/>
          <w:kern w:val="0"/>
          <w:szCs w:val="32"/>
          <w:shd w:val="clear" w:color="auto" w:fill="FFFFFF"/>
          <w:lang w:val="en-US" w:eastAsia="zh-CN"/>
        </w:rPr>
        <w:t>3</w:t>
      </w:r>
      <w:r>
        <w:rPr>
          <w:rFonts w:hint="eastAsia" w:ascii="仿宋_GB2312" w:hAnsi="宋体" w:cs="宋体"/>
          <w:kern w:val="0"/>
          <w:szCs w:val="32"/>
          <w:shd w:val="clear" w:color="auto" w:fill="FFFFFF"/>
          <w:lang w:val="zh-CN"/>
        </w:rPr>
        <w:t>%、</w:t>
      </w:r>
      <w:r>
        <w:rPr>
          <w:rFonts w:hint="eastAsia" w:ascii="仿宋_GB2312" w:hAnsi="宋体" w:cs="宋体"/>
          <w:kern w:val="0"/>
          <w:szCs w:val="32"/>
          <w:shd w:val="clear" w:color="auto" w:fill="FFFFFF"/>
          <w:lang w:val="en-US" w:eastAsia="zh-CN"/>
        </w:rPr>
        <w:t>42</w:t>
      </w:r>
      <w:r>
        <w:rPr>
          <w:rFonts w:hint="eastAsia" w:ascii="仿宋_GB2312" w:hAnsi="宋体" w:cs="宋体"/>
          <w:kern w:val="0"/>
          <w:szCs w:val="32"/>
          <w:shd w:val="clear" w:color="auto" w:fill="FFFFFF"/>
          <w:lang w:val="zh-CN"/>
        </w:rPr>
        <w:t>%、</w:t>
      </w:r>
      <w:r>
        <w:rPr>
          <w:rFonts w:hint="eastAsia" w:ascii="仿宋_GB2312" w:hAnsi="宋体" w:cs="宋体"/>
          <w:kern w:val="0"/>
          <w:szCs w:val="32"/>
          <w:shd w:val="clear" w:color="auto" w:fill="FFFFFF"/>
        </w:rPr>
        <w:t>9</w:t>
      </w:r>
      <w:r>
        <w:rPr>
          <w:rFonts w:hint="eastAsia" w:ascii="仿宋_GB2312" w:hAnsi="宋体" w:cs="宋体"/>
          <w:kern w:val="0"/>
          <w:szCs w:val="32"/>
          <w:shd w:val="clear" w:color="auto" w:fill="FFFFFF"/>
          <w:lang w:val="en-US" w:eastAsia="zh-CN"/>
        </w:rPr>
        <w:t>3</w:t>
      </w:r>
      <w:r>
        <w:rPr>
          <w:rFonts w:hint="eastAsia" w:ascii="仿宋_GB2312" w:hAnsi="宋体" w:cs="宋体"/>
          <w:kern w:val="0"/>
          <w:szCs w:val="32"/>
          <w:shd w:val="clear" w:color="auto" w:fill="FFFFFF"/>
          <w:lang w:val="zh-CN"/>
        </w:rPr>
        <w:t>%.该项指标分值为4分，按其实际进度占目标进度的比重计算得分</w:t>
      </w:r>
      <w:r>
        <w:rPr>
          <w:rFonts w:hint="eastAsia" w:ascii="仿宋_GB2312" w:hAnsi="宋体" w:cs="宋体"/>
          <w:kern w:val="0"/>
          <w:szCs w:val="32"/>
          <w:shd w:val="clear" w:color="auto" w:fill="FFFFFF"/>
          <w:lang w:val="en-US" w:eastAsia="zh-CN"/>
        </w:rPr>
        <w:t>3</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6.在“预算完成”方面，部门预算项目年末预算执行进度</w:t>
      </w:r>
      <w:r>
        <w:rPr>
          <w:rFonts w:hint="eastAsia" w:ascii="仿宋_GB2312" w:hAnsi="宋体" w:cs="宋体"/>
          <w:kern w:val="0"/>
          <w:szCs w:val="32"/>
          <w:shd w:val="clear" w:color="auto" w:fill="FFFFFF"/>
        </w:rPr>
        <w:t>8</w:t>
      </w:r>
      <w:r>
        <w:rPr>
          <w:rFonts w:hint="eastAsia" w:ascii="仿宋_GB2312" w:hAnsi="宋体" w:cs="宋体"/>
          <w:kern w:val="0"/>
          <w:szCs w:val="32"/>
          <w:shd w:val="clear" w:color="auto" w:fill="FFFFFF"/>
          <w:lang w:val="en-US" w:eastAsia="zh-CN"/>
        </w:rPr>
        <w:t>4</w:t>
      </w:r>
      <w:r>
        <w:rPr>
          <w:rFonts w:hint="eastAsia" w:ascii="仿宋_GB2312" w:hAnsi="宋体" w:cs="宋体"/>
          <w:kern w:val="0"/>
          <w:szCs w:val="32"/>
          <w:shd w:val="clear" w:color="auto" w:fill="FFFFFF"/>
          <w:lang w:val="zh-CN"/>
        </w:rPr>
        <w:t>%。该项指标分值为5分，按照实际进度量化计算得分</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7.在“资金结余率”方面，我单位部门预算项目共</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项，资金余率小于</w:t>
      </w:r>
      <w:r>
        <w:rPr>
          <w:rFonts w:hint="eastAsia" w:ascii="仿宋_GB2312" w:hAnsi="宋体" w:cs="宋体"/>
          <w:kern w:val="0"/>
          <w:szCs w:val="32"/>
          <w:shd w:val="clear" w:color="auto" w:fill="FFFFFF"/>
        </w:rPr>
        <w:t>0.1</w:t>
      </w:r>
      <w:r>
        <w:rPr>
          <w:rFonts w:hint="eastAsia" w:ascii="仿宋_GB2312" w:hAnsi="宋体" w:cs="宋体"/>
          <w:kern w:val="0"/>
          <w:szCs w:val="32"/>
          <w:shd w:val="clear" w:color="auto" w:fill="FFFFFF"/>
          <w:lang w:val="zh-CN"/>
        </w:rPr>
        <w:t>的项目数</w:t>
      </w:r>
      <w:r>
        <w:rPr>
          <w:rFonts w:hint="eastAsia" w:ascii="仿宋_GB2312" w:hAnsi="宋体" w:cs="宋体"/>
          <w:kern w:val="0"/>
          <w:szCs w:val="32"/>
          <w:shd w:val="clear" w:color="auto" w:fill="FFFFFF"/>
          <w:lang w:val="en-US" w:eastAsia="zh-CN"/>
        </w:rPr>
        <w:t>1</w:t>
      </w:r>
      <w:r>
        <w:rPr>
          <w:rFonts w:hint="eastAsia" w:ascii="仿宋_GB2312" w:hAnsi="宋体" w:cs="宋体"/>
          <w:kern w:val="0"/>
          <w:szCs w:val="32"/>
          <w:shd w:val="clear" w:color="auto" w:fill="FFFFFF"/>
          <w:lang w:val="zh-CN"/>
        </w:rPr>
        <w:t>项。该项指标分值为8分，按照相应量化计算得分</w:t>
      </w:r>
      <w:r>
        <w:rPr>
          <w:rFonts w:hint="eastAsia" w:ascii="仿宋_GB2312" w:hAnsi="宋体" w:cs="宋体"/>
          <w:kern w:val="0"/>
          <w:szCs w:val="32"/>
          <w:shd w:val="clear" w:color="auto" w:fill="FFFFFF"/>
        </w:rPr>
        <w:t>8</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8.在违规记录上，我单位202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年没有出现部门预算管理方面违纪违规问题。该项指标分值为2分，自评得分2分。</w:t>
      </w:r>
      <w:bookmarkStart w:id="2" w:name="_Toc110955069"/>
    </w:p>
    <w:p>
      <w:pPr>
        <w:spacing w:line="600" w:lineRule="exact"/>
        <w:ind w:firstLine="643" w:firstLineChars="200"/>
        <w:outlineLvl w:val="2"/>
        <w:rPr>
          <w:rFonts w:eastAsia="仿宋"/>
          <w:b/>
          <w:bCs/>
          <w:kern w:val="0"/>
          <w:szCs w:val="32"/>
        </w:rPr>
      </w:pPr>
      <w:r>
        <w:rPr>
          <w:rFonts w:eastAsia="仿宋"/>
          <w:b/>
          <w:bCs/>
          <w:kern w:val="0"/>
          <w:szCs w:val="32"/>
        </w:rPr>
        <w:t>（</w:t>
      </w:r>
      <w:r>
        <w:rPr>
          <w:rFonts w:hint="eastAsia" w:eastAsia="仿宋"/>
          <w:b/>
          <w:bCs/>
          <w:kern w:val="0"/>
          <w:szCs w:val="32"/>
        </w:rPr>
        <w:t>三</w:t>
      </w:r>
      <w:r>
        <w:rPr>
          <w:rFonts w:eastAsia="仿宋"/>
          <w:b/>
          <w:bCs/>
          <w:kern w:val="0"/>
          <w:szCs w:val="32"/>
        </w:rPr>
        <w:t>）专项预算管理</w:t>
      </w:r>
      <w:bookmarkEnd w:id="2"/>
      <w:r>
        <w:rPr>
          <w:rFonts w:hint="eastAsia" w:eastAsia="仿宋"/>
          <w:b/>
          <w:bCs/>
          <w:kern w:val="0"/>
          <w:szCs w:val="32"/>
        </w:rPr>
        <w:t>。</w:t>
      </w:r>
    </w:p>
    <w:p>
      <w:pPr>
        <w:spacing w:line="600" w:lineRule="exact"/>
        <w:ind w:firstLine="640" w:firstLineChars="200"/>
        <w:outlineLvl w:val="2"/>
        <w:rPr>
          <w:rFonts w:eastAsia="仿宋"/>
          <w:szCs w:val="32"/>
        </w:rPr>
      </w:pPr>
      <w:r>
        <w:rPr>
          <w:rFonts w:eastAsia="仿宋"/>
          <w:szCs w:val="32"/>
        </w:rPr>
        <w:t>1.专项绩效的预算情况</w:t>
      </w:r>
      <w:r>
        <w:rPr>
          <w:rFonts w:hint="eastAsia" w:eastAsia="仿宋"/>
          <w:szCs w:val="32"/>
        </w:rPr>
        <w:t>。</w:t>
      </w:r>
    </w:p>
    <w:p>
      <w:pPr>
        <w:spacing w:line="578" w:lineRule="exact"/>
        <w:ind w:firstLine="640" w:firstLineChars="200"/>
        <w:rPr>
          <w:rFonts w:eastAsia="仿宋"/>
          <w:bCs/>
          <w:kern w:val="0"/>
          <w:szCs w:val="32"/>
        </w:rPr>
      </w:pPr>
      <w:r>
        <w:rPr>
          <w:rFonts w:eastAsia="仿宋"/>
          <w:bCs/>
          <w:kern w:val="0"/>
          <w:szCs w:val="32"/>
        </w:rPr>
        <w:t>202</w:t>
      </w:r>
      <w:r>
        <w:rPr>
          <w:rFonts w:hint="eastAsia" w:eastAsia="仿宋"/>
          <w:bCs/>
          <w:kern w:val="0"/>
          <w:szCs w:val="32"/>
        </w:rPr>
        <w:t>2</w:t>
      </w:r>
      <w:r>
        <w:rPr>
          <w:rFonts w:eastAsia="仿宋"/>
          <w:bCs/>
          <w:kern w:val="0"/>
          <w:szCs w:val="32"/>
        </w:rPr>
        <w:t>年度共有</w:t>
      </w:r>
      <w:r>
        <w:rPr>
          <w:rFonts w:hint="eastAsia" w:eastAsia="仿宋"/>
          <w:bCs/>
          <w:kern w:val="0"/>
          <w:szCs w:val="32"/>
        </w:rPr>
        <w:t>4</w:t>
      </w:r>
      <w:r>
        <w:rPr>
          <w:rFonts w:eastAsia="仿宋"/>
          <w:bCs/>
          <w:kern w:val="0"/>
          <w:szCs w:val="32"/>
        </w:rPr>
        <w:t>个项目，</w:t>
      </w:r>
      <w:r>
        <w:rPr>
          <w:rFonts w:hint="eastAsia" w:eastAsia="仿宋"/>
          <w:bCs/>
          <w:kern w:val="0"/>
          <w:szCs w:val="32"/>
        </w:rPr>
        <w:t>无</w:t>
      </w:r>
      <w:r>
        <w:rPr>
          <w:rFonts w:eastAsia="仿宋"/>
          <w:bCs/>
          <w:kern w:val="0"/>
          <w:szCs w:val="32"/>
        </w:rPr>
        <w:t>追加项目，主要专项绩效预算情况</w:t>
      </w:r>
      <w:r>
        <w:rPr>
          <w:rFonts w:hint="eastAsia" w:eastAsia="仿宋"/>
          <w:bCs/>
          <w:kern w:val="0"/>
          <w:szCs w:val="32"/>
        </w:rPr>
        <w:t>为</w:t>
      </w:r>
      <w:r>
        <w:rPr>
          <w:rFonts w:eastAsia="仿宋"/>
          <w:bCs/>
          <w:kern w:val="0"/>
          <w:szCs w:val="32"/>
        </w:rPr>
        <w:t>：</w:t>
      </w:r>
    </w:p>
    <w:p>
      <w:pPr>
        <w:spacing w:line="578" w:lineRule="exact"/>
        <w:ind w:firstLine="640" w:firstLineChars="200"/>
        <w:rPr>
          <w:rFonts w:eastAsia="仿宋"/>
          <w:bCs/>
          <w:kern w:val="0"/>
          <w:szCs w:val="32"/>
        </w:rPr>
      </w:pPr>
      <w:r>
        <w:rPr>
          <w:rFonts w:hint="eastAsia" w:eastAsia="仿宋"/>
          <w:bCs/>
          <w:kern w:val="0"/>
          <w:szCs w:val="32"/>
        </w:rPr>
        <w:t>（1）营养餐专项项目</w:t>
      </w:r>
      <w:r>
        <w:rPr>
          <w:rFonts w:hint="eastAsia" w:eastAsia="仿宋"/>
          <w:bCs/>
          <w:kern w:val="0"/>
          <w:szCs w:val="32"/>
          <w:lang w:val="en-US" w:eastAsia="zh-CN"/>
        </w:rPr>
        <w:t>13.95</w:t>
      </w:r>
      <w:r>
        <w:rPr>
          <w:rFonts w:eastAsia="仿宋"/>
          <w:bCs/>
          <w:kern w:val="0"/>
          <w:szCs w:val="32"/>
        </w:rPr>
        <w:t>万元，全年目标</w:t>
      </w:r>
      <w:r>
        <w:rPr>
          <w:rFonts w:hint="eastAsia" w:eastAsia="仿宋"/>
          <w:bCs/>
          <w:kern w:val="0"/>
          <w:szCs w:val="32"/>
        </w:rPr>
        <w:t>为2022年内计划发放营养餐改善计划补助资金</w:t>
      </w:r>
      <w:r>
        <w:rPr>
          <w:rFonts w:hint="eastAsia" w:eastAsia="仿宋"/>
          <w:bCs/>
          <w:kern w:val="0"/>
          <w:szCs w:val="32"/>
          <w:lang w:val="en-US" w:eastAsia="zh-CN"/>
        </w:rPr>
        <w:t>13.95</w:t>
      </w:r>
      <w:r>
        <w:rPr>
          <w:rFonts w:hint="eastAsia" w:eastAsia="仿宋"/>
          <w:bCs/>
          <w:kern w:val="0"/>
          <w:szCs w:val="32"/>
        </w:rPr>
        <w:t>万元，涉及补助学生人数</w:t>
      </w:r>
      <w:r>
        <w:rPr>
          <w:rFonts w:hint="eastAsia" w:eastAsia="仿宋"/>
          <w:bCs/>
          <w:kern w:val="0"/>
          <w:szCs w:val="32"/>
          <w:lang w:val="en-US" w:eastAsia="zh-CN"/>
        </w:rPr>
        <w:t>105</w:t>
      </w:r>
      <w:r>
        <w:rPr>
          <w:rFonts w:hint="eastAsia" w:eastAsia="仿宋"/>
          <w:bCs/>
          <w:kern w:val="0"/>
          <w:szCs w:val="32"/>
        </w:rPr>
        <w:t>名，目的是改善农村义务教育学生的营养状况，提高农村义务教育学生的健康水平，促进城乡义务教育健康持续发展。2022年实际</w:t>
      </w:r>
      <w:r>
        <w:rPr>
          <w:rFonts w:eastAsia="仿宋"/>
          <w:bCs/>
          <w:kern w:val="0"/>
          <w:szCs w:val="32"/>
        </w:rPr>
        <w:t>完成</w:t>
      </w:r>
      <w:r>
        <w:rPr>
          <w:rFonts w:hint="eastAsia" w:eastAsia="仿宋"/>
          <w:bCs/>
          <w:kern w:val="0"/>
          <w:szCs w:val="32"/>
          <w:lang w:val="en-US" w:eastAsia="zh-CN"/>
        </w:rPr>
        <w:t>13.95</w:t>
      </w:r>
      <w:r>
        <w:rPr>
          <w:rFonts w:hint="eastAsia" w:eastAsia="仿宋"/>
          <w:bCs/>
          <w:kern w:val="0"/>
          <w:szCs w:val="32"/>
        </w:rPr>
        <w:t>万元</w:t>
      </w:r>
      <w:r>
        <w:rPr>
          <w:rFonts w:eastAsia="仿宋"/>
          <w:bCs/>
          <w:kern w:val="0"/>
          <w:szCs w:val="32"/>
        </w:rPr>
        <w:t>工作任务</w:t>
      </w:r>
      <w:r>
        <w:rPr>
          <w:rFonts w:hint="eastAsia" w:eastAsia="仿宋"/>
          <w:bCs/>
          <w:kern w:val="0"/>
          <w:szCs w:val="32"/>
        </w:rPr>
        <w:t>，已完成100%；</w:t>
      </w:r>
    </w:p>
    <w:p>
      <w:pPr>
        <w:spacing w:line="578" w:lineRule="exact"/>
        <w:ind w:firstLine="640" w:firstLineChars="200"/>
        <w:rPr>
          <w:rFonts w:eastAsia="仿宋"/>
          <w:bCs/>
          <w:kern w:val="0"/>
          <w:szCs w:val="32"/>
        </w:rPr>
      </w:pPr>
      <w:r>
        <w:rPr>
          <w:rFonts w:hint="eastAsia" w:eastAsia="仿宋"/>
          <w:bCs/>
          <w:kern w:val="0"/>
          <w:szCs w:val="32"/>
        </w:rPr>
        <w:t>（2）购买安保服务专项项目3.00</w:t>
      </w:r>
      <w:r>
        <w:rPr>
          <w:rFonts w:eastAsia="仿宋"/>
          <w:bCs/>
          <w:kern w:val="0"/>
          <w:szCs w:val="32"/>
        </w:rPr>
        <w:t>万元，全年目标</w:t>
      </w:r>
      <w:r>
        <w:rPr>
          <w:rFonts w:hint="eastAsia" w:eastAsia="仿宋"/>
          <w:bCs/>
          <w:kern w:val="0"/>
          <w:szCs w:val="32"/>
        </w:rPr>
        <w:t>为2022年内计划发放学校物业管理服务费3.00万元，涉及补贴对象数量2人，目的是维护学校正常教育教学秩序，保障学校及师生的人身、财产安全。2022年实际</w:t>
      </w:r>
      <w:r>
        <w:rPr>
          <w:rFonts w:eastAsia="仿宋"/>
          <w:bCs/>
          <w:kern w:val="0"/>
          <w:szCs w:val="32"/>
        </w:rPr>
        <w:t>完成</w:t>
      </w:r>
      <w:r>
        <w:rPr>
          <w:rFonts w:hint="eastAsia" w:eastAsia="仿宋"/>
          <w:bCs/>
          <w:kern w:val="0"/>
          <w:szCs w:val="32"/>
        </w:rPr>
        <w:t>3.00万元</w:t>
      </w:r>
      <w:r>
        <w:rPr>
          <w:rFonts w:eastAsia="仿宋"/>
          <w:bCs/>
          <w:kern w:val="0"/>
          <w:szCs w:val="32"/>
        </w:rPr>
        <w:t>工作任务</w:t>
      </w:r>
      <w:r>
        <w:rPr>
          <w:rFonts w:hint="eastAsia" w:eastAsia="仿宋"/>
          <w:bCs/>
          <w:kern w:val="0"/>
          <w:szCs w:val="32"/>
        </w:rPr>
        <w:t>，已完成100%；</w:t>
      </w:r>
    </w:p>
    <w:p>
      <w:pPr>
        <w:spacing w:line="580" w:lineRule="exact"/>
        <w:ind w:firstLine="640" w:firstLineChars="200"/>
        <w:rPr>
          <w:rFonts w:eastAsia="仿宋"/>
          <w:bCs/>
          <w:kern w:val="0"/>
          <w:szCs w:val="32"/>
        </w:rPr>
      </w:pPr>
      <w:r>
        <w:rPr>
          <w:rFonts w:hint="eastAsia" w:eastAsia="仿宋"/>
          <w:bCs/>
          <w:kern w:val="0"/>
          <w:szCs w:val="32"/>
        </w:rPr>
        <w:t>（3）食堂购买服务专项项目</w:t>
      </w:r>
      <w:r>
        <w:rPr>
          <w:rFonts w:hint="eastAsia" w:eastAsia="仿宋"/>
          <w:bCs/>
          <w:kern w:val="0"/>
          <w:szCs w:val="32"/>
          <w:lang w:val="en-US" w:eastAsia="zh-CN"/>
        </w:rPr>
        <w:t>3.3</w:t>
      </w:r>
      <w:r>
        <w:rPr>
          <w:rFonts w:eastAsia="仿宋"/>
          <w:bCs/>
          <w:kern w:val="0"/>
          <w:szCs w:val="32"/>
        </w:rPr>
        <w:t>万元，全年目标</w:t>
      </w:r>
      <w:r>
        <w:rPr>
          <w:rFonts w:hint="eastAsia" w:eastAsia="仿宋"/>
          <w:bCs/>
          <w:kern w:val="0"/>
          <w:szCs w:val="32"/>
        </w:rPr>
        <w:t>为2022年内计划发放食堂从业人员劳务服务报酬补贴</w:t>
      </w:r>
      <w:r>
        <w:rPr>
          <w:rFonts w:hint="eastAsia" w:eastAsia="仿宋"/>
          <w:bCs/>
          <w:kern w:val="0"/>
          <w:szCs w:val="32"/>
          <w:lang w:val="en-US" w:eastAsia="zh-CN"/>
        </w:rPr>
        <w:t>3.3</w:t>
      </w:r>
      <w:r>
        <w:rPr>
          <w:rFonts w:hint="eastAsia" w:eastAsia="仿宋"/>
          <w:bCs/>
          <w:kern w:val="0"/>
          <w:szCs w:val="32"/>
        </w:rPr>
        <w:t>万元，涉及食堂从业人员</w:t>
      </w:r>
      <w:r>
        <w:rPr>
          <w:rFonts w:hint="eastAsia" w:eastAsia="仿宋"/>
          <w:bCs/>
          <w:kern w:val="0"/>
          <w:szCs w:val="32"/>
          <w:lang w:val="en-US" w:eastAsia="zh-CN"/>
        </w:rPr>
        <w:t>2</w:t>
      </w:r>
      <w:r>
        <w:rPr>
          <w:rFonts w:hint="eastAsia" w:eastAsia="仿宋"/>
          <w:bCs/>
          <w:kern w:val="0"/>
          <w:szCs w:val="32"/>
        </w:rPr>
        <w:t>名，目的是建立健全农村义务教育学生营养改善计划长效保障机制和保障学校食堂从业人员相关权益。2022年实际完成</w:t>
      </w:r>
      <w:r>
        <w:rPr>
          <w:rFonts w:hint="eastAsia" w:eastAsia="仿宋"/>
          <w:bCs/>
          <w:kern w:val="0"/>
          <w:szCs w:val="32"/>
          <w:lang w:val="en-US" w:eastAsia="zh-CN"/>
        </w:rPr>
        <w:t>3.3</w:t>
      </w:r>
      <w:r>
        <w:rPr>
          <w:rFonts w:hint="eastAsia" w:eastAsia="仿宋"/>
          <w:bCs/>
          <w:kern w:val="0"/>
          <w:szCs w:val="32"/>
        </w:rPr>
        <w:t>万元</w:t>
      </w:r>
      <w:r>
        <w:rPr>
          <w:rFonts w:eastAsia="仿宋"/>
          <w:bCs/>
          <w:kern w:val="0"/>
          <w:szCs w:val="32"/>
        </w:rPr>
        <w:t>工作任务</w:t>
      </w:r>
      <w:r>
        <w:rPr>
          <w:rFonts w:hint="eastAsia" w:eastAsia="仿宋"/>
          <w:bCs/>
          <w:kern w:val="0"/>
          <w:szCs w:val="32"/>
        </w:rPr>
        <w:t>，已完成100%</w:t>
      </w:r>
      <w:r>
        <w:rPr>
          <w:rFonts w:eastAsia="仿宋"/>
          <w:bCs/>
          <w:kern w:val="0"/>
          <w:szCs w:val="32"/>
        </w:rPr>
        <w:t>；</w:t>
      </w:r>
    </w:p>
    <w:p>
      <w:pPr>
        <w:spacing w:line="580" w:lineRule="exact"/>
        <w:ind w:firstLine="640" w:firstLineChars="200"/>
        <w:rPr>
          <w:rFonts w:eastAsia="仿宋"/>
          <w:szCs w:val="32"/>
        </w:rPr>
      </w:pPr>
      <w:r>
        <w:rPr>
          <w:rFonts w:eastAsia="仿宋"/>
          <w:szCs w:val="32"/>
        </w:rPr>
        <w:t>2.专项绩效的执行情况</w:t>
      </w:r>
    </w:p>
    <w:p>
      <w:pPr>
        <w:spacing w:line="580" w:lineRule="exact"/>
        <w:ind w:firstLine="480" w:firstLineChars="150"/>
        <w:rPr>
          <w:rFonts w:eastAsia="仿宋"/>
          <w:bCs/>
          <w:kern w:val="0"/>
          <w:szCs w:val="32"/>
        </w:rPr>
      </w:pPr>
      <w:r>
        <w:rPr>
          <w:rFonts w:eastAsia="仿宋"/>
          <w:bCs/>
          <w:kern w:val="0"/>
          <w:szCs w:val="32"/>
        </w:rPr>
        <w:t>绩效目标项目年初有</w:t>
      </w:r>
      <w:r>
        <w:rPr>
          <w:rFonts w:hint="eastAsia" w:eastAsia="仿宋"/>
          <w:bCs/>
          <w:kern w:val="0"/>
          <w:szCs w:val="32"/>
        </w:rPr>
        <w:t>4</w:t>
      </w:r>
      <w:r>
        <w:rPr>
          <w:rFonts w:eastAsia="仿宋"/>
          <w:bCs/>
          <w:kern w:val="0"/>
          <w:szCs w:val="32"/>
        </w:rPr>
        <w:t>个，开展绩效评价项目</w:t>
      </w:r>
      <w:r>
        <w:rPr>
          <w:rFonts w:hint="eastAsia" w:eastAsia="仿宋"/>
          <w:bCs/>
          <w:kern w:val="0"/>
          <w:szCs w:val="32"/>
        </w:rPr>
        <w:t>4</w:t>
      </w:r>
      <w:r>
        <w:rPr>
          <w:rFonts w:eastAsia="仿宋"/>
          <w:bCs/>
          <w:kern w:val="0"/>
          <w:szCs w:val="32"/>
        </w:rPr>
        <w:t>个，开展自评项目数</w:t>
      </w:r>
      <w:r>
        <w:rPr>
          <w:rFonts w:hint="eastAsia" w:eastAsia="仿宋"/>
          <w:bCs/>
          <w:kern w:val="0"/>
          <w:szCs w:val="32"/>
        </w:rPr>
        <w:t>4</w:t>
      </w:r>
      <w:r>
        <w:rPr>
          <w:rFonts w:eastAsia="仿宋"/>
          <w:bCs/>
          <w:kern w:val="0"/>
          <w:szCs w:val="32"/>
        </w:rPr>
        <w:t>个，完成绩效评价数</w:t>
      </w:r>
      <w:r>
        <w:rPr>
          <w:rFonts w:hint="eastAsia" w:eastAsia="仿宋"/>
          <w:bCs/>
          <w:kern w:val="0"/>
          <w:szCs w:val="32"/>
        </w:rPr>
        <w:t>4</w:t>
      </w:r>
      <w:r>
        <w:rPr>
          <w:rFonts w:eastAsia="仿宋"/>
          <w:bCs/>
          <w:kern w:val="0"/>
          <w:szCs w:val="32"/>
        </w:rPr>
        <w:t>个；应填报绩效目标的项目数</w:t>
      </w:r>
      <w:r>
        <w:rPr>
          <w:rFonts w:hint="eastAsia" w:eastAsia="仿宋"/>
          <w:bCs/>
          <w:kern w:val="0"/>
          <w:szCs w:val="32"/>
        </w:rPr>
        <w:t>4</w:t>
      </w:r>
      <w:r>
        <w:rPr>
          <w:rFonts w:eastAsia="仿宋"/>
          <w:bCs/>
          <w:kern w:val="0"/>
          <w:szCs w:val="32"/>
        </w:rPr>
        <w:t>个（年中追加</w:t>
      </w:r>
      <w:r>
        <w:rPr>
          <w:rFonts w:hint="eastAsia" w:eastAsia="仿宋"/>
          <w:bCs/>
          <w:kern w:val="0"/>
          <w:szCs w:val="32"/>
        </w:rPr>
        <w:t>0</w:t>
      </w:r>
      <w:r>
        <w:rPr>
          <w:rFonts w:eastAsia="仿宋"/>
          <w:bCs/>
          <w:kern w:val="0"/>
          <w:szCs w:val="32"/>
        </w:rPr>
        <w:t>个）、应开展绩效监控的项目</w:t>
      </w:r>
      <w:r>
        <w:rPr>
          <w:rFonts w:hint="eastAsia" w:eastAsia="仿宋"/>
          <w:bCs/>
          <w:kern w:val="0"/>
          <w:szCs w:val="32"/>
        </w:rPr>
        <w:t>0</w:t>
      </w:r>
      <w:r>
        <w:rPr>
          <w:rFonts w:eastAsia="仿宋"/>
          <w:bCs/>
          <w:kern w:val="0"/>
          <w:szCs w:val="32"/>
        </w:rPr>
        <w:t>个和应开展绩效自评项目</w:t>
      </w:r>
      <w:r>
        <w:rPr>
          <w:rFonts w:hint="eastAsia" w:eastAsia="仿宋"/>
          <w:bCs/>
          <w:kern w:val="0"/>
          <w:szCs w:val="32"/>
        </w:rPr>
        <w:t>4</w:t>
      </w:r>
      <w:r>
        <w:rPr>
          <w:rFonts w:eastAsia="仿宋"/>
          <w:bCs/>
          <w:kern w:val="0"/>
          <w:szCs w:val="32"/>
        </w:rPr>
        <w:t>个，应完成绩效工作数为</w:t>
      </w:r>
      <w:r>
        <w:rPr>
          <w:rFonts w:hint="eastAsia" w:eastAsia="仿宋"/>
          <w:bCs/>
          <w:kern w:val="0"/>
          <w:szCs w:val="32"/>
        </w:rPr>
        <w:t>4</w:t>
      </w:r>
      <w:r>
        <w:rPr>
          <w:rFonts w:eastAsia="仿宋"/>
          <w:bCs/>
          <w:kern w:val="0"/>
          <w:szCs w:val="32"/>
        </w:rPr>
        <w:t>个。项目</w:t>
      </w:r>
      <w:r>
        <w:rPr>
          <w:rFonts w:hint="eastAsia" w:eastAsia="仿宋"/>
          <w:bCs/>
          <w:kern w:val="0"/>
          <w:szCs w:val="32"/>
        </w:rPr>
        <w:t>执行达100</w:t>
      </w:r>
      <w:r>
        <w:rPr>
          <w:rFonts w:eastAsia="仿宋"/>
          <w:bCs/>
          <w:kern w:val="0"/>
          <w:szCs w:val="32"/>
        </w:rPr>
        <w:t>%以上的项目</w:t>
      </w:r>
      <w:r>
        <w:rPr>
          <w:rFonts w:hint="eastAsia" w:eastAsia="仿宋"/>
          <w:bCs/>
          <w:kern w:val="0"/>
          <w:szCs w:val="32"/>
        </w:rPr>
        <w:t>4</w:t>
      </w:r>
      <w:r>
        <w:rPr>
          <w:rFonts w:eastAsia="仿宋"/>
          <w:bCs/>
          <w:kern w:val="0"/>
          <w:szCs w:val="32"/>
        </w:rPr>
        <w:t>项</w:t>
      </w:r>
      <w:r>
        <w:rPr>
          <w:rFonts w:hint="eastAsia" w:eastAsia="仿宋"/>
          <w:bCs/>
          <w:kern w:val="0"/>
          <w:szCs w:val="32"/>
        </w:rPr>
        <w:t>，</w:t>
      </w:r>
      <w:r>
        <w:rPr>
          <w:rFonts w:eastAsia="仿宋"/>
          <w:bCs/>
          <w:kern w:val="0"/>
          <w:szCs w:val="32"/>
        </w:rPr>
        <w:t>项目综合完成率为</w:t>
      </w:r>
      <w:r>
        <w:rPr>
          <w:rFonts w:hint="eastAsia" w:eastAsia="仿宋"/>
          <w:bCs/>
          <w:kern w:val="0"/>
          <w:szCs w:val="32"/>
        </w:rPr>
        <w:t>100</w:t>
      </w:r>
      <w:r>
        <w:rPr>
          <w:rFonts w:eastAsia="仿宋"/>
          <w:bCs/>
          <w:kern w:val="0"/>
          <w:szCs w:val="32"/>
        </w:rPr>
        <w:t>%。</w:t>
      </w:r>
    </w:p>
    <w:p>
      <w:pPr>
        <w:spacing w:line="580" w:lineRule="exact"/>
        <w:ind w:firstLine="480" w:firstLineChars="150"/>
        <w:rPr>
          <w:rFonts w:eastAsia="仿宋"/>
          <w:bCs/>
          <w:kern w:val="0"/>
          <w:szCs w:val="32"/>
        </w:rPr>
      </w:pPr>
      <w:r>
        <w:rPr>
          <w:rFonts w:eastAsia="仿宋"/>
          <w:bCs/>
          <w:kern w:val="0"/>
          <w:szCs w:val="32"/>
        </w:rPr>
        <w:t>专项预算管理</w:t>
      </w:r>
      <w:r>
        <w:rPr>
          <w:rFonts w:hint="eastAsia" w:eastAsia="仿宋"/>
          <w:bCs/>
          <w:kern w:val="0"/>
          <w:szCs w:val="32"/>
        </w:rPr>
        <w:t>分值为40分，自评得分为40分。</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(四)结果应用情况</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1.在“预算挂钩”方面，我</w:t>
      </w:r>
      <w:r>
        <w:rPr>
          <w:rFonts w:hint="eastAsia" w:ascii="仿宋_GB2312" w:hAnsi="宋体" w:cs="宋体"/>
          <w:kern w:val="0"/>
          <w:szCs w:val="32"/>
          <w:shd w:val="clear" w:color="auto" w:fill="FFFFFF"/>
        </w:rPr>
        <w:t>单位</w:t>
      </w:r>
      <w:r>
        <w:rPr>
          <w:rFonts w:hint="eastAsia" w:ascii="仿宋_GB2312" w:hAnsi="宋体" w:cs="宋体"/>
          <w:kern w:val="0"/>
          <w:szCs w:val="32"/>
          <w:shd w:val="clear" w:color="auto" w:fill="FFFFFF"/>
          <w:lang w:val="zh-CN"/>
        </w:rPr>
        <w:t>已出台全面实施预算绩效管理工作方案，细化考核内容，加强各业务</w:t>
      </w:r>
      <w:r>
        <w:rPr>
          <w:rFonts w:hint="eastAsia" w:ascii="仿宋_GB2312" w:hAnsi="宋体" w:cs="宋体"/>
          <w:kern w:val="0"/>
          <w:szCs w:val="32"/>
          <w:shd w:val="clear" w:color="auto" w:fill="FFFFFF"/>
        </w:rPr>
        <w:t>股</w:t>
      </w:r>
      <w:r>
        <w:rPr>
          <w:rFonts w:hint="eastAsia" w:ascii="仿宋_GB2312" w:hAnsi="宋体" w:cs="宋体"/>
          <w:kern w:val="0"/>
          <w:szCs w:val="32"/>
          <w:shd w:val="clear" w:color="auto" w:fill="FFFFFF"/>
          <w:lang w:val="zh-CN"/>
        </w:rPr>
        <w:t>室与绩效管理工作的联系，明确考核及绩效结果与专项预算安排挂钩举措，推动绩效管理工作更好的实施。该项指标分值为4分，自评得分</w:t>
      </w:r>
      <w:r>
        <w:rPr>
          <w:rFonts w:hint="eastAsia" w:ascii="仿宋_GB2312" w:hAnsi="宋体" w:cs="宋体"/>
          <w:kern w:val="0"/>
          <w:szCs w:val="32"/>
          <w:shd w:val="clear" w:color="auto" w:fill="FFFFFF"/>
        </w:rPr>
        <w:t>4</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2.在“自评公开”方面，我</w:t>
      </w:r>
      <w:r>
        <w:rPr>
          <w:rFonts w:hint="eastAsia" w:ascii="仿宋_GB2312" w:hAnsi="宋体" w:cs="宋体"/>
          <w:kern w:val="0"/>
          <w:szCs w:val="32"/>
          <w:shd w:val="clear" w:color="auto" w:fill="FFFFFF"/>
        </w:rPr>
        <w:t>单位</w:t>
      </w:r>
      <w:r>
        <w:rPr>
          <w:rFonts w:hint="eastAsia" w:ascii="仿宋_GB2312" w:hAnsi="宋体" w:cs="宋体"/>
          <w:kern w:val="0"/>
          <w:szCs w:val="32"/>
          <w:shd w:val="clear" w:color="auto" w:fill="FFFFFF"/>
          <w:lang w:val="zh-CN"/>
        </w:rPr>
        <w:t>严格按照预决算编制要求编制绩效目标，填列绩效目标完成情况，开展绩效自评工作，并按要求将相关绩效信息随部门预算决一并在厅门户网站公开。该项指.标分值为2分，自评得分</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3.在“问题整改”方面，结合部门预算项目实际情况，绩效目标设置要素完整也基本做到细化量化;对发现执行进度偏低的项目，要求各业务</w:t>
      </w:r>
      <w:r>
        <w:rPr>
          <w:rFonts w:hint="eastAsia" w:ascii="仿宋_GB2312" w:hAnsi="宋体" w:cs="宋体"/>
          <w:kern w:val="0"/>
          <w:szCs w:val="32"/>
          <w:shd w:val="clear" w:color="auto" w:fill="FFFFFF"/>
        </w:rPr>
        <w:t>处</w:t>
      </w:r>
      <w:r>
        <w:rPr>
          <w:rFonts w:hint="eastAsia" w:ascii="仿宋_GB2312" w:hAnsi="宋体" w:cs="宋体"/>
          <w:kern w:val="0"/>
          <w:szCs w:val="32"/>
          <w:shd w:val="clear" w:color="auto" w:fill="FFFFFF"/>
          <w:lang w:val="zh-CN"/>
        </w:rPr>
        <w:t>室加快预算执行进度;针对我</w:t>
      </w:r>
      <w:r>
        <w:rPr>
          <w:rFonts w:hint="eastAsia" w:ascii="仿宋_GB2312" w:hAnsi="宋体" w:cs="宋体"/>
          <w:kern w:val="0"/>
          <w:szCs w:val="32"/>
          <w:shd w:val="clear" w:color="auto" w:fill="FFFFFF"/>
        </w:rPr>
        <w:t>单位</w:t>
      </w:r>
      <w:r>
        <w:rPr>
          <w:rFonts w:hint="eastAsia" w:ascii="仿宋_GB2312" w:hAnsi="宋体" w:cs="宋体"/>
          <w:kern w:val="0"/>
          <w:szCs w:val="32"/>
          <w:shd w:val="clear" w:color="auto" w:fill="FFFFFF"/>
          <w:lang w:val="zh-CN"/>
        </w:rPr>
        <w:t>内部考核办法有关预算绩效考核的内容不够完善且难以量化考核的情况，及时完善了相关考核办法，细化考核指标。该项指标分值为2分，自评得分</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4.在应用反馈上，我</w:t>
      </w:r>
      <w:r>
        <w:rPr>
          <w:rFonts w:hint="eastAsia" w:ascii="仿宋_GB2312" w:hAnsi="宋体" w:cs="宋体"/>
          <w:kern w:val="0"/>
          <w:szCs w:val="32"/>
          <w:shd w:val="clear" w:color="auto" w:fill="FFFFFF"/>
        </w:rPr>
        <w:t>单位</w:t>
      </w:r>
      <w:r>
        <w:rPr>
          <w:rFonts w:hint="eastAsia" w:ascii="仿宋_GB2312" w:hAnsi="宋体" w:cs="宋体"/>
          <w:kern w:val="0"/>
          <w:szCs w:val="32"/>
          <w:shd w:val="clear" w:color="auto" w:fill="FFFFFF"/>
          <w:lang w:val="zh-CN"/>
        </w:rPr>
        <w:t>已按要求在规定时间内将预算绩效结果应用向财政反馈。该项指标分值为</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分，自评得分</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(五)自评质量情况</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_GB2312" w:hAnsi="宋体" w:cs="宋体"/>
          <w:kern w:val="0"/>
          <w:szCs w:val="32"/>
          <w:shd w:val="clear" w:color="auto" w:fill="FFFFFF"/>
        </w:rPr>
        <w:t>我单位</w:t>
      </w:r>
      <w:r>
        <w:rPr>
          <w:rFonts w:hint="eastAsia" w:ascii="仿宋_GB2312" w:hAnsi="宋体" w:cs="宋体"/>
          <w:kern w:val="0"/>
          <w:szCs w:val="32"/>
          <w:shd w:val="clear" w:color="auto" w:fill="FFFFFF"/>
          <w:lang w:val="zh-CN"/>
        </w:rPr>
        <w:t>整体支出自评准确率较高，</w:t>
      </w:r>
      <w:r>
        <w:rPr>
          <w:rFonts w:hint="eastAsia" w:ascii="仿宋_GB2312" w:hAnsi="宋体" w:cs="宋体"/>
          <w:kern w:val="0"/>
          <w:szCs w:val="32"/>
          <w:shd w:val="clear" w:color="auto" w:fill="FFFFFF"/>
        </w:rPr>
        <w:t>且全面开展自评</w:t>
      </w:r>
      <w:r>
        <w:rPr>
          <w:rFonts w:hint="eastAsia" w:ascii="仿宋_GB2312" w:hAnsi="宋体" w:cs="宋体"/>
          <w:kern w:val="0"/>
          <w:szCs w:val="32"/>
          <w:shd w:val="clear" w:color="auto" w:fill="FFFFFF"/>
          <w:lang w:val="zh-CN"/>
        </w:rPr>
        <w:t>。</w:t>
      </w:r>
      <w:r>
        <w:rPr>
          <w:rFonts w:hint="eastAsia" w:ascii="仿宋_GB2312" w:hAnsi="宋体" w:cs="宋体"/>
          <w:kern w:val="0"/>
          <w:szCs w:val="32"/>
          <w:shd w:val="clear" w:color="auto" w:fill="FFFFFF"/>
        </w:rPr>
        <w:t>自评质量分值为10分，由主管部门、财政部门考评，单位自评实际总分为9分。</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_GB2312" w:hAnsi="宋体" w:cs="宋体"/>
          <w:kern w:val="0"/>
          <w:szCs w:val="32"/>
          <w:shd w:val="clear" w:color="auto" w:fill="FFFFFF"/>
          <w:lang w:val="zh-CN"/>
        </w:rPr>
        <w:t>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w:t>
      </w:r>
      <w:r>
        <w:rPr>
          <w:rFonts w:hint="eastAsia" w:ascii="仿宋_GB2312" w:hAnsi="宋体" w:cs="宋体"/>
          <w:kern w:val="0"/>
          <w:szCs w:val="32"/>
          <w:shd w:val="clear" w:color="auto" w:fill="FFFFFF"/>
        </w:rPr>
        <w:t>我单位</w:t>
      </w:r>
      <w:r>
        <w:rPr>
          <w:rFonts w:hint="eastAsia" w:ascii="仿宋_GB2312" w:hAnsi="宋体" w:cs="宋体"/>
          <w:kern w:val="0"/>
          <w:szCs w:val="32"/>
          <w:shd w:val="clear" w:color="auto" w:fill="FFFFFF"/>
          <w:lang w:val="zh-CN"/>
        </w:rPr>
        <w:t>整体支出绩效自评得分</w:t>
      </w:r>
      <w:r>
        <w:rPr>
          <w:rFonts w:hint="eastAsia" w:ascii="仿宋_GB2312" w:hAnsi="宋体" w:cs="宋体"/>
          <w:kern w:val="0"/>
          <w:szCs w:val="32"/>
          <w:shd w:val="clear" w:color="auto" w:fill="FFFFFF"/>
        </w:rPr>
        <w:t>实际为96</w:t>
      </w:r>
      <w:r>
        <w:rPr>
          <w:rFonts w:hint="eastAsia" w:ascii="仿宋_GB2312" w:hAnsi="宋体" w:cs="宋体"/>
          <w:kern w:val="0"/>
          <w:szCs w:val="32"/>
          <w:shd w:val="clear" w:color="auto" w:fill="FFFFFF"/>
          <w:lang w:val="zh-CN"/>
        </w:rPr>
        <w:t>分。</w:t>
      </w:r>
    </w:p>
    <w:p>
      <w:pPr>
        <w:widowControl/>
        <w:adjustRightInd w:val="0"/>
        <w:snapToGrid w:val="0"/>
        <w:spacing w:line="580" w:lineRule="exact"/>
        <w:ind w:firstLine="643" w:firstLineChars="200"/>
        <w:contextualSpacing/>
        <w:jc w:val="left"/>
        <w:rPr>
          <w:rFonts w:ascii="黑体" w:hAnsi="宋体" w:eastAsia="黑体" w:cs="宋体"/>
          <w:b/>
          <w:kern w:val="0"/>
          <w:szCs w:val="32"/>
          <w:shd w:val="clear" w:color="auto" w:fill="FFFFFF"/>
        </w:rPr>
      </w:pPr>
      <w:r>
        <w:rPr>
          <w:rFonts w:hint="eastAsia" w:ascii="黑体" w:hAnsi="宋体" w:eastAsia="黑体" w:cs="宋体"/>
          <w:b/>
          <w:kern w:val="0"/>
          <w:szCs w:val="32"/>
          <w:shd w:val="clear" w:color="auto" w:fill="FFFFFF"/>
        </w:rPr>
        <w:t>四、评价结论及建议</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按照202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年度</w:t>
      </w:r>
      <w:r>
        <w:rPr>
          <w:rFonts w:hint="eastAsia" w:ascii="仿宋_GB2312" w:hAnsi="宋体" w:cs="宋体"/>
          <w:kern w:val="0"/>
          <w:szCs w:val="32"/>
          <w:shd w:val="clear" w:color="auto" w:fill="FFFFFF"/>
        </w:rPr>
        <w:t>区</w:t>
      </w:r>
      <w:r>
        <w:rPr>
          <w:rFonts w:hint="eastAsia" w:ascii="仿宋_GB2312" w:hAnsi="宋体" w:cs="宋体"/>
          <w:kern w:val="0"/>
          <w:szCs w:val="32"/>
          <w:shd w:val="clear" w:color="auto" w:fill="FFFFFF"/>
          <w:lang w:val="zh-CN"/>
        </w:rPr>
        <w:t>级部门整体支出绩效评价指标体系，绩效评价总分</w:t>
      </w:r>
      <w:r>
        <w:rPr>
          <w:rFonts w:hint="eastAsia" w:ascii="仿宋_GB2312" w:hAnsi="宋体" w:cs="宋体"/>
          <w:kern w:val="0"/>
          <w:szCs w:val="32"/>
          <w:shd w:val="clear" w:color="auto" w:fill="FFFFFF"/>
        </w:rPr>
        <w:t>100</w:t>
      </w:r>
      <w:r>
        <w:rPr>
          <w:rFonts w:hint="eastAsia" w:ascii="仿宋_GB2312" w:hAnsi="宋体" w:cs="宋体"/>
          <w:kern w:val="0"/>
          <w:szCs w:val="32"/>
          <w:shd w:val="clear" w:color="auto" w:fill="FFFFFF"/>
          <w:lang w:val="zh-CN"/>
        </w:rPr>
        <w:t>分，我</w:t>
      </w:r>
      <w:r>
        <w:rPr>
          <w:rFonts w:hint="eastAsia" w:ascii="仿宋_GB2312" w:hAnsi="宋体" w:cs="宋体"/>
          <w:kern w:val="0"/>
          <w:szCs w:val="32"/>
          <w:shd w:val="clear" w:color="auto" w:fill="FFFFFF"/>
        </w:rPr>
        <w:t>部门（单位）</w:t>
      </w:r>
      <w:r>
        <w:rPr>
          <w:rFonts w:hint="eastAsia" w:ascii="仿宋_GB2312" w:hAnsi="宋体" w:cs="宋体"/>
          <w:kern w:val="0"/>
          <w:szCs w:val="32"/>
          <w:shd w:val="clear" w:color="auto" w:fill="FFFFFF"/>
          <w:lang w:val="zh-CN"/>
        </w:rPr>
        <w:t>得分</w:t>
      </w:r>
      <w:r>
        <w:rPr>
          <w:rFonts w:hint="eastAsia" w:ascii="仿宋_GB2312" w:hAnsi="宋体" w:cs="宋体"/>
          <w:kern w:val="0"/>
          <w:szCs w:val="32"/>
          <w:shd w:val="clear" w:color="auto" w:fill="FFFFFF"/>
        </w:rPr>
        <w:t>96</w:t>
      </w:r>
      <w:r>
        <w:rPr>
          <w:rFonts w:hint="eastAsia" w:ascii="仿宋_GB2312" w:hAnsi="宋体" w:cs="宋体"/>
          <w:kern w:val="0"/>
          <w:szCs w:val="32"/>
          <w:shd w:val="clear" w:color="auto" w:fill="FFFFFF"/>
          <w:lang w:val="zh-CN"/>
        </w:rPr>
        <w:t>分（</w:t>
      </w:r>
      <w:r>
        <w:rPr>
          <w:rFonts w:hint="eastAsia" w:ascii="仿宋_GB2312" w:hAnsi="宋体" w:cs="宋体"/>
          <w:kern w:val="0"/>
          <w:szCs w:val="32"/>
          <w:shd w:val="clear" w:color="auto" w:fill="FFFFFF"/>
        </w:rPr>
        <w:t>详见《2023年整体支出绩效评价指标体系表》）。</w:t>
      </w:r>
      <w:r>
        <w:rPr>
          <w:rFonts w:hint="eastAsia" w:ascii="仿宋_GB2312" w:hAnsi="宋体" w:cs="宋体"/>
          <w:kern w:val="0"/>
          <w:szCs w:val="32"/>
          <w:shd w:val="clear" w:color="auto" w:fill="FFFFFF"/>
          <w:lang w:val="zh-CN"/>
        </w:rPr>
        <w:t>基本完成了年度预算绩效管理目标，扣分项主要涉及预算调整金额偏大和个别时间节点预算执行进度不高。</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bCs/>
          <w:kern w:val="0"/>
          <w:szCs w:val="32"/>
          <w:shd w:val="clear" w:color="auto" w:fill="FFFFFF"/>
          <w:lang w:val="zh-CN"/>
        </w:rPr>
        <w:t>一是绩效管理意识还有待加强。</w:t>
      </w:r>
      <w:r>
        <w:rPr>
          <w:rFonts w:hint="eastAsia" w:ascii="仿宋_GB2312" w:hAnsi="宋体" w:cs="宋体"/>
          <w:kern w:val="0"/>
          <w:szCs w:val="32"/>
          <w:shd w:val="clear" w:color="auto" w:fill="FFFFFF"/>
          <w:lang w:val="zh-CN"/>
        </w:rPr>
        <w:t>绩效管理目标细化量化方式较为单一，前期对预算项目定位、功能、实施内容梳理不够深入，项目资金绩效目标设置不够合理。</w:t>
      </w:r>
    </w:p>
    <w:p>
      <w:pPr>
        <w:widowControl/>
        <w:adjustRightInd w:val="0"/>
        <w:snapToGrid w:val="0"/>
        <w:spacing w:line="580" w:lineRule="exact"/>
        <w:ind w:firstLine="640" w:firstLineChars="200"/>
        <w:contextualSpacing/>
        <w:jc w:val="left"/>
        <w:rPr>
          <w:lang w:val="zh-CN"/>
        </w:rPr>
      </w:pPr>
      <w:r>
        <w:rPr>
          <w:rFonts w:hint="eastAsia" w:ascii="仿宋_GB2312" w:hAnsi="宋体" w:cs="宋体"/>
          <w:bCs/>
          <w:kern w:val="0"/>
          <w:szCs w:val="32"/>
          <w:shd w:val="clear" w:color="auto" w:fill="FFFFFF"/>
          <w:lang w:val="zh-CN"/>
        </w:rPr>
        <w:t>二是预算执行力度不强，预算执行进度偏慢</w:t>
      </w:r>
      <w:r>
        <w:rPr>
          <w:rFonts w:hint="eastAsia" w:ascii="仿宋_GB2312" w:hAnsi="宋体" w:cs="宋体"/>
          <w:kern w:val="0"/>
          <w:szCs w:val="32"/>
          <w:shd w:val="clear" w:color="auto" w:fill="FFFFFF"/>
          <w:lang w:val="zh-CN"/>
        </w:rPr>
        <w:t>。</w:t>
      </w:r>
    </w:p>
    <w:p>
      <w:pPr>
        <w:widowControl/>
        <w:adjustRightInd w:val="0"/>
        <w:snapToGrid w:val="0"/>
        <w:spacing w:line="580" w:lineRule="exact"/>
        <w:ind w:firstLine="643" w:firstLineChars="200"/>
        <w:contextualSpacing/>
        <w:jc w:val="left"/>
        <w:rPr>
          <w:rFonts w:ascii="仿宋_GB2312" w:hAnsi="宋体" w:cs="宋体"/>
          <w:b/>
          <w:kern w:val="0"/>
          <w:szCs w:val="32"/>
          <w:shd w:val="clear" w:color="auto" w:fill="FFFFFF"/>
          <w:lang w:val="zh-CN"/>
        </w:rPr>
      </w:pPr>
      <w:r>
        <w:rPr>
          <w:rFonts w:hint="eastAsia" w:ascii="仿宋_GB2312" w:hAnsi="宋体" w:cs="宋体"/>
          <w:b/>
          <w:kern w:val="0"/>
          <w:szCs w:val="32"/>
          <w:shd w:val="clear" w:color="auto" w:fill="FFFFFF"/>
          <w:lang w:val="zh-CN"/>
        </w:rPr>
        <w:t>(三)改进措施</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kern w:val="0"/>
          <w:szCs w:val="32"/>
          <w:shd w:val="clear" w:color="auto" w:fill="FFFFFF"/>
          <w:lang w:val="zh-CN"/>
        </w:rPr>
        <w:t>202</w:t>
      </w:r>
      <w:r>
        <w:rPr>
          <w:rFonts w:hint="eastAsia" w:ascii="仿宋_GB2312" w:hAnsi="宋体" w:cs="宋体"/>
          <w:kern w:val="0"/>
          <w:szCs w:val="32"/>
          <w:shd w:val="clear" w:color="auto" w:fill="FFFFFF"/>
        </w:rPr>
        <w:t>3</w:t>
      </w:r>
      <w:r>
        <w:rPr>
          <w:rFonts w:hint="eastAsia" w:ascii="仿宋_GB2312" w:hAnsi="宋体" w:cs="宋体"/>
          <w:kern w:val="0"/>
          <w:szCs w:val="32"/>
          <w:shd w:val="clear" w:color="auto" w:fill="FFFFFF"/>
          <w:lang w:val="zh-CN"/>
        </w:rPr>
        <w:t>年，我</w:t>
      </w:r>
      <w:r>
        <w:rPr>
          <w:rFonts w:hint="eastAsia" w:ascii="仿宋_GB2312" w:hAnsi="宋体" w:cs="宋体"/>
          <w:kern w:val="0"/>
          <w:szCs w:val="32"/>
          <w:shd w:val="clear" w:color="auto" w:fill="FFFFFF"/>
        </w:rPr>
        <w:t>单位</w:t>
      </w:r>
      <w:r>
        <w:rPr>
          <w:rFonts w:hint="eastAsia" w:ascii="仿宋_GB2312" w:hAnsi="宋体" w:cs="宋体"/>
          <w:kern w:val="0"/>
          <w:szCs w:val="32"/>
          <w:shd w:val="clear" w:color="auto" w:fill="FFFFFF"/>
          <w:lang w:val="zh-CN"/>
        </w:rPr>
        <w:t>将采取以下措施，提升预算绩效整体业务工作水平。</w:t>
      </w:r>
    </w:p>
    <w:p>
      <w:pPr>
        <w:widowControl/>
        <w:adjustRightInd w:val="0"/>
        <w:snapToGrid w:val="0"/>
        <w:spacing w:line="580" w:lineRule="exact"/>
        <w:ind w:firstLine="640" w:firstLineChars="200"/>
        <w:contextualSpacing/>
        <w:jc w:val="left"/>
        <w:rPr>
          <w:rFonts w:ascii="仿宋_GB2312" w:hAnsi="宋体" w:cs="宋体"/>
          <w:bCs/>
          <w:kern w:val="0"/>
          <w:szCs w:val="32"/>
          <w:shd w:val="clear" w:color="auto" w:fill="FFFFFF"/>
          <w:lang w:val="zh-CN"/>
        </w:rPr>
      </w:pPr>
      <w:r>
        <w:rPr>
          <w:rFonts w:hint="eastAsia" w:ascii="仿宋_GB2312" w:hAnsi="宋体" w:cs="宋体"/>
          <w:bCs/>
          <w:kern w:val="0"/>
          <w:szCs w:val="32"/>
          <w:shd w:val="clear" w:color="auto" w:fill="FFFFFF"/>
          <w:lang w:val="zh-CN"/>
        </w:rPr>
        <w:t>一是提高预算绩效管理工作意识</w:t>
      </w:r>
      <w:r>
        <w:rPr>
          <w:rFonts w:hint="eastAsia" w:ascii="仿宋_GB2312" w:hAnsi="宋体" w:cs="宋体"/>
          <w:kern w:val="0"/>
          <w:szCs w:val="32"/>
          <w:shd w:val="clear" w:color="auto" w:fill="FFFFFF"/>
          <w:lang w:val="zh-CN"/>
        </w:rPr>
        <w:t>，按照预算绩效管理工作方案要求，明确职责分工，压实主体责任，强化各具体项目承办。</w:t>
      </w:r>
      <w:r>
        <w:rPr>
          <w:rFonts w:hint="eastAsia" w:ascii="仿宋_GB2312" w:hAnsi="宋体" w:cs="宋体"/>
          <w:kern w:val="0"/>
          <w:szCs w:val="32"/>
          <w:shd w:val="clear" w:color="auto" w:fill="FFFFFF"/>
        </w:rPr>
        <w:t>各处</w:t>
      </w:r>
      <w:r>
        <w:rPr>
          <w:rFonts w:hint="eastAsia" w:ascii="仿宋_GB2312" w:hAnsi="宋体" w:cs="宋体"/>
          <w:kern w:val="0"/>
          <w:szCs w:val="32"/>
          <w:shd w:val="clear" w:color="auto" w:fill="FFFFFF"/>
          <w:lang w:val="zh-CN"/>
        </w:rPr>
        <w:t>室的资金绩效管理意识，加强对项目需求的论证，合理测算预算资金，提高预算编制的准确性和科学性，确保预算具有较强的指引性、调控性和操作性</w:t>
      </w:r>
      <w:r>
        <w:rPr>
          <w:rFonts w:hint="eastAsia" w:ascii="仿宋_GB2312" w:hAnsi="宋体" w:cs="宋体"/>
          <w:bCs/>
          <w:kern w:val="0"/>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lang w:val="zh-CN"/>
        </w:rPr>
      </w:pPr>
      <w:r>
        <w:rPr>
          <w:rFonts w:hint="eastAsia" w:ascii="仿宋_GB2312" w:hAnsi="宋体" w:cs="宋体"/>
          <w:bCs/>
          <w:kern w:val="0"/>
          <w:szCs w:val="32"/>
          <w:shd w:val="clear" w:color="auto" w:fill="FFFFFF"/>
          <w:lang w:val="zh-CN"/>
        </w:rPr>
        <w:t>二是继续加强预算统筹调控</w:t>
      </w:r>
      <w:r>
        <w:rPr>
          <w:rFonts w:hint="eastAsia" w:ascii="仿宋_GB2312" w:hAnsi="宋体" w:cs="宋体"/>
          <w:kern w:val="0"/>
          <w:szCs w:val="32"/>
          <w:shd w:val="clear" w:color="auto" w:fill="FFFFFF"/>
          <w:lang w:val="zh-CN"/>
        </w:rPr>
        <w:t>，把握工作重点，加强沟通协调，按照“统筹兼顾、突出重点、厉行节约、讲求效益”的原则统筹预算，保障单位正常运转和履行各项职能开支需要，力争202</w:t>
      </w:r>
      <w:r>
        <w:rPr>
          <w:rFonts w:hint="eastAsia" w:ascii="仿宋_GB2312" w:hAnsi="宋体" w:cs="宋体"/>
          <w:kern w:val="0"/>
          <w:szCs w:val="32"/>
          <w:shd w:val="clear" w:color="auto" w:fill="FFFFFF"/>
        </w:rPr>
        <w:t>3</w:t>
      </w:r>
      <w:r>
        <w:rPr>
          <w:rFonts w:hint="eastAsia" w:ascii="仿宋_GB2312" w:hAnsi="宋体" w:cs="宋体"/>
          <w:kern w:val="0"/>
          <w:szCs w:val="32"/>
          <w:shd w:val="clear" w:color="auto" w:fill="FFFFFF"/>
          <w:lang w:val="zh-CN"/>
        </w:rPr>
        <w:t>年预算执行进度在202</w:t>
      </w:r>
      <w:r>
        <w:rPr>
          <w:rFonts w:hint="eastAsia" w:ascii="仿宋_GB2312" w:hAnsi="宋体" w:cs="宋体"/>
          <w:kern w:val="0"/>
          <w:szCs w:val="32"/>
          <w:shd w:val="clear" w:color="auto" w:fill="FFFFFF"/>
        </w:rPr>
        <w:t>2</w:t>
      </w:r>
      <w:r>
        <w:rPr>
          <w:rFonts w:hint="eastAsia" w:ascii="仿宋_GB2312" w:hAnsi="宋体" w:cs="宋体"/>
          <w:kern w:val="0"/>
          <w:szCs w:val="32"/>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widowControl/>
        <w:adjustRightInd w:val="0"/>
        <w:snapToGrid w:val="0"/>
        <w:spacing w:line="580" w:lineRule="exact"/>
        <w:ind w:firstLine="640" w:firstLineChars="200"/>
        <w:contextualSpacing/>
        <w:jc w:val="left"/>
        <w:rPr>
          <w:rFonts w:ascii="仿宋_GB2312" w:hAnsi="宋体" w:cs="仿宋_GB2312"/>
          <w:kern w:val="0"/>
          <w:sz w:val="31"/>
          <w:szCs w:val="31"/>
          <w:lang w:bidi="ar"/>
        </w:rPr>
      </w:pPr>
      <w:r>
        <w:rPr>
          <w:rFonts w:hint="eastAsia" w:ascii="仿宋_GB2312" w:hAnsi="宋体" w:cs="宋体"/>
          <w:bCs/>
          <w:kern w:val="0"/>
          <w:szCs w:val="32"/>
          <w:shd w:val="clear" w:color="auto" w:fill="FFFFFF"/>
          <w:lang w:val="zh-CN"/>
        </w:rPr>
        <w:t>三是</w:t>
      </w:r>
      <w:r>
        <w:rPr>
          <w:rFonts w:ascii="仿宋_GB2312" w:hAnsi="宋体" w:cs="仿宋_GB2312"/>
          <w:bCs/>
          <w:kern w:val="0"/>
          <w:sz w:val="31"/>
          <w:szCs w:val="31"/>
          <w:lang w:bidi="ar"/>
        </w:rPr>
        <w:t>进一步加强队伍能力建设</w:t>
      </w:r>
      <w:r>
        <w:rPr>
          <w:rFonts w:hint="eastAsia" w:ascii="仿宋_GB2312" w:hAnsi="宋体" w:cs="仿宋_GB2312"/>
          <w:bCs/>
          <w:kern w:val="0"/>
          <w:sz w:val="31"/>
          <w:szCs w:val="31"/>
          <w:lang w:bidi="ar"/>
        </w:rPr>
        <w:t>。</w:t>
      </w:r>
      <w:r>
        <w:rPr>
          <w:rFonts w:ascii="仿宋_GB2312" w:hAnsi="宋体" w:cs="仿宋_GB2312"/>
          <w:kern w:val="0"/>
          <w:sz w:val="31"/>
          <w:szCs w:val="31"/>
          <w:lang w:bidi="ar"/>
        </w:rPr>
        <w:t>强化业务培训，提高预算编制的科学化和精细化程度。在财政</w:t>
      </w:r>
      <w:r>
        <w:rPr>
          <w:rFonts w:hint="eastAsia" w:ascii="仿宋_GB2312" w:hAnsi="宋体" w:cs="仿宋_GB2312"/>
          <w:kern w:val="0"/>
          <w:sz w:val="31"/>
          <w:szCs w:val="31"/>
          <w:lang w:bidi="ar"/>
        </w:rPr>
        <w:t>部门</w:t>
      </w:r>
      <w:r>
        <w:rPr>
          <w:rFonts w:ascii="仿宋_GB2312" w:hAnsi="宋体" w:cs="仿宋_GB2312"/>
          <w:kern w:val="0"/>
          <w:sz w:val="31"/>
          <w:szCs w:val="31"/>
          <w:lang w:bidi="ar"/>
        </w:rPr>
        <w:t>的指导下，定期组织开展预算编制培训工作，增强财务人员预算精细化管理的意识，提高预算精细化管理的能力。</w:t>
      </w:r>
    </w:p>
    <w:p>
      <w:pPr>
        <w:pStyle w:val="2"/>
        <w:rPr>
          <w:lang w:bidi="ar"/>
        </w:rPr>
      </w:pPr>
    </w:p>
    <w:p>
      <w:pPr>
        <w:widowControl/>
        <w:adjustRightInd w:val="0"/>
        <w:snapToGrid w:val="0"/>
        <w:spacing w:line="580" w:lineRule="exact"/>
        <w:ind w:firstLine="640" w:firstLineChars="200"/>
        <w:contextualSpacing/>
        <w:jc w:val="left"/>
        <w:rPr>
          <w:rFonts w:ascii="仿宋_GB2312" w:hAnsi="宋体" w:cs="宋体"/>
          <w:kern w:val="0"/>
          <w:szCs w:val="32"/>
          <w:shd w:val="clear" w:color="auto" w:fill="FFFFFF"/>
        </w:rPr>
      </w:pPr>
      <w:r>
        <w:rPr>
          <w:rFonts w:hint="eastAsia" w:ascii="仿宋_GB2312" w:hAnsi="宋体" w:cs="宋体"/>
          <w:kern w:val="0"/>
          <w:szCs w:val="32"/>
          <w:shd w:val="clear" w:color="auto" w:fill="FFFFFF"/>
        </w:rPr>
        <w:t>附件：</w:t>
      </w:r>
    </w:p>
    <w:p>
      <w:pPr>
        <w:ind w:firstLine="1280" w:firstLineChars="40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1.2022年特定目标类部门预算项目绩效目标自评（项目名称：营养餐专项）</w:t>
      </w:r>
    </w:p>
    <w:p>
      <w:pPr>
        <w:ind w:firstLine="1280" w:firstLineChars="400"/>
        <w:rPr>
          <w:rFonts w:hint="eastAsia"/>
          <w:lang w:val="en-US" w:eastAsia="zh-CN"/>
        </w:rPr>
      </w:pPr>
      <w:r>
        <w:rPr>
          <w:rFonts w:hint="eastAsia" w:ascii="仿宋_GB2312" w:hAnsi="宋体" w:cs="宋体"/>
          <w:color w:val="auto"/>
          <w:kern w:val="0"/>
          <w:szCs w:val="32"/>
          <w:shd w:val="clear" w:color="auto" w:fill="FFFFFF"/>
          <w:lang w:val="en-US" w:eastAsia="zh-CN"/>
        </w:rPr>
        <w:t>2.2022年特定目标类部门预算项目绩效目标自评（项目名称：购买安保服务专项）</w:t>
      </w:r>
    </w:p>
    <w:p>
      <w:pPr>
        <w:ind w:firstLine="1280" w:firstLineChars="400"/>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3.达川区明月江学校2023年整体支出绩效评价指标体系表</w:t>
      </w:r>
    </w:p>
    <w:p>
      <w:pPr>
        <w:widowControl/>
        <w:wordWrap w:val="0"/>
        <w:adjustRightInd w:val="0"/>
        <w:snapToGrid w:val="0"/>
        <w:spacing w:line="580" w:lineRule="exact"/>
        <w:ind w:firstLine="640" w:firstLineChars="200"/>
        <w:contextualSpacing/>
        <w:jc w:val="right"/>
        <w:rPr>
          <w:rFonts w:ascii="仿宋_GB2312" w:hAnsi="宋体" w:cs="宋体"/>
          <w:kern w:val="0"/>
          <w:szCs w:val="32"/>
          <w:shd w:val="clear" w:color="auto" w:fill="FFFFFF"/>
        </w:rPr>
      </w:pPr>
    </w:p>
    <w:p>
      <w:pPr>
        <w:widowControl/>
        <w:wordWrap w:val="0"/>
        <w:adjustRightInd w:val="0"/>
        <w:snapToGrid w:val="0"/>
        <w:spacing w:line="580" w:lineRule="exact"/>
        <w:ind w:firstLine="640" w:firstLineChars="200"/>
        <w:contextualSpacing/>
        <w:jc w:val="right"/>
        <w:rPr>
          <w:rFonts w:ascii="仿宋_GB2312" w:hAnsi="宋体" w:cs="宋体"/>
          <w:kern w:val="0"/>
          <w:szCs w:val="32"/>
          <w:shd w:val="clear" w:color="auto" w:fill="FFFFFF"/>
        </w:rPr>
      </w:pPr>
      <w:r>
        <w:rPr>
          <w:rFonts w:hint="eastAsia" w:ascii="仿宋_GB2312" w:hAnsi="宋体" w:cs="宋体"/>
          <w:kern w:val="0"/>
          <w:szCs w:val="32"/>
          <w:shd w:val="clear" w:color="auto" w:fill="FFFFFF"/>
        </w:rPr>
        <w:t>达川区</w:t>
      </w:r>
      <w:r>
        <w:rPr>
          <w:rFonts w:hint="eastAsia" w:ascii="仿宋_GB2312" w:hAnsi="宋体" w:cs="宋体"/>
          <w:kern w:val="0"/>
          <w:szCs w:val="32"/>
          <w:shd w:val="clear" w:color="auto" w:fill="FFFFFF"/>
          <w:lang w:eastAsia="zh-CN"/>
        </w:rPr>
        <w:t>明月江</w:t>
      </w:r>
      <w:r>
        <w:rPr>
          <w:rFonts w:hint="eastAsia" w:ascii="仿宋_GB2312" w:hAnsi="宋体" w:cs="宋体"/>
          <w:kern w:val="0"/>
          <w:szCs w:val="32"/>
          <w:shd w:val="clear" w:color="auto" w:fill="FFFFFF"/>
        </w:rPr>
        <w:t>学校</w:t>
      </w:r>
    </w:p>
    <w:p>
      <w:pPr>
        <w:widowControl/>
        <w:wordWrap w:val="0"/>
        <w:adjustRightInd w:val="0"/>
        <w:snapToGrid w:val="0"/>
        <w:spacing w:line="580" w:lineRule="exact"/>
        <w:ind w:firstLine="640" w:firstLineChars="200"/>
        <w:contextualSpacing/>
        <w:jc w:val="right"/>
        <w:rPr>
          <w:rFonts w:ascii="仿宋_GB2312" w:hAnsi="宋体" w:cs="宋体"/>
          <w:color w:val="000000" w:themeColor="text1"/>
          <w:kern w:val="0"/>
          <w:szCs w:val="32"/>
          <w:shd w:val="clear" w:color="auto" w:fill="FFFFFF"/>
          <w:lang w:val="zh-CN"/>
          <w14:textFill>
            <w14:solidFill>
              <w14:schemeClr w14:val="tx1"/>
            </w14:solidFill>
          </w14:textFill>
        </w:rPr>
      </w:pPr>
      <w:r>
        <w:rPr>
          <w:rFonts w:hint="eastAsia" w:ascii="仿宋_GB2312" w:hAnsi="宋体" w:cs="宋体"/>
          <w:kern w:val="0"/>
          <w:szCs w:val="32"/>
          <w:shd w:val="clear" w:color="auto" w:fill="FFFFFF"/>
        </w:rPr>
        <w:t xml:space="preserve">2023年4月6日  </w:t>
      </w:r>
    </w:p>
    <w:p>
      <w:pPr>
        <w:widowControl/>
        <w:jc w:val="left"/>
        <w:rPr>
          <w:rFonts w:ascii="仿宋_GB2312" w:hAnsi="宋体" w:cs="宋体"/>
          <w:color w:val="000000" w:themeColor="text1"/>
          <w:kern w:val="0"/>
          <w:szCs w:val="32"/>
          <w:shd w:val="clear" w:color="auto" w:fill="FFFFFF"/>
          <w:lang w:val="zh-CN"/>
          <w14:textFill>
            <w14:solidFill>
              <w14:schemeClr w14:val="tx1"/>
            </w14:solidFill>
          </w14:textFill>
        </w:rPr>
      </w:pPr>
      <w:r>
        <w:rPr>
          <w:rFonts w:ascii="仿宋_GB2312" w:hAnsi="宋体" w:cs="宋体"/>
          <w:color w:val="000000" w:themeColor="text1"/>
          <w:kern w:val="0"/>
          <w:szCs w:val="32"/>
          <w:shd w:val="clear" w:color="auto" w:fill="FFFFFF"/>
          <w:lang w:val="zh-CN"/>
          <w14:textFill>
            <w14:solidFill>
              <w14:schemeClr w14:val="tx1"/>
            </w14:solidFill>
          </w14:textFill>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附件1：</w:t>
      </w:r>
    </w:p>
    <w:tbl>
      <w:tblPr>
        <w:tblStyle w:val="4"/>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83"/>
        <w:gridCol w:w="626"/>
        <w:gridCol w:w="163"/>
        <w:gridCol w:w="1917"/>
        <w:gridCol w:w="342"/>
        <w:gridCol w:w="976"/>
        <w:gridCol w:w="1026"/>
        <w:gridCol w:w="739"/>
        <w:gridCol w:w="712"/>
        <w:gridCol w:w="616"/>
        <w:gridCol w:w="1291"/>
        <w:gridCol w:w="229"/>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（项目名称：学生营养餐专项）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w:t>
            </w:r>
            <w:r>
              <w:rPr>
                <w:rFonts w:hint="eastAsia" w:ascii="仿宋_GB2312" w:hAnsi="仿宋_GB2312" w:cs="仿宋_GB2312"/>
                <w:color w:val="000000"/>
                <w:kern w:val="0"/>
                <w:sz w:val="21"/>
                <w:szCs w:val="21"/>
                <w:lang w:eastAsia="zh-CN" w:bidi="ar"/>
              </w:rPr>
              <w:t>明月江</w:t>
            </w:r>
            <w:r>
              <w:rPr>
                <w:rFonts w:hint="eastAsia" w:ascii="仿宋_GB2312" w:hAnsi="仿宋_GB2312" w:cs="仿宋_GB2312"/>
                <w:color w:val="000000"/>
                <w:kern w:val="0"/>
                <w:sz w:val="21"/>
                <w:szCs w:val="21"/>
                <w:lang w:bidi="ar"/>
              </w:rPr>
              <w:t>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项目预算</w:t>
            </w:r>
          </w:p>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执行情况</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13.965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13.965</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13.965</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13.965</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2022年内计划发放营养餐改善计划补助资金</w:t>
            </w:r>
            <w:r>
              <w:rPr>
                <w:rFonts w:hint="eastAsia" w:ascii="仿宋_GB2312" w:hAnsi="仿宋_GB2312" w:cs="仿宋_GB2312"/>
                <w:color w:val="000000"/>
                <w:kern w:val="0"/>
                <w:sz w:val="21"/>
                <w:szCs w:val="21"/>
                <w:lang w:val="en-US" w:eastAsia="zh-CN" w:bidi="ar"/>
              </w:rPr>
              <w:t>13.965</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105</w:t>
            </w:r>
            <w:r>
              <w:rPr>
                <w:rFonts w:hint="eastAsia" w:ascii="仿宋_GB2312" w:hAnsi="仿宋_GB2312" w:cs="仿宋_GB2312"/>
                <w:color w:val="000000"/>
                <w:kern w:val="0"/>
                <w:sz w:val="21"/>
                <w:szCs w:val="21"/>
                <w:lang w:bidi="ar"/>
              </w:rPr>
              <w:t>名，目的是改善农村义务教育学生的营养状况，提高农村义务教育学生的健康水平，促进城乡义务教育健康持续发展。</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2022年内实际发放营养餐改善计划补助资金</w:t>
            </w:r>
            <w:r>
              <w:rPr>
                <w:rFonts w:hint="eastAsia" w:ascii="仿宋_GB2312" w:hAnsi="仿宋_GB2312" w:cs="仿宋_GB2312"/>
                <w:color w:val="000000"/>
                <w:kern w:val="0"/>
                <w:sz w:val="21"/>
                <w:szCs w:val="21"/>
                <w:lang w:val="en-US" w:eastAsia="zh-CN" w:bidi="ar"/>
              </w:rPr>
              <w:t>13.965</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105</w:t>
            </w:r>
            <w:r>
              <w:rPr>
                <w:rFonts w:hint="eastAsia" w:ascii="仿宋_GB2312" w:hAnsi="仿宋_GB2312" w:cs="仿宋_GB2312"/>
                <w:color w:val="000000"/>
                <w:kern w:val="0"/>
                <w:sz w:val="21"/>
                <w:szCs w:val="21"/>
                <w:lang w:bidi="ar"/>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营养餐补助达标率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营养餐质量合格率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补助标准</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190元/人年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190元/人年</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营养餐改善计划补助学生人数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105</w:t>
            </w:r>
            <w:r>
              <w:rPr>
                <w:rFonts w:hint="eastAsia"/>
                <w:sz w:val="20"/>
                <w:szCs w:val="20"/>
              </w:rPr>
              <w:t>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105</w:t>
            </w:r>
            <w:r>
              <w:rPr>
                <w:rFonts w:hint="eastAsia"/>
                <w:sz w:val="20"/>
                <w:szCs w:val="20"/>
              </w:rPr>
              <w:t>人</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营养餐（蛋、奶等）发放及时率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改善学生营养状况</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营养餐应吃尽吃率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学生营养膳食补助政策健全性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1"/>
                <w:szCs w:val="21"/>
              </w:rPr>
            </w:pPr>
            <w:r>
              <w:rPr>
                <w:rFonts w:hint="eastAsia"/>
                <w:sz w:val="20"/>
                <w:szCs w:val="20"/>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受惠学生满意度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widowControl/>
        <w:jc w:val="left"/>
        <w:rPr>
          <w:rFonts w:ascii="仿宋_GB2312" w:hAnsi="宋体" w:cs="宋体"/>
          <w:color w:val="000000"/>
          <w:kern w:val="0"/>
          <w:szCs w:val="32"/>
          <w:shd w:val="clear" w:color="auto" w:fill="FFFFFF"/>
        </w:rPr>
      </w:pPr>
      <w:r>
        <w:rPr>
          <w:rFonts w:ascii="仿宋_GB2312" w:hAnsi="宋体" w:cs="宋体"/>
          <w:color w:val="000000"/>
          <w:kern w:val="0"/>
          <w:szCs w:val="32"/>
          <w:shd w:val="clear" w:color="auto" w:fill="FFFFFF"/>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附件2：</w:t>
      </w:r>
    </w:p>
    <w:tbl>
      <w:tblPr>
        <w:tblStyle w:val="4"/>
        <w:tblpPr w:leftFromText="180" w:rightFromText="180" w:vertAnchor="text" w:horzAnchor="page" w:tblpX="1256" w:tblpY="221"/>
        <w:tblOverlap w:val="never"/>
        <w:tblW w:w="5170" w:type="pct"/>
        <w:tblInd w:w="0" w:type="dxa"/>
        <w:tblLayout w:type="autofit"/>
        <w:tblCellMar>
          <w:top w:w="0" w:type="dxa"/>
          <w:left w:w="108" w:type="dxa"/>
          <w:bottom w:w="0" w:type="dxa"/>
          <w:right w:w="108" w:type="dxa"/>
        </w:tblCellMar>
      </w:tblPr>
      <w:tblGrid>
        <w:gridCol w:w="1083"/>
        <w:gridCol w:w="626"/>
        <w:gridCol w:w="163"/>
        <w:gridCol w:w="1917"/>
        <w:gridCol w:w="342"/>
        <w:gridCol w:w="976"/>
        <w:gridCol w:w="1026"/>
        <w:gridCol w:w="739"/>
        <w:gridCol w:w="712"/>
        <w:gridCol w:w="616"/>
        <w:gridCol w:w="1291"/>
        <w:gridCol w:w="229"/>
      </w:tblGrid>
      <w:tr>
        <w:tblPrEx>
          <w:tblCellMar>
            <w:top w:w="0" w:type="dxa"/>
            <w:left w:w="108" w:type="dxa"/>
            <w:bottom w:w="0" w:type="dxa"/>
            <w:right w:w="108" w:type="dxa"/>
          </w:tblCellMar>
        </w:tblPrEx>
        <w:trPr>
          <w:trHeight w:val="675" w:hRule="atLeast"/>
        </w:trPr>
        <w:tc>
          <w:tcPr>
            <w:tcW w:w="4882" w:type="pct"/>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（项目名称：购买安保服务专项）</w:t>
            </w:r>
          </w:p>
        </w:tc>
        <w:tc>
          <w:tcPr>
            <w:tcW w:w="118" w:type="pct"/>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118" w:type="pct"/>
          <w:trHeight w:val="254" w:hRule="atLeast"/>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w:t>
            </w:r>
            <w:r>
              <w:rPr>
                <w:rFonts w:hint="eastAsia" w:ascii="仿宋_GB2312" w:hAnsi="仿宋_GB2312" w:cs="仿宋_GB2312"/>
                <w:color w:val="000000"/>
                <w:kern w:val="0"/>
                <w:sz w:val="21"/>
                <w:szCs w:val="21"/>
                <w:lang w:eastAsia="zh-CN" w:bidi="ar"/>
              </w:rPr>
              <w:t>明月江</w:t>
            </w:r>
            <w:r>
              <w:rPr>
                <w:rFonts w:hint="eastAsia" w:ascii="仿宋_GB2312" w:hAnsi="仿宋_GB2312" w:cs="仿宋_GB2312"/>
                <w:color w:val="000000"/>
                <w:kern w:val="0"/>
                <w:sz w:val="21"/>
                <w:szCs w:val="21"/>
                <w:lang w:bidi="ar"/>
              </w:rPr>
              <w:t>学校</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项目预算</w:t>
            </w:r>
          </w:p>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bidi="ar"/>
              </w:rPr>
              <w:t>执行情况</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（万元）</w:t>
            </w: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r>
      <w:tr>
        <w:tblPrEx>
          <w:tblCellMar>
            <w:top w:w="0" w:type="dxa"/>
            <w:left w:w="108" w:type="dxa"/>
            <w:bottom w:w="0" w:type="dxa"/>
            <w:right w:w="108" w:type="dxa"/>
          </w:tblCellMar>
        </w:tblPrEx>
        <w:trPr>
          <w:gridAfter w:val="1"/>
          <w:wAfter w:w="118" w:type="pct"/>
          <w:trHeight w:val="275"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r>
      <w:tr>
        <w:tblPrEx>
          <w:tblCellMar>
            <w:top w:w="0" w:type="dxa"/>
            <w:left w:w="108" w:type="dxa"/>
            <w:bottom w:w="0" w:type="dxa"/>
            <w:right w:w="108" w:type="dxa"/>
          </w:tblCellMar>
        </w:tblPrEx>
        <w:trPr>
          <w:gridAfter w:val="1"/>
          <w:wAfter w:w="118" w:type="pct"/>
          <w:trHeight w:val="341" w:hRule="atLeast"/>
        </w:trPr>
        <w:tc>
          <w:tcPr>
            <w:tcW w:w="8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118" w:type="pct"/>
          <w:trHeight w:val="217" w:hRule="atLeast"/>
        </w:trPr>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17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118" w:type="pct"/>
          <w:trHeight w:val="1297" w:hRule="atLeast"/>
        </w:trPr>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070"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2022年内计划发放学校物业管理服务费3万元，涉及补贴对象数量2人，目的是维护学校正常教育教学秩序，保障学校及师生的人身、财产安全。</w:t>
            </w:r>
          </w:p>
        </w:tc>
        <w:tc>
          <w:tcPr>
            <w:tcW w:w="2255"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2022年实际发放学校物业管理服务费3万元，涉及补贴对象数量2人，维护了学校正常教育教学秩序，保障了学校及师生的人身、财产安全。</w:t>
            </w:r>
          </w:p>
        </w:tc>
      </w:tr>
      <w:tr>
        <w:tblPrEx>
          <w:tblCellMar>
            <w:top w:w="0" w:type="dxa"/>
            <w:left w:w="108" w:type="dxa"/>
            <w:bottom w:w="0" w:type="dxa"/>
            <w:right w:w="108" w:type="dxa"/>
          </w:tblCellMar>
        </w:tblPrEx>
        <w:trPr>
          <w:gridAfter w:val="1"/>
          <w:wAfter w:w="118" w:type="pct"/>
          <w:trHeight w:val="738" w:hRule="atLeast"/>
        </w:trPr>
        <w:tc>
          <w:tcPr>
            <w:tcW w:w="557"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年度绩效指标完成情况</w:t>
            </w:r>
          </w:p>
        </w:tc>
        <w:tc>
          <w:tcPr>
            <w:tcW w:w="406"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预期指标值</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实际完成指标值</w:t>
            </w:r>
          </w:p>
        </w:tc>
      </w:tr>
      <w:tr>
        <w:tblPrEx>
          <w:tblCellMar>
            <w:top w:w="0" w:type="dxa"/>
            <w:left w:w="108" w:type="dxa"/>
            <w:bottom w:w="0" w:type="dxa"/>
            <w:right w:w="108" w:type="dxa"/>
          </w:tblCellMar>
        </w:tblPrEx>
        <w:trPr>
          <w:gridAfter w:val="1"/>
          <w:wAfter w:w="118" w:type="pct"/>
          <w:trHeight w:val="525"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完成</w:t>
            </w:r>
          </w:p>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数量指标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专职保安人员聘请数量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2人</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2人</w:t>
            </w:r>
          </w:p>
        </w:tc>
      </w:tr>
      <w:tr>
        <w:tblPrEx>
          <w:tblCellMar>
            <w:top w:w="0" w:type="dxa"/>
            <w:left w:w="108" w:type="dxa"/>
            <w:bottom w:w="0" w:type="dxa"/>
            <w:right w:w="108" w:type="dxa"/>
          </w:tblCellMar>
        </w:tblPrEx>
        <w:trPr>
          <w:gridAfter w:val="1"/>
          <w:wAfter w:w="118" w:type="pct"/>
          <w:trHeight w:val="499"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保安人员正常到岗率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成本指标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项目成本控制数</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1.5</w:t>
            </w:r>
            <w:r>
              <w:rPr>
                <w:rFonts w:hint="eastAsia"/>
                <w:sz w:val="20"/>
                <w:szCs w:val="20"/>
              </w:rPr>
              <w:t>万元/人年</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1.5</w:t>
            </w:r>
            <w:r>
              <w:rPr>
                <w:rFonts w:hint="eastAsia"/>
                <w:sz w:val="20"/>
                <w:szCs w:val="20"/>
              </w:rPr>
              <w:t>万元/人年</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专职保安人员工资发放准确率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4"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时效指标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专职保安人员工资发放及时率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0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保安人员资质符合率</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效益指标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保障学师生人身财产安全</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维护学校正常教育教学秩序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480" w:hRule="atLeast"/>
        </w:trPr>
        <w:tc>
          <w:tcPr>
            <w:tcW w:w="557" w:type="pct"/>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物业管理服务制度健全性</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118" w:type="pct"/>
          <w:trHeight w:val="20" w:hRule="atLeast"/>
        </w:trPr>
        <w:tc>
          <w:tcPr>
            <w:tcW w:w="557"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40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满意度指标</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0"/>
                <w:szCs w:val="20"/>
              </w:rPr>
            </w:pPr>
            <w:r>
              <w:rPr>
                <w:rFonts w:hint="eastAsia" w:ascii="仿宋_GB2312" w:hAnsi="仿宋_GB2312" w:cs="仿宋_GB2312"/>
                <w:color w:val="000000"/>
                <w:sz w:val="20"/>
                <w:szCs w:val="20"/>
              </w:rPr>
              <w:t>满意度指标</w:t>
            </w:r>
          </w:p>
        </w:tc>
        <w:tc>
          <w:tcPr>
            <w:tcW w:w="15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师生满意度</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90%</w:t>
            </w:r>
          </w:p>
        </w:tc>
        <w:tc>
          <w:tcPr>
            <w:tcW w:w="6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widowControl/>
        <w:jc w:val="left"/>
        <w:rPr>
          <w:rFonts w:ascii="仿宋_GB2312" w:hAnsi="宋体" w:cs="宋体"/>
          <w:color w:val="000000"/>
          <w:kern w:val="0"/>
          <w:szCs w:val="32"/>
          <w:shd w:val="clear" w:color="auto" w:fill="FFFFFF"/>
        </w:rPr>
        <w:sectPr>
          <w:headerReference r:id="rId3" w:type="default"/>
          <w:pgSz w:w="11906" w:h="16838"/>
          <w:pgMar w:top="907" w:right="1361" w:bottom="851" w:left="1361" w:header="851" w:footer="992" w:gutter="0"/>
          <w:pgNumType w:fmt="numberInDash" w:start="16"/>
          <w:cols w:space="425" w:num="1"/>
          <w:docGrid w:type="lines" w:linePitch="435" w:charSpace="0"/>
        </w:sectPr>
      </w:pPr>
    </w:p>
    <w:p>
      <w:pPr>
        <w:pStyle w:val="2"/>
      </w:pPr>
    </w:p>
    <w:tbl>
      <w:tblPr>
        <w:tblStyle w:val="4"/>
        <w:tblW w:w="14276" w:type="dxa"/>
        <w:tblInd w:w="93" w:type="dxa"/>
        <w:tblLayout w:type="autofit"/>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widowControl/>
              <w:adjustRightInd w:val="0"/>
              <w:snapToGrid w:val="0"/>
              <w:spacing w:line="580" w:lineRule="exact"/>
              <w:contextualSpacing/>
              <w:jc w:val="left"/>
              <w:rPr>
                <w:rFonts w:hint="eastAsia" w:ascii="宋体" w:hAnsi="宋体" w:eastAsia="仿宋_GB2312" w:cs="宋体"/>
                <w:b/>
                <w:bCs/>
                <w:color w:val="000000"/>
                <w:sz w:val="24"/>
                <w:lang w:val="en-US" w:eastAsia="zh-CN"/>
              </w:rPr>
            </w:pPr>
            <w:r>
              <w:rPr>
                <w:rFonts w:hint="eastAsia" w:ascii="仿宋_GB2312" w:hAnsi="宋体" w:cs="宋体"/>
                <w:color w:val="000000"/>
                <w:kern w:val="0"/>
                <w:szCs w:val="32"/>
                <w:shd w:val="clear" w:color="auto" w:fill="FFFFFF"/>
                <w:lang w:val="zh-CN"/>
              </w:rPr>
              <w:t>附件</w:t>
            </w:r>
            <w:r>
              <w:rPr>
                <w:rFonts w:hint="eastAsia" w:ascii="仿宋_GB2312" w:hAnsi="宋体" w:cs="宋体"/>
                <w:color w:val="000000"/>
                <w:kern w:val="0"/>
                <w:szCs w:val="32"/>
                <w:shd w:val="clear" w:color="auto" w:fill="FFFFFF"/>
                <w:lang w:val="en-US" w:eastAsia="zh-CN"/>
              </w:rPr>
              <w:t>3</w:t>
            </w:r>
          </w:p>
        </w:tc>
        <w:tc>
          <w:tcPr>
            <w:tcW w:w="660"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579"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554"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2187" w:type="dxa"/>
            <w:tcBorders>
              <w:top w:val="nil"/>
              <w:left w:val="nil"/>
              <w:bottom w:val="nil"/>
              <w:right w:val="nil"/>
            </w:tcBorders>
            <w:shd w:val="clear" w:color="auto" w:fill="auto"/>
            <w:vAlign w:val="center"/>
          </w:tcPr>
          <w:p>
            <w:pPr>
              <w:jc w:val="left"/>
              <w:rPr>
                <w:rFonts w:ascii="宋体" w:hAnsi="宋体" w:eastAsia="宋体" w:cs="宋体"/>
                <w:color w:val="000000"/>
                <w:sz w:val="24"/>
              </w:rPr>
            </w:pPr>
          </w:p>
        </w:tc>
        <w:tc>
          <w:tcPr>
            <w:tcW w:w="519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693" w:type="dxa"/>
            <w:tcBorders>
              <w:top w:val="nil"/>
              <w:left w:val="nil"/>
              <w:bottom w:val="nil"/>
              <w:right w:val="nil"/>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Cs w:val="32"/>
              </w:rPr>
            </w:pPr>
            <w:r>
              <w:rPr>
                <w:rFonts w:hint="eastAsia" w:ascii="宋体" w:hAnsi="宋体" w:eastAsia="宋体" w:cs="宋体"/>
                <w:b/>
                <w:bCs/>
                <w:color w:val="000000"/>
                <w:kern w:val="0"/>
                <w:szCs w:val="32"/>
                <w:lang w:bidi="ar"/>
              </w:rPr>
              <w:t>达川区</w:t>
            </w:r>
            <w:r>
              <w:rPr>
                <w:rFonts w:hint="eastAsia" w:ascii="宋体" w:hAnsi="宋体" w:eastAsia="宋体" w:cs="宋体"/>
                <w:b/>
                <w:bCs/>
                <w:color w:val="000000"/>
                <w:kern w:val="0"/>
                <w:szCs w:val="32"/>
                <w:lang w:eastAsia="zh-CN" w:bidi="ar"/>
              </w:rPr>
              <w:t>明月江</w:t>
            </w:r>
            <w:r>
              <w:rPr>
                <w:rFonts w:hint="eastAsia" w:ascii="宋体" w:hAnsi="宋体" w:eastAsia="宋体" w:cs="宋体"/>
                <w:b/>
                <w:bCs/>
                <w:color w:val="000000"/>
                <w:kern w:val="0"/>
                <w:szCs w:val="32"/>
                <w:lang w:bidi="ar"/>
              </w:rPr>
              <w:t>学校2023年整体支出绩效评价指标体系</w:t>
            </w: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96</w:t>
            </w: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部门</w:t>
            </w:r>
            <w:r>
              <w:rPr>
                <w:rFonts w:hint="eastAsia" w:ascii="宋体" w:hAnsi="宋体" w:eastAsia="宋体" w:cs="宋体"/>
                <w:kern w:val="0"/>
                <w:sz w:val="15"/>
                <w:szCs w:val="15"/>
                <w:lang w:bidi="ar"/>
              </w:rPr>
              <w:t>自评范围为部门所有纳入绩效目标管理的部门预算项目</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部门预算执行进度在6、9、11月应达到序时进度的80%、90%、</w:t>
            </w:r>
            <w:r>
              <w:rPr>
                <w:rFonts w:hint="eastAsia" w:ascii="宋体" w:hAnsi="宋体" w:eastAsia="宋体" w:cs="宋体"/>
                <w:color w:val="FF0000"/>
                <w:kern w:val="0"/>
                <w:sz w:val="18"/>
                <w:szCs w:val="18"/>
                <w:lang w:bidi="ar"/>
              </w:rPr>
              <w:t>95%</w:t>
            </w:r>
            <w:r>
              <w:rPr>
                <w:rFonts w:hint="eastAsia" w:ascii="宋体" w:hAnsi="宋体" w:eastAsia="宋体" w:cs="宋体"/>
                <w:color w:val="000000"/>
                <w:kern w:val="0"/>
                <w:sz w:val="18"/>
                <w:szCs w:val="18"/>
                <w:lang w:bidi="ar"/>
              </w:rPr>
              <w:t>，即实际支出进度分别达到40%、67.5%、82.5%。                                                     6、9、11月部门预算执行进度达到量化指标的分别得1分、1分、2分，未达到目标进度的</w:t>
            </w:r>
            <w:bookmarkStart w:id="3" w:name="_GoBack"/>
            <w:bookmarkEnd w:id="3"/>
            <w:r>
              <w:rPr>
                <w:rFonts w:hint="eastAsia" w:ascii="宋体" w:hAnsi="宋体" w:eastAsia="宋体" w:cs="宋体"/>
                <w:color w:val="000000"/>
                <w:kern w:val="0"/>
                <w:sz w:val="18"/>
                <w:szCs w:val="18"/>
                <w:lang w:bidi="ar"/>
              </w:rPr>
              <w:t xml:space="preserve">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（低效无效率）</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40</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9</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bl>
    <w:p>
      <w:pPr>
        <w:pStyle w:val="2"/>
      </w:pPr>
    </w:p>
    <w:p/>
    <w:sectPr>
      <w:pgSz w:w="16838" w:h="11906" w:orient="landscape"/>
      <w:pgMar w:top="1361" w:right="907" w:bottom="1361" w:left="851" w:header="851" w:footer="992" w:gutter="0"/>
      <w:pgNumType w:fmt="numberInDash" w:start="1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E5Mzc2YjQyYjkyOTE3NDY0Yjg4ZjFkNDJiNWYifQ=="/>
  </w:docVars>
  <w:rsids>
    <w:rsidRoot w:val="7E4B5CAE"/>
    <w:rsid w:val="000C43F7"/>
    <w:rsid w:val="21E57A37"/>
    <w:rsid w:val="3CB86996"/>
    <w:rsid w:val="46CA067F"/>
    <w:rsid w:val="53310538"/>
    <w:rsid w:val="64B55998"/>
    <w:rsid w:val="7E4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6156</Words>
  <Characters>6643</Characters>
  <Lines>0</Lines>
  <Paragraphs>0</Paragraphs>
  <TotalTime>9</TotalTime>
  <ScaleCrop>false</ScaleCrop>
  <LinksUpToDate>false</LinksUpToDate>
  <CharactersWithSpaces>7223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2023-04-12T02:33:00Z</dcterms:created>
  <dc:creator>悠然自得</dc:creator>
  <cp:lastModifiedBy>蓝色永恒</cp:lastModifiedBy>
  <cp:lastPrinted>2023-04-14T01:54:00Z</cp:lastPrinted>
  <dcterms:modified xsi:type="dcterms:W3CDTF">2023-04-18T07:25:52Z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FD8C9E3DD13041C9AB2E8DE9E94B0696_13</vt:lpwstr>
  </property>
</Properties>
</file>