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14:textFill>
            <w14:solidFill>
              <w14:schemeClr w14:val="tx1"/>
            </w14:solidFill>
          </w14:textFill>
        </w:rPr>
        <w:t>附件：2</w:t>
      </w:r>
    </w:p>
    <w:tbl>
      <w:tblPr>
        <w:tblStyle w:val="6"/>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660"/>
        <w:gridCol w:w="740"/>
        <w:gridCol w:w="567"/>
        <w:gridCol w:w="417"/>
        <w:gridCol w:w="5183"/>
        <w:gridCol w:w="7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52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2"/>
                <w:szCs w:val="32"/>
                <w:u w:val="none"/>
              </w:rPr>
            </w:pP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2022年部门（单位）整体支出绩效评价自评得分表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三级指标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分值</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自评得分</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指标解释</w:t>
            </w:r>
          </w:p>
        </w:tc>
        <w:tc>
          <w:tcPr>
            <w:tcW w:w="7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05" w:type="dxa"/>
            <w:gridSpan w:val="3"/>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得分合计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83</w:t>
            </w:r>
          </w:p>
        </w:tc>
        <w:tc>
          <w:tcPr>
            <w:tcW w:w="5183" w:type="dxa"/>
            <w:tcBorders>
              <w:top w:val="single" w:color="000000" w:sz="4" w:space="0"/>
              <w:left w:val="nil"/>
              <w:bottom w:val="nil"/>
              <w:right w:val="nil"/>
            </w:tcBorders>
            <w:shd w:val="clear" w:color="auto" w:fill="auto"/>
            <w:vAlign w:val="center"/>
          </w:tcPr>
          <w:p>
            <w:pPr>
              <w:rPr>
                <w:rFonts w:hint="eastAsia" w:ascii="仿宋" w:hAnsi="仿宋" w:eastAsia="仿宋" w:cs="仿宋"/>
                <w:b/>
                <w:bCs/>
                <w:i w:val="0"/>
                <w:iCs w:val="0"/>
                <w:color w:val="000000"/>
                <w:sz w:val="18"/>
                <w:szCs w:val="18"/>
                <w:u w:val="none"/>
              </w:rPr>
            </w:pPr>
          </w:p>
        </w:tc>
        <w:tc>
          <w:tcPr>
            <w:tcW w:w="7549" w:type="dxa"/>
            <w:tcBorders>
              <w:top w:val="single" w:color="000000" w:sz="4" w:space="0"/>
              <w:left w:val="nil"/>
              <w:bottom w:val="nil"/>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预算管理（25分）</w:t>
            </w:r>
          </w:p>
        </w:tc>
        <w:tc>
          <w:tcPr>
            <w:tcW w:w="6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预算编制  （11分）</w:t>
            </w:r>
          </w:p>
        </w:tc>
        <w:tc>
          <w:tcPr>
            <w:tcW w:w="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目标制定</w:t>
            </w:r>
          </w:p>
        </w:tc>
        <w:tc>
          <w:tcPr>
            <w:tcW w:w="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评价部门绩效目标是否要素完整、细化量化。</w:t>
            </w:r>
          </w:p>
        </w:tc>
        <w:tc>
          <w:tcPr>
            <w:tcW w:w="75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1.绩效目标编制要素完整的，得2分，否则酌情扣分。2.绩效指标细化量化的，得2分，否则酌情扣分。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目标合理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部门所设立的整体绩效目标依据是否充分，是否符合客观实际，用以反映和考核部门整体绩效目标与部门履职、年度工作任务的相符性情况。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1.符合国家法律法规、国民经济和社会发展总体规划计1分。2.符合部门“三定”方案确定的职责计1分。3.是否符合部门制定的中长期实施规划计1分。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编制精准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评价部门年初预算绩效目标编制是否科学准确。</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1.将部门整体的绩效目标细化分解为具体的工作任务计2分。2.与本年度部门预算资金相匹配计2分。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执行进度  （8分）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执行进度</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评价部门在6、9、11月的预算执行情况。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部门预算执行进度在6、9、11月应达到序时进度的80%、90%、90%，即实际支出进度分别达到40%、67.5%、82.5%。6、9、11月部门预算执行进度达到量化指标的各得1分，未达到目标进度的按其实际进度占目标进度的比重计算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支出控制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部门公用经费及非定额公用支出控制情况。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计算部门日常公用经费、项目支出中“办公费、印刷</w:t>
            </w:r>
            <w:bookmarkStart w:id="0" w:name="_GoBack"/>
            <w:bookmarkEnd w:id="0"/>
            <w:r>
              <w:rPr>
                <w:rFonts w:hint="eastAsia" w:ascii="仿宋" w:hAnsi="仿宋" w:eastAsia="仿宋" w:cs="仿宋"/>
                <w:i w:val="0"/>
                <w:iCs w:val="0"/>
                <w:color w:val="000000"/>
                <w:kern w:val="0"/>
                <w:sz w:val="18"/>
                <w:szCs w:val="18"/>
                <w:u w:val="none"/>
                <w:lang w:val="en-US" w:eastAsia="zh-CN" w:bidi="ar"/>
              </w:rPr>
              <w:t>费、水费、电费、物业管理费”等科目年初预算数与决算数偏差程度。预决算偏差程度在10%以内的，得2分。偏差度在10%-20%之间的，得1分，偏差度超过20%的，不得分。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4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预算调整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1、部门本年度预算调整数与预算数的比率，用以反映和考核部门预算的调整程度。2、评价部门开展绩效运行监控后，将绩效监控结果应用到预算调整的情况。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1、预算调整率=（预算调整数/预算数）×100%。未调整的计1分，调整了的除特殊原因外按比例扣减。预算调整数：部门在本年度内涉及预算的追加、追减或结构调整的资金总和。 2. ①当部门绩效监控调整取消额和结余注销额均不为零时，指标得分=部门项目支出绩效监控调整取消额÷(部门绩效监控调整取消额+预算结余注销额）*2 。②当部门绩效监控调整取消额为零，结余注销额不为零时，指标得分=（1-10*结余注销额/年度预算总额）*2，结余注销额超过部门年度预算总额10%的，指标不得分。③当部门绩效监控调整取消额与结余注销额均为零时，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完成结果  （6分）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预算完成</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评价部门预算项目年终预算执行情况。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部门预算项目12月预算执行进度达到100%的，得2分，未达100%的，按照实际进度量化计算得分。2.以项目完成数量为核心，全部完成的，得2分，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违规记录</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根据审计监督、财政检查结果反映部门上一年度部门预算管理是否合规。</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依据评价年度审计监督、财政检查结果，出现部门预算管理方面违纪违规问题的，每个问题扣0.25分，直至扣完。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绩效管理（15分）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绩效管理 （15分）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工作完成率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察部门绩效管理工作完成情况情况。绩效管理工作完成率=绩效管理各环节实际开展绩效管理项目的数量÷绩效管理各环节应开展绩效管理项目总数（绩效管理各环节应开展绩效管理项目总数包括：应填报绩效目标的项目数、应开展绩效监控的项目数和应开展绩效自评项目的总和）。</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指标得分=绩效管理工作完成率×分值权重。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结果整改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评价部门根据绩效管理结果整改问题、完善政策、改进管理的情况。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针对绩效管理过程中（包括绩效目标核查、绩效监控核查和重点绩效评价）提出的问题进行整改，将绩效管理结果应用于完善政策、改进管理、预算挂钩等的，得7分。否则，酌情扣分。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部门管理（15分）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基础管理  （6分）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管理制度健全性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部门（单位）为加强预算管理、推进厉行节约、规范财务行为而制定的管理制度是否健全完整。</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是否已制定或具有预算资金管理办法、厉行节约管理措施、内部财务管理制度、会计核算制度等管理制度；相关管理制度是否合法、合规、完整；相关管理制度是否得到有效执行。定性评价。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资金使用合规性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部门（单位）使用预算资金是否符合相关的预算财务管理制度的规定。</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符合国家财经法规和财务管理制度规定以及有关专项资金管理办法的规定；资金的拨付是否有完整的审批程序和手续；项目的重大开支是否经过评估论证；是否符合部门预算批复的用途；是否存在截留、挤占、挪用、虚列支出等情况。发现一个问题点扣0.25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财务监控有效性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考察部门是否对部门内部、各所属单位，专项资金分配的区（市）县或项目实施主体进行工作监督和定期考核。</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对部门内部、下属单位、分配的专项资金①制定明确的财务监控监督措施，得1分；②监控、监督措施执行有效，得1分。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行政成本  （2分）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“三公”经费控制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当年“三公”经费预算与当年决算比，反映“三公”经费控制情况。</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部门“三公”经费决算数一项超预算扣相应比例分。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政府采购  （2分）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采购规范性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考察政府采购项目的采购程序、 采购方式的规范性。</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采购方式、程序中每一点不规范，扣 0.5 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资产管理  （3分）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资产全生命周期管理规范性</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考察部门资产从入口到出口涉及配置、使用、处置等各环节管理方式的规范性。</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资产配置是否按照有关规定执行（0.8分）。存在无资产配置预算、配置价格、数量超标等情况，每一处扣0.2分，直至扣完。2.资产出租、出借是否按有关规定执行（0.8分）。存在单位自行出租出借等情况，每一处扣0.2分，直至扣完。3、资产处置是否按照有关规定执行（0.8分）。存在处置不规范现象，每一处扣0.2分，直至扣完。4、是否存在账外资产（0.6分）。存在资产未按有关规定入财务账及资产账，扣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信息公开  （2分）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信息公开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除涉密单位和信息外，考核部门（单位）是否按财政要求及时完成预算、决算、绩效等信息公开工作。</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一项公开工作未完成的扣0.25分，直至扣完。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部门履职（25分）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抓牢主体，全方位推进征拆工作</w:t>
            </w:r>
          </w:p>
        </w:tc>
        <w:tc>
          <w:tcPr>
            <w:tcW w:w="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数量指标</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17" w:type="dxa"/>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共完成房屋征拆39.5万平方米，其中住房、门市1206户，企业15个，搬迁坟墓1200余座。目前，正奋力推进的项目为：一是小河嘴片区。二是翠屏片区。三是金南大道以南片区。四是一号干道拍卖地块。五是城区其他遗留项目。六是乡镇项目。中陶建材、物流园区、唐家湾安置地块、南山路、机场大道。</w:t>
            </w:r>
          </w:p>
        </w:tc>
        <w:tc>
          <w:tcPr>
            <w:tcW w:w="7549"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由评价工作组设定重点任务关键指标、指标分值、评分标准，根据任务重要性在总权重分值（25分）中分配。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质量指标</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7" w:type="dxa"/>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555555"/>
                <w:sz w:val="18"/>
                <w:szCs w:val="18"/>
                <w:u w:val="none"/>
              </w:rPr>
            </w:pPr>
            <w:r>
              <w:rPr>
                <w:rFonts w:hint="eastAsia" w:ascii="仿宋" w:hAnsi="仿宋" w:eastAsia="仿宋" w:cs="仿宋"/>
                <w:i w:val="0"/>
                <w:iCs w:val="0"/>
                <w:color w:val="555555"/>
                <w:kern w:val="0"/>
                <w:sz w:val="18"/>
                <w:szCs w:val="18"/>
                <w:u w:val="none"/>
                <w:lang w:val="en-US" w:eastAsia="zh-CN" w:bidi="ar"/>
              </w:rPr>
              <w:t>经检查，所有与拆迁户相关的协议均有合理保存，本次项目资金均已发放。</w:t>
            </w:r>
          </w:p>
        </w:tc>
        <w:tc>
          <w:tcPr>
            <w:tcW w:w="7549"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时效指标</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2021年1月1日至2021年12月30日</w:t>
            </w:r>
          </w:p>
        </w:tc>
        <w:tc>
          <w:tcPr>
            <w:tcW w:w="7549"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保障安置房建设项目正常推进</w:t>
            </w:r>
          </w:p>
        </w:tc>
        <w:tc>
          <w:tcPr>
            <w:tcW w:w="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数量指标</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183"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目前，正在建设的安置房项目共8个，地坝梁B区、白马一期2个项目正在扫尾，力争在今年12月底建成分房。地坝梁C区，地坝梁D区、空港一期（白马二期）3个项目今年可全面完成主体工程，小河嘴一、二期，正在进行商业楼施工建设，其中小河嘴二期商业楼已封顶。金华棚改一期项目目前已完成方案设计，正在进行土石方开挖及场平工作。设计阶段项目1个，翠屏一期项目现已完成设计方案备案审查，正在进行施工图设计和预算编制工作。进行前期工作的项目4个，分别为野茅溪棚改、金华棚改（二期）、翠屏二期、空港二期项目，力争本年启动建设。</w:t>
            </w:r>
          </w:p>
        </w:tc>
        <w:tc>
          <w:tcPr>
            <w:tcW w:w="7549"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成本指标</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严格控制成本，确保在预算控制数范围。</w:t>
            </w:r>
          </w:p>
        </w:tc>
        <w:tc>
          <w:tcPr>
            <w:tcW w:w="7549"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社会效益指标</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树立城市良好形象，有效提升城市发展知名度。</w:t>
            </w:r>
          </w:p>
        </w:tc>
        <w:tc>
          <w:tcPr>
            <w:tcW w:w="7549"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满意度（10分）</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拆迁工作满意度</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入户调查及政策宣传</w:t>
            </w:r>
          </w:p>
        </w:tc>
        <w:tc>
          <w:tcPr>
            <w:tcW w:w="7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由评价工作组设定满意度指标、指标分值、评分标准，根据任务重要性在总权重分值（10分）中分配。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安置房建设满意度</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配套设施建设</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拆迁户与安置户满意度</w:t>
            </w:r>
          </w:p>
        </w:tc>
        <w:tc>
          <w:tcPr>
            <w:tcW w:w="56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18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日常管理和跟踪服务</w:t>
            </w:r>
          </w:p>
        </w:tc>
        <w:tc>
          <w:tcPr>
            <w:tcW w:w="7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自评质量（10分）</w:t>
            </w:r>
          </w:p>
        </w:tc>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自评质量  （10分）</w:t>
            </w:r>
          </w:p>
        </w:tc>
        <w:tc>
          <w:tcPr>
            <w:tcW w:w="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自评准确</w:t>
            </w:r>
          </w:p>
        </w:tc>
        <w:tc>
          <w:tcPr>
            <w:tcW w:w="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1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1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评价部门整体支出自评准确率。</w:t>
            </w:r>
          </w:p>
        </w:tc>
        <w:tc>
          <w:tcPr>
            <w:tcW w:w="7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r>
    </w:tbl>
    <w:p>
      <w:pPr>
        <w:pStyle w:val="5"/>
        <w:widowControl/>
        <w:spacing w:before="225" w:beforeAutospacing="0" w:after="225" w:afterAutospacing="0"/>
        <w:ind w:left="1200"/>
        <w:rPr>
          <w:rFonts w:ascii="微软雅黑" w:hAnsi="微软雅黑" w:eastAsia="微软雅黑" w:cs="微软雅黑"/>
          <w:color w:val="000000" w:themeColor="text1"/>
          <w14:textFill>
            <w14:solidFill>
              <w14:schemeClr w14:val="tx1"/>
            </w14:solidFill>
          </w14:textFill>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MmI5OTFjNTM3OTM5MDlkNmY1NzhhZGNlODI2N2EifQ=="/>
  </w:docVars>
  <w:rsids>
    <w:rsidRoot w:val="22BF399F"/>
    <w:rsid w:val="003E375D"/>
    <w:rsid w:val="0057324E"/>
    <w:rsid w:val="00C23F3B"/>
    <w:rsid w:val="00FF71A0"/>
    <w:rsid w:val="027345B1"/>
    <w:rsid w:val="03A26DCA"/>
    <w:rsid w:val="07A33BAA"/>
    <w:rsid w:val="10CE14CF"/>
    <w:rsid w:val="12E74FC1"/>
    <w:rsid w:val="15193A9C"/>
    <w:rsid w:val="163A299E"/>
    <w:rsid w:val="1C4F3541"/>
    <w:rsid w:val="1E820A6F"/>
    <w:rsid w:val="1EFE4069"/>
    <w:rsid w:val="22BF399F"/>
    <w:rsid w:val="23BF6CE1"/>
    <w:rsid w:val="2C7A23BD"/>
    <w:rsid w:val="30E415BC"/>
    <w:rsid w:val="368816D2"/>
    <w:rsid w:val="4CB57FAE"/>
    <w:rsid w:val="4F142C0F"/>
    <w:rsid w:val="51586419"/>
    <w:rsid w:val="59564714"/>
    <w:rsid w:val="5E536006"/>
    <w:rsid w:val="63133F00"/>
    <w:rsid w:val="63680F1A"/>
    <w:rsid w:val="660646CD"/>
    <w:rsid w:val="794B6077"/>
    <w:rsid w:val="7F0F78FB"/>
    <w:rsid w:val="7F141A72"/>
    <w:rsid w:val="D9A7E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alloon Text"/>
    <w:basedOn w:val="1"/>
    <w:link w:val="8"/>
    <w:qFormat/>
    <w:uiPriority w:val="0"/>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5568</Words>
  <Characters>5836</Characters>
  <Lines>5</Lines>
  <Paragraphs>11</Paragraphs>
  <TotalTime>6</TotalTime>
  <ScaleCrop>false</ScaleCrop>
  <LinksUpToDate>false</LinksUpToDate>
  <CharactersWithSpaces>5913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2022-04-21T16:40:00Z</dcterms:created>
  <dc:creator>时空</dc:creator>
  <cp:lastModifiedBy>user</cp:lastModifiedBy>
  <dcterms:modified xsi:type="dcterms:W3CDTF">2023-07-18T10:55:27Z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A53C6C09EC4D45FC99019CA2C0AA5835</vt:lpwstr>
  </property>
</Properties>
</file>