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shd w:val="clear" w:color="auto" w:fill="FFFFFF"/>
          <w:lang w:eastAsia="zh-CN"/>
        </w:rPr>
        <w:t>达州市达川区农业信贷担保服务中心</w:t>
      </w:r>
    </w:p>
    <w:p>
      <w:pPr>
        <w:keepNext w:val="0"/>
        <w:pageBreakBefore w:val="0"/>
        <w:widowControl/>
        <w:kinsoku/>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lang w:eastAsia="zh-CN"/>
        </w:rPr>
        <w:t>关于</w:t>
      </w:r>
      <w:r>
        <w:rPr>
          <w:rFonts w:hint="eastAsia" w:ascii="方正小标宋简体" w:hAnsi="方正小标宋简体" w:eastAsia="方正小标宋简体" w:cs="方正小标宋简体"/>
          <w:b w:val="0"/>
          <w:bCs/>
          <w:sz w:val="44"/>
          <w:szCs w:val="44"/>
          <w:shd w:val="clear" w:color="auto" w:fill="FFFFFF"/>
        </w:rPr>
        <w:t>20</w:t>
      </w:r>
      <w:r>
        <w:rPr>
          <w:rFonts w:hint="eastAsia" w:ascii="方正小标宋简体" w:hAnsi="方正小标宋简体" w:eastAsia="方正小标宋简体" w:cs="方正小标宋简体"/>
          <w:b w:val="0"/>
          <w:bCs/>
          <w:sz w:val="44"/>
          <w:szCs w:val="44"/>
          <w:shd w:val="clear" w:color="auto" w:fill="FFFFFF"/>
          <w:lang w:val="en-US" w:eastAsia="zh-CN"/>
        </w:rPr>
        <w:t>23</w:t>
      </w:r>
      <w:r>
        <w:rPr>
          <w:rFonts w:hint="eastAsia" w:ascii="方正小标宋简体" w:hAnsi="方正小标宋简体" w:eastAsia="方正小标宋简体" w:cs="方正小标宋简体"/>
          <w:b w:val="0"/>
          <w:bCs/>
          <w:sz w:val="44"/>
          <w:szCs w:val="44"/>
          <w:shd w:val="clear" w:color="auto" w:fill="FFFFFF"/>
        </w:rPr>
        <w:t>年</w:t>
      </w:r>
      <w:r>
        <w:rPr>
          <w:rFonts w:hint="eastAsia" w:ascii="方正小标宋简体" w:hAnsi="方正小标宋简体" w:eastAsia="方正小标宋简体" w:cs="方正小标宋简体"/>
          <w:b w:val="0"/>
          <w:bCs/>
          <w:sz w:val="44"/>
          <w:szCs w:val="44"/>
          <w:shd w:val="clear" w:color="auto" w:fill="FFFFFF"/>
          <w:lang w:eastAsia="zh-CN"/>
        </w:rPr>
        <w:t>开展</w:t>
      </w:r>
      <w:r>
        <w:rPr>
          <w:rFonts w:hint="eastAsia" w:ascii="方正小标宋简体" w:hAnsi="方正小标宋简体" w:eastAsia="方正小标宋简体" w:cs="方正小标宋简体"/>
          <w:b w:val="0"/>
          <w:bCs/>
          <w:sz w:val="44"/>
          <w:szCs w:val="44"/>
          <w:shd w:val="clear" w:color="auto" w:fill="FFFFFF"/>
        </w:rPr>
        <w:t>部门整体支出绩效评价</w:t>
      </w:r>
      <w:r>
        <w:rPr>
          <w:rFonts w:hint="eastAsia" w:ascii="方正小标宋简体" w:hAnsi="方正小标宋简体" w:eastAsia="方正小标宋简体" w:cs="方正小标宋简体"/>
          <w:b w:val="0"/>
          <w:bCs/>
          <w:sz w:val="44"/>
          <w:szCs w:val="44"/>
          <w:shd w:val="clear" w:color="auto" w:fill="FFFFFF"/>
          <w:lang w:eastAsia="zh-CN"/>
        </w:rPr>
        <w:t>的</w:t>
      </w:r>
      <w:r>
        <w:rPr>
          <w:rFonts w:hint="eastAsia" w:ascii="方正小标宋简体" w:hAnsi="方正小标宋简体" w:eastAsia="方正小标宋简体" w:cs="方正小标宋简体"/>
          <w:b w:val="0"/>
          <w:bCs/>
          <w:sz w:val="44"/>
          <w:szCs w:val="44"/>
          <w:shd w:val="clear" w:color="auto" w:fill="FFFFFF"/>
        </w:rPr>
        <w:t>报告</w:t>
      </w:r>
    </w:p>
    <w:p>
      <w:pPr>
        <w:keepNext w:val="0"/>
        <w:pageBreakBefore w:val="0"/>
        <w:kinsoku/>
        <w:overflowPunct/>
        <w:topLinePunct w:val="0"/>
        <w:autoSpaceDE/>
        <w:autoSpaceDN/>
        <w:bidi w:val="0"/>
        <w:spacing w:line="578" w:lineRule="exact"/>
        <w:textAlignment w:val="auto"/>
        <w:rPr>
          <w:rFonts w:hint="eastAsia"/>
        </w:rPr>
      </w:pPr>
    </w:p>
    <w:p>
      <w:pPr>
        <w:keepNext w:val="0"/>
        <w:pageBreakBefore w:val="0"/>
        <w:tabs>
          <w:tab w:val="left" w:pos="3885"/>
        </w:tabs>
        <w:kinsoku/>
        <w:overflowPunct/>
        <w:topLinePunct w:val="0"/>
        <w:autoSpaceDE/>
        <w:autoSpaceDN/>
        <w:bidi w:val="0"/>
        <w:snapToGrid w:val="0"/>
        <w:spacing w:line="578" w:lineRule="exact"/>
        <w:ind w:left="0" w:leftChars="0"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达州市达川区财政局：</w:t>
      </w:r>
    </w:p>
    <w:p>
      <w:pPr>
        <w:keepNext w:val="0"/>
        <w:pageBreakBefore w:val="0"/>
        <w:tabs>
          <w:tab w:val="left" w:pos="3885"/>
        </w:tabs>
        <w:kinsoku/>
        <w:overflowPunct/>
        <w:topLinePunct w:val="0"/>
        <w:autoSpaceDE/>
        <w:autoSpaceDN/>
        <w:bidi w:val="0"/>
        <w:snapToGrid w:val="0"/>
        <w:spacing w:line="578" w:lineRule="exact"/>
        <w:ind w:left="0" w:leftChars="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按照达州市达川区财政局《关于开展2023年部门（单位）、政策和项目支出绩效评价工作的通知》（达川财绩效〔2023〕9号）文件要求，现将本单位2023年开展部门（单位）整体支出绩效评价情况报告如下：</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部门（单位）概况</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（一）机构组成</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sz w:val="32"/>
          <w:szCs w:val="32"/>
        </w:rPr>
      </w:pPr>
      <w:bookmarkStart w:id="0" w:name="_Hlk109805662"/>
      <w:r>
        <w:rPr>
          <w:rFonts w:hint="eastAsia" w:ascii="仿宋_GB2312" w:hAnsi="仿宋_GB2312" w:eastAsia="仿宋_GB2312" w:cs="仿宋_GB2312"/>
          <w:color w:val="000000"/>
          <w:kern w:val="0"/>
          <w:sz w:val="32"/>
          <w:szCs w:val="32"/>
          <w:shd w:val="clear" w:color="auto" w:fill="FFFFFF"/>
          <w:lang w:val="zh-CN"/>
        </w:rPr>
        <w:t>达川区农业信贷担保服务中心为二级预算单位，单位性质为全额拨款的事业单位。</w:t>
      </w:r>
      <w:bookmarkStart w:id="3" w:name="_GoBack"/>
      <w:bookmarkEnd w:id="3"/>
    </w:p>
    <w:bookmarkEnd w:id="0"/>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（二）机构职能</w:t>
      </w:r>
    </w:p>
    <w:p>
      <w:pPr>
        <w:keepNext w:val="0"/>
        <w:pageBreakBefore w:val="0"/>
        <w:tabs>
          <w:tab w:val="left" w:pos="3885"/>
        </w:tabs>
        <w:kinsoku/>
        <w:overflowPunct/>
        <w:topLinePunct w:val="0"/>
        <w:autoSpaceDE/>
        <w:autoSpaceDN/>
        <w:bidi w:val="0"/>
        <w:snapToGrid w:val="0"/>
        <w:spacing w:line="578"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我中心</w:t>
      </w:r>
      <w:r>
        <w:rPr>
          <w:rFonts w:hint="eastAsia" w:ascii="仿宋_GB2312" w:hAnsi="仿宋_GB2312" w:eastAsia="仿宋_GB2312" w:cs="仿宋_GB2312"/>
          <w:kern w:val="0"/>
          <w:sz w:val="32"/>
          <w:szCs w:val="32"/>
          <w:lang w:val="en-US" w:eastAsia="zh-CN"/>
        </w:rPr>
        <w:t>负责全区从事粮食生产和农业新型经营主体、农村一、二、三产业融合发展项目、其他政策性担保服务，管理和服务农业融资及产业发展相关的担保工作。</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（三）人员概况</w:t>
      </w:r>
    </w:p>
    <w:p>
      <w:pPr>
        <w:keepNext w:val="0"/>
        <w:keepLines w:val="0"/>
        <w:pageBreakBefore w:val="0"/>
        <w:kinsoku/>
        <w:wordWrap/>
        <w:overflowPunct/>
        <w:topLinePunct w:val="0"/>
        <w:autoSpaceDE/>
        <w:autoSpaceDN/>
        <w:bidi w:val="0"/>
        <w:spacing w:line="578" w:lineRule="exact"/>
        <w:ind w:left="0" w:leftChars="0" w:right="0" w:firstLine="627" w:firstLineChars="196"/>
        <w:jc w:val="both"/>
        <w:textAlignment w:val="auto"/>
        <w:rPr>
          <w:rFonts w:hint="eastAsia" w:ascii="仿宋_GB2312" w:hAnsi="仿宋_GB2312" w:eastAsia="仿宋_GB2312" w:cs="仿宋_GB2312"/>
          <w:color w:val="0000FF"/>
          <w:kern w:val="0"/>
          <w:sz w:val="32"/>
          <w:szCs w:val="32"/>
          <w:shd w:val="clear" w:color="auto" w:fill="FFFFFF"/>
          <w:lang w:val="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组织部</w:t>
      </w:r>
      <w:r>
        <w:rPr>
          <w:rFonts w:hint="eastAsia" w:ascii="仿宋_GB2312" w:hAnsi="仿宋_GB2312" w:eastAsia="仿宋_GB2312" w:cs="仿宋_GB2312"/>
          <w:sz w:val="32"/>
          <w:szCs w:val="32"/>
        </w:rPr>
        <w:t>相关编制批复文件，核定</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color w:val="auto"/>
          <w:kern w:val="0"/>
          <w:sz w:val="32"/>
          <w:szCs w:val="32"/>
          <w:shd w:val="clear" w:color="auto" w:fill="FFFFFF"/>
          <w:lang w:val="zh-CN"/>
        </w:rPr>
        <w:t>单位为</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w:t>
      </w:r>
      <w:bookmarkStart w:id="1" w:name="_Hlk109807352"/>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年年末实有在职人员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人，其中：事业编制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lang w:val="zh-CN"/>
        </w:rPr>
        <w:t>退休人员0人。</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left="0" w:leftChars="0"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14:textFill>
            <w14:solidFill>
              <w14:schemeClr w14:val="tx1"/>
            </w14:solidFill>
          </w14:textFill>
        </w:rPr>
        <w:t>年年初预算收入</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252.95</w:t>
      </w:r>
      <w:r>
        <w:rPr>
          <w:rFonts w:hint="eastAsia" w:ascii="仿宋_GB2312" w:hAnsi="仿宋_GB2312" w:eastAsia="仿宋_GB2312" w:cs="仿宋_GB2312"/>
          <w:bCs/>
          <w:color w:val="000000" w:themeColor="text1"/>
          <w:kern w:val="0"/>
          <w:sz w:val="32"/>
          <w:szCs w:val="32"/>
          <w14:textFill>
            <w14:solidFill>
              <w14:schemeClr w14:val="tx1"/>
            </w14:solidFill>
          </w14:textFill>
        </w:rPr>
        <w:t>万元，年中追加预算</w:t>
      </w:r>
      <w:r>
        <w:rPr>
          <w:rFonts w:hint="eastAsia" w:ascii="仿宋_GB2312" w:hAnsi="仿宋_GB2312" w:eastAsia="仿宋_GB2312" w:cs="仿宋_GB2312"/>
          <w:color w:val="000000"/>
          <w:kern w:val="0"/>
          <w:sz w:val="32"/>
          <w:szCs w:val="32"/>
          <w:shd w:val="clear" w:color="auto" w:fill="FFFFFF"/>
          <w:lang w:val="en-US" w:eastAsia="zh-CN"/>
        </w:rPr>
        <w:t>34.02</w:t>
      </w:r>
      <w:r>
        <w:rPr>
          <w:rFonts w:hint="eastAsia" w:ascii="仿宋_GB2312" w:hAnsi="仿宋_GB2312" w:eastAsia="仿宋_GB2312" w:cs="仿宋_GB2312"/>
          <w:bCs/>
          <w:color w:val="000000" w:themeColor="text1"/>
          <w:kern w:val="0"/>
          <w:sz w:val="32"/>
          <w:szCs w:val="32"/>
          <w14:textFill>
            <w14:solidFill>
              <w14:schemeClr w14:val="tx1"/>
            </w14:solidFill>
          </w14:textFill>
        </w:rPr>
        <w:t>万元，年终决算收入</w:t>
      </w:r>
      <w:r>
        <w:rPr>
          <w:rFonts w:hint="eastAsia" w:ascii="仿宋_GB2312" w:hAnsi="仿宋_GB2312" w:eastAsia="仿宋_GB2312" w:cs="仿宋_GB2312"/>
          <w:color w:val="000000"/>
          <w:kern w:val="0"/>
          <w:sz w:val="32"/>
          <w:szCs w:val="32"/>
          <w:shd w:val="clear" w:color="auto" w:fill="FFFFFF"/>
          <w:lang w:val="en-US" w:eastAsia="zh-CN"/>
        </w:rPr>
        <w:t>286.97</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p>
    <w:p>
      <w:pPr>
        <w:keepNext w:val="0"/>
        <w:pageBreakBefore w:val="0"/>
        <w:widowControl/>
        <w:numPr>
          <w:ilvl w:val="0"/>
          <w:numId w:val="0"/>
        </w:numPr>
        <w:kinsoku/>
        <w:overflowPunct/>
        <w:topLinePunct w:val="0"/>
        <w:autoSpaceDE/>
        <w:autoSpaceDN/>
        <w:bidi w:val="0"/>
        <w:adjustRightInd w:val="0"/>
        <w:snapToGrid w:val="0"/>
        <w:spacing w:line="578" w:lineRule="exact"/>
        <w:ind w:leftChars="200" w:right="0" w:rightChars="0"/>
        <w:contextualSpacing/>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cs="仿宋_GB2312"/>
          <w:color w:val="000000" w:themeColor="text1"/>
          <w:kern w:val="0"/>
          <w:sz w:val="32"/>
          <w:szCs w:val="32"/>
          <w:shd w:val="clear" w:color="auto" w:fill="FFFFFF"/>
          <w:lang w:val="zh-CN"/>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部门财政资金支出情况</w:t>
      </w:r>
    </w:p>
    <w:p>
      <w:pPr>
        <w:keepNext w:val="0"/>
        <w:pageBreakBefore w:val="0"/>
        <w:kinsoku/>
        <w:overflowPunct/>
        <w:topLinePunct w:val="0"/>
        <w:autoSpaceDE/>
        <w:autoSpaceDN/>
        <w:bidi w:val="0"/>
        <w:spacing w:line="578" w:lineRule="exact"/>
        <w:ind w:left="0" w:leftChars="0" w:right="0" w:firstLine="640" w:firstLineChars="200"/>
        <w:jc w:val="both"/>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14:textFill>
            <w14:solidFill>
              <w14:schemeClr w14:val="tx1"/>
            </w14:solidFill>
          </w14:textFill>
        </w:rPr>
        <w:t>年决算总支出</w:t>
      </w:r>
      <w:r>
        <w:rPr>
          <w:rFonts w:hint="eastAsia" w:ascii="仿宋_GB2312" w:hAnsi="仿宋_GB2312" w:eastAsia="仿宋_GB2312" w:cs="仿宋_GB2312"/>
          <w:color w:val="000000"/>
          <w:kern w:val="0"/>
          <w:sz w:val="32"/>
          <w:szCs w:val="32"/>
          <w:shd w:val="clear" w:color="auto" w:fill="FFFFFF"/>
          <w:lang w:val="en-US" w:eastAsia="zh-CN"/>
        </w:rPr>
        <w:t>286.97</w:t>
      </w:r>
      <w:r>
        <w:rPr>
          <w:rFonts w:hint="eastAsia" w:ascii="仿宋_GB2312" w:hAnsi="仿宋_GB2312" w:eastAsia="仿宋_GB2312" w:cs="仿宋_GB2312"/>
          <w:bCs/>
          <w:color w:val="000000" w:themeColor="text1"/>
          <w:kern w:val="0"/>
          <w:sz w:val="32"/>
          <w:szCs w:val="32"/>
          <w14:textFill>
            <w14:solidFill>
              <w14:schemeClr w14:val="tx1"/>
            </w14:solidFill>
          </w14:textFill>
        </w:rPr>
        <w:t>万元，基本支出</w:t>
      </w:r>
      <w:r>
        <w:rPr>
          <w:rFonts w:hint="eastAsia" w:ascii="仿宋_GB2312" w:hAnsi="仿宋_GB2312" w:eastAsia="仿宋_GB2312" w:cs="仿宋_GB2312"/>
          <w:color w:val="000000"/>
          <w:kern w:val="0"/>
          <w:sz w:val="32"/>
          <w:szCs w:val="32"/>
          <w:shd w:val="clear" w:color="auto" w:fill="FFFFFF"/>
          <w:lang w:val="en-US" w:eastAsia="zh-CN"/>
        </w:rPr>
        <w:t>157.29</w:t>
      </w:r>
      <w:r>
        <w:rPr>
          <w:rFonts w:hint="eastAsia" w:ascii="仿宋_GB2312" w:hAnsi="仿宋_GB2312" w:eastAsia="仿宋_GB2312" w:cs="仿宋_GB2312"/>
          <w:bCs/>
          <w:color w:val="000000" w:themeColor="text1"/>
          <w:kern w:val="0"/>
          <w:sz w:val="32"/>
          <w:szCs w:val="32"/>
          <w14:textFill>
            <w14:solidFill>
              <w14:schemeClr w14:val="tx1"/>
            </w14:solidFill>
          </w14:textFill>
        </w:rPr>
        <w:t>万元（人员经费支出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140.13</w:t>
      </w:r>
      <w:r>
        <w:rPr>
          <w:rFonts w:hint="eastAsia" w:ascii="仿宋_GB2312" w:hAnsi="仿宋_GB2312" w:eastAsia="仿宋_GB2312" w:cs="仿宋_GB2312"/>
          <w:bCs/>
          <w:color w:val="000000" w:themeColor="text1"/>
          <w:kern w:val="0"/>
          <w:sz w:val="32"/>
          <w:szCs w:val="32"/>
          <w14:textFill>
            <w14:solidFill>
              <w14:schemeClr w14:val="tx1"/>
            </w14:solidFill>
          </w14:textFill>
        </w:rPr>
        <w:t>万元，公用经费支出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17.16</w:t>
      </w:r>
      <w:r>
        <w:rPr>
          <w:rFonts w:hint="eastAsia" w:ascii="仿宋_GB2312" w:hAnsi="仿宋_GB2312" w:eastAsia="仿宋_GB2312" w:cs="仿宋_GB2312"/>
          <w:bCs/>
          <w:color w:val="000000" w:themeColor="text1"/>
          <w:kern w:val="0"/>
          <w:sz w:val="32"/>
          <w:szCs w:val="32"/>
          <w14:textFill>
            <w14:solidFill>
              <w14:schemeClr w14:val="tx1"/>
            </w14:solidFill>
          </w14:textFill>
        </w:rPr>
        <w:t>万元），项目支出</w:t>
      </w:r>
      <w:r>
        <w:rPr>
          <w:rFonts w:hint="eastAsia" w:ascii="仿宋_GB2312" w:hAnsi="仿宋_GB2312" w:eastAsia="仿宋_GB2312" w:cs="仿宋_GB2312"/>
          <w:color w:val="000000"/>
          <w:kern w:val="0"/>
          <w:sz w:val="32"/>
          <w:szCs w:val="32"/>
          <w:shd w:val="clear" w:color="auto" w:fill="FFFFFF"/>
          <w:lang w:val="en-US" w:eastAsia="zh-CN"/>
        </w:rPr>
        <w:t>129.68</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p>
    <w:p>
      <w:pPr>
        <w:keepNext w:val="0"/>
        <w:pageBreakBefore w:val="0"/>
        <w:kinsoku/>
        <w:overflowPunct/>
        <w:topLinePunct w:val="0"/>
        <w:autoSpaceDE/>
        <w:autoSpaceDN/>
        <w:bidi w:val="0"/>
        <w:spacing w:line="578" w:lineRule="exact"/>
        <w:ind w:left="0" w:leftChars="0"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left="0" w:leftChars="0" w:right="0" w:firstLine="640" w:firstLineChars="200"/>
        <w:jc w:val="both"/>
        <w:textAlignment w:val="auto"/>
        <w:rPr>
          <w:rFonts w:hint="eastAsia" w:ascii="仿宋_GB2312" w:hAnsi="仿宋_GB2312" w:eastAsia="仿宋_GB2312" w:cs="仿宋_GB2312"/>
          <w:color w:val="0000FF"/>
          <w:kern w:val="0"/>
          <w:sz w:val="32"/>
          <w:szCs w:val="32"/>
          <w:shd w:val="clear" w:color="auto" w:fill="FFFFFF"/>
          <w:lang w:val="zh-CN"/>
        </w:rPr>
      </w:pPr>
      <w:r>
        <w:rPr>
          <w:rFonts w:hint="eastAsia" w:ascii="仿宋_GB2312" w:hAnsi="仿宋_GB2312" w:eastAsia="仿宋_GB2312" w:cs="仿宋_GB2312"/>
          <w:bCs/>
          <w:kern w:val="0"/>
          <w:sz w:val="32"/>
          <w:szCs w:val="32"/>
          <w:lang w:val="en-US" w:eastAsia="zh-CN"/>
        </w:rPr>
        <w:t>2022</w:t>
      </w:r>
      <w:r>
        <w:rPr>
          <w:rFonts w:hint="eastAsia" w:ascii="仿宋_GB2312" w:hAnsi="仿宋_GB2312" w:eastAsia="仿宋_GB2312" w:cs="仿宋_GB2312"/>
          <w:bCs/>
          <w:kern w:val="0"/>
          <w:sz w:val="32"/>
          <w:szCs w:val="32"/>
        </w:rPr>
        <w:t>年年末财政拨款结转和结余</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shd w:val="clear" w:color="auto" w:fill="FFFFFF"/>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highlight w:val="none"/>
          <w:shd w:val="clear" w:color="auto" w:fill="FFFFFF"/>
          <w14:textFill>
            <w14:solidFill>
              <w14:schemeClr w14:val="tx1"/>
            </w14:solidFill>
          </w14:textFill>
        </w:rPr>
        <w:t>部门整体预算绩效管理情况</w:t>
      </w:r>
    </w:p>
    <w:p>
      <w:pPr>
        <w:keepNext w:val="0"/>
        <w:pageBreakBefore w:val="0"/>
        <w:widowControl/>
        <w:numPr>
          <w:ilvl w:val="0"/>
          <w:numId w:val="0"/>
        </w:numPr>
        <w:kinsoku/>
        <w:overflowPunct/>
        <w:topLinePunct w:val="0"/>
        <w:autoSpaceDE/>
        <w:autoSpaceDN/>
        <w:bidi w:val="0"/>
        <w:adjustRightInd w:val="0"/>
        <w:snapToGrid w:val="0"/>
        <w:spacing w:line="578" w:lineRule="exact"/>
        <w:ind w:leftChars="200" w:right="0" w:rightChars="0"/>
        <w:contextualSpacing/>
        <w:jc w:val="both"/>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cs="仿宋_GB2312"/>
          <w:b/>
          <w:bCs/>
          <w:color w:val="auto"/>
          <w:kern w:val="0"/>
          <w:sz w:val="32"/>
          <w:szCs w:val="32"/>
          <w:shd w:val="clear" w:color="auto" w:fill="FFFFFF"/>
          <w:lang w:val="zh-CN"/>
        </w:rPr>
        <w:t>（一）</w:t>
      </w:r>
      <w:r>
        <w:rPr>
          <w:rFonts w:hint="eastAsia" w:ascii="仿宋_GB2312" w:hAnsi="仿宋_GB2312" w:eastAsia="仿宋_GB2312" w:cs="仿宋_GB2312"/>
          <w:b/>
          <w:bCs/>
          <w:color w:val="auto"/>
          <w:kern w:val="0"/>
          <w:sz w:val="32"/>
          <w:szCs w:val="32"/>
          <w:shd w:val="clear" w:color="auto" w:fill="FFFFFF"/>
          <w:lang w:val="zh-CN"/>
        </w:rPr>
        <w:t>总体工作情况</w:t>
      </w:r>
    </w:p>
    <w:p>
      <w:pPr>
        <w:keepNext w:val="0"/>
        <w:pageBreakBefore w:val="0"/>
        <w:kinsoku/>
        <w:overflowPunct/>
        <w:topLinePunct w:val="0"/>
        <w:autoSpaceDE/>
        <w:autoSpaceDN/>
        <w:bidi w:val="0"/>
        <w:spacing w:line="578" w:lineRule="exact"/>
        <w:ind w:left="0" w:leftChars="0" w:right="0" w:firstLine="640" w:firstLineChars="200"/>
        <w:jc w:val="both"/>
        <w:textAlignment w:val="auto"/>
        <w:rPr>
          <w:rFonts w:hint="eastAsia" w:ascii="仿宋_GB2312" w:hAnsi="仿宋_GB2312" w:eastAsia="仿宋_GB2312" w:cs="仿宋_GB2312"/>
          <w:bCs/>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我中心认真履行好部门职能职责，全面保障了中心日常正常运转，为我区农业新型经营主体发展服好务，并取得了一定的经济和社会效益。</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5分，自评得分</w:t>
      </w:r>
      <w:r>
        <w:rPr>
          <w:rFonts w:hint="eastAsia" w:ascii="仿宋_GB2312" w:hAnsi="仿宋_GB2312" w:eastAsia="仿宋_GB2312" w:cs="仿宋_GB2312"/>
          <w:color w:val="auto"/>
          <w:kern w:val="0"/>
          <w:sz w:val="32"/>
          <w:szCs w:val="32"/>
          <w:shd w:val="clear" w:color="auto" w:fill="FFFFFF"/>
          <w:lang w:val="en-US" w:eastAsia="zh-CN"/>
        </w:rPr>
        <w:t>15</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2.在“目标实现”方面，我单位202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年共</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个部门预算项目，均属于特定目标类项目。部门所有纳入绩效目标管理的部门预算项目中涉及数量指标共计</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个，已完成数量为</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个。该项指标分值为1</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分，自评得分</w:t>
      </w:r>
      <w:r>
        <w:rPr>
          <w:rFonts w:hint="eastAsia" w:ascii="仿宋_GB2312" w:hAnsi="仿宋_GB2312" w:eastAsia="仿宋_GB2312" w:cs="仿宋_GB2312"/>
          <w:color w:val="auto"/>
          <w:kern w:val="0"/>
          <w:sz w:val="32"/>
          <w:szCs w:val="32"/>
          <w:shd w:val="clear" w:color="auto" w:fill="FFFFFF"/>
          <w:lang w:val="en-US" w:eastAsia="zh-CN"/>
        </w:rPr>
        <w:t>15</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3.在“支出控制”方面，我单位202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年日常公用经费、项目支出中“办公费、印刷费、水费、电费、物业管理费”年初预算额</w:t>
      </w:r>
      <w:r>
        <w:rPr>
          <w:rFonts w:hint="eastAsia" w:ascii="仿宋_GB2312" w:hAnsi="仿宋_GB2312" w:eastAsia="仿宋_GB2312" w:cs="仿宋_GB2312"/>
          <w:color w:val="auto"/>
          <w:kern w:val="0"/>
          <w:sz w:val="32"/>
          <w:szCs w:val="32"/>
          <w:shd w:val="clear" w:color="auto" w:fill="FFFFFF"/>
          <w:lang w:val="en-US" w:eastAsia="zh-CN"/>
        </w:rPr>
        <w:t>22.4</w:t>
      </w:r>
      <w:r>
        <w:rPr>
          <w:rFonts w:hint="eastAsia" w:ascii="仿宋_GB2312" w:hAnsi="仿宋_GB2312" w:eastAsia="仿宋_GB2312" w:cs="仿宋_GB2312"/>
          <w:color w:val="auto"/>
          <w:kern w:val="0"/>
          <w:sz w:val="32"/>
          <w:szCs w:val="32"/>
          <w:shd w:val="clear" w:color="auto" w:fill="FFFFFF"/>
          <w:lang w:val="zh-CN"/>
        </w:rPr>
        <w:t>万元，年末决算数</w:t>
      </w:r>
      <w:r>
        <w:rPr>
          <w:rFonts w:hint="eastAsia" w:ascii="仿宋_GB2312" w:hAnsi="仿宋_GB2312" w:eastAsia="仿宋_GB2312" w:cs="仿宋_GB2312"/>
          <w:color w:val="auto"/>
          <w:kern w:val="0"/>
          <w:sz w:val="32"/>
          <w:szCs w:val="32"/>
          <w:shd w:val="clear" w:color="auto" w:fill="FFFFFF"/>
          <w:lang w:val="en-US" w:eastAsia="zh-CN"/>
        </w:rPr>
        <w:t>24.75</w:t>
      </w:r>
      <w:r>
        <w:rPr>
          <w:rFonts w:hint="eastAsia" w:ascii="仿宋_GB2312" w:hAnsi="仿宋_GB2312" w:eastAsia="仿宋_GB2312" w:cs="仿宋_GB2312"/>
          <w:color w:val="auto"/>
          <w:kern w:val="0"/>
          <w:sz w:val="32"/>
          <w:szCs w:val="32"/>
          <w:shd w:val="clear" w:color="auto" w:fill="FFFFFF"/>
          <w:lang w:val="zh-CN"/>
        </w:rPr>
        <w:t>万元，偏差度</w:t>
      </w:r>
      <w:r>
        <w:rPr>
          <w:rFonts w:hint="eastAsia" w:ascii="仿宋_GB2312" w:hAnsi="仿宋_GB2312" w:eastAsia="仿宋_GB2312" w:cs="仿宋_GB2312"/>
          <w:color w:val="auto"/>
          <w:kern w:val="0"/>
          <w:sz w:val="32"/>
          <w:szCs w:val="32"/>
          <w:shd w:val="clear" w:color="auto" w:fill="FFFFFF"/>
          <w:lang w:val="en-US" w:eastAsia="zh-CN"/>
        </w:rPr>
        <w:t>10.49</w:t>
      </w:r>
      <w:r>
        <w:rPr>
          <w:rFonts w:hint="eastAsia" w:ascii="仿宋_GB2312" w:hAnsi="仿宋_GB2312" w:eastAsia="仿宋_GB2312" w:cs="仿宋_GB2312"/>
          <w:color w:val="auto"/>
          <w:kern w:val="0"/>
          <w:sz w:val="32"/>
          <w:szCs w:val="32"/>
          <w:shd w:val="clear" w:color="auto" w:fill="FFFFFF"/>
          <w:lang w:val="zh-CN"/>
        </w:rPr>
        <w:t>%。该项指标分值为</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分，年初预算数与决算数偏差程度在10%以内的，自评得</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4.在“及时处置”方面，该项指标分值为</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lang w:val="zh-CN"/>
        </w:rPr>
        <w:t>分，指标自评得分</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5.在“执行进度”方面，根据系统提取数据显示，我单位202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年6月、9月、11月执行进度分别为</w:t>
      </w:r>
      <w:r>
        <w:rPr>
          <w:rFonts w:hint="eastAsia" w:ascii="仿宋_GB2312" w:hAnsi="仿宋_GB2312" w:eastAsia="仿宋_GB2312" w:cs="仿宋_GB2312"/>
          <w:color w:val="auto"/>
          <w:kern w:val="0"/>
          <w:sz w:val="32"/>
          <w:szCs w:val="32"/>
          <w:shd w:val="clear" w:color="auto" w:fill="FFFFFF"/>
          <w:lang w:val="en-US" w:eastAsia="zh-CN"/>
        </w:rPr>
        <w:t>50</w:t>
      </w:r>
      <w:r>
        <w:rPr>
          <w:rFonts w:hint="eastAsia" w:ascii="仿宋_GB2312" w:hAnsi="仿宋_GB2312" w:eastAsia="仿宋_GB2312" w:cs="仿宋_GB2312"/>
          <w:color w:val="auto"/>
          <w:kern w:val="0"/>
          <w:sz w:val="32"/>
          <w:szCs w:val="32"/>
          <w:shd w:val="clear" w:color="auto" w:fill="FFFFFF"/>
          <w:lang w:val="zh-CN"/>
        </w:rPr>
        <w:t>%、</w:t>
      </w:r>
      <w:r>
        <w:rPr>
          <w:rFonts w:hint="eastAsia" w:ascii="仿宋_GB2312" w:hAnsi="仿宋_GB2312" w:eastAsia="仿宋_GB2312" w:cs="仿宋_GB2312"/>
          <w:color w:val="auto"/>
          <w:kern w:val="0"/>
          <w:sz w:val="32"/>
          <w:szCs w:val="32"/>
          <w:shd w:val="clear" w:color="auto" w:fill="FFFFFF"/>
          <w:lang w:val="en-US" w:eastAsia="zh-CN"/>
        </w:rPr>
        <w:t>70</w:t>
      </w:r>
      <w:r>
        <w:rPr>
          <w:rFonts w:hint="eastAsia" w:ascii="仿宋_GB2312" w:hAnsi="仿宋_GB2312" w:eastAsia="仿宋_GB2312" w:cs="仿宋_GB2312"/>
          <w:color w:val="auto"/>
          <w:kern w:val="0"/>
          <w:sz w:val="32"/>
          <w:szCs w:val="32"/>
          <w:shd w:val="clear" w:color="auto" w:fill="FFFFFF"/>
          <w:lang w:val="zh-CN"/>
        </w:rPr>
        <w:t xml:space="preserve">%、 </w:t>
      </w:r>
      <w:r>
        <w:rPr>
          <w:rFonts w:hint="eastAsia" w:ascii="仿宋_GB2312" w:hAnsi="仿宋_GB2312" w:eastAsia="仿宋_GB2312" w:cs="仿宋_GB2312"/>
          <w:color w:val="auto"/>
          <w:kern w:val="0"/>
          <w:sz w:val="32"/>
          <w:szCs w:val="32"/>
          <w:shd w:val="clear" w:color="auto" w:fill="FFFFFF"/>
          <w:lang w:val="en-US" w:eastAsia="zh-CN"/>
        </w:rPr>
        <w:t>90</w:t>
      </w:r>
      <w:r>
        <w:rPr>
          <w:rFonts w:hint="eastAsia" w:ascii="仿宋_GB2312" w:hAnsi="仿宋_GB2312" w:eastAsia="仿宋_GB2312" w:cs="仿宋_GB2312"/>
          <w:color w:val="auto"/>
          <w:kern w:val="0"/>
          <w:sz w:val="32"/>
          <w:szCs w:val="32"/>
          <w:shd w:val="clear" w:color="auto" w:fill="FFFFFF"/>
          <w:lang w:val="zh-CN"/>
        </w:rPr>
        <w:t>%. 该项指标分值为</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分，按其实际进度占目标进度的比重计算得分</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6.在“预算完成”方面，部门预算项目年末预算执行进度</w:t>
      </w:r>
      <w:r>
        <w:rPr>
          <w:rFonts w:hint="eastAsia" w:ascii="仿宋_GB2312" w:hAnsi="仿宋_GB2312" w:eastAsia="仿宋_GB2312" w:cs="仿宋_GB2312"/>
          <w:color w:val="auto"/>
          <w:kern w:val="0"/>
          <w:sz w:val="32"/>
          <w:szCs w:val="32"/>
          <w:shd w:val="clear" w:color="auto" w:fill="FFFFFF"/>
          <w:lang w:val="en-US" w:eastAsia="zh-CN"/>
        </w:rPr>
        <w:t>100</w:t>
      </w:r>
      <w:r>
        <w:rPr>
          <w:rFonts w:hint="eastAsia" w:ascii="仿宋_GB2312" w:hAnsi="仿宋_GB2312" w:eastAsia="仿宋_GB2312" w:cs="仿宋_GB2312"/>
          <w:color w:val="auto"/>
          <w:kern w:val="0"/>
          <w:sz w:val="32"/>
          <w:szCs w:val="32"/>
          <w:shd w:val="clear" w:color="auto" w:fill="FFFFFF"/>
          <w:lang w:val="zh-CN"/>
        </w:rPr>
        <w:t>%。该项指标分值为</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lang w:val="zh-CN"/>
        </w:rPr>
        <w:t>分，按照实际进度量化计算得分</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7.在“资金结余率”方面，我单位部门预算项目共</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项，资金余率小于</w:t>
      </w:r>
      <w:r>
        <w:rPr>
          <w:rFonts w:hint="eastAsia" w:ascii="仿宋_GB2312" w:hAnsi="仿宋_GB2312" w:eastAsia="仿宋_GB2312" w:cs="仿宋_GB2312"/>
          <w:color w:val="auto"/>
          <w:kern w:val="0"/>
          <w:sz w:val="32"/>
          <w:szCs w:val="32"/>
          <w:shd w:val="clear" w:color="auto" w:fill="FFFFFF"/>
          <w:lang w:val="en-US" w:eastAsia="zh-CN"/>
        </w:rPr>
        <w:t>0.1</w:t>
      </w:r>
      <w:r>
        <w:rPr>
          <w:rFonts w:hint="eastAsia" w:ascii="仿宋_GB2312" w:hAnsi="仿宋_GB2312" w:eastAsia="仿宋_GB2312" w:cs="仿宋_GB2312"/>
          <w:color w:val="auto"/>
          <w:kern w:val="0"/>
          <w:sz w:val="32"/>
          <w:szCs w:val="32"/>
          <w:shd w:val="clear" w:color="auto" w:fill="FFFFFF"/>
          <w:lang w:val="zh-CN"/>
        </w:rPr>
        <w:t>的项目数</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项。该项指标分值为</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分，按照相应量化计算得分</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kern w:val="0"/>
          <w:sz w:val="32"/>
          <w:szCs w:val="32"/>
          <w:shd w:val="clear" w:color="auto" w:fill="FFFFFF"/>
          <w:lang w:val="zh-CN"/>
        </w:rPr>
        <w:t>8.在违规记录上，我单位202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年没有出现部门预算管理方面违纪违规问题。该项指标分值为</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分，自评得分</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w:t>
      </w:r>
      <w:bookmarkStart w:id="2" w:name="_Toc110955069"/>
    </w:p>
    <w:bookmarkEnd w:id="2"/>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w:t>
      </w:r>
      <w:r>
        <w:rPr>
          <w:rFonts w:hint="eastAsia" w:ascii="仿宋_GB2312" w:hAnsi="仿宋_GB2312" w:cs="仿宋_GB2312"/>
          <w:b/>
          <w:bCs/>
          <w:color w:val="000000" w:themeColor="text1"/>
          <w:kern w:val="0"/>
          <w:sz w:val="32"/>
          <w:szCs w:val="32"/>
          <w:shd w:val="clear" w:color="auto" w:fill="FFFFFF"/>
          <w:lang w:val="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w:t>
      </w:r>
      <w:r>
        <w:rPr>
          <w:rFonts w:hint="eastAsia" w:ascii="仿宋_GB2312" w:hAnsi="仿宋_GB2312" w:eastAsia="仿宋_GB2312" w:cs="仿宋_GB2312"/>
          <w:b/>
          <w:bCs/>
          <w:color w:val="auto"/>
          <w:kern w:val="0"/>
          <w:sz w:val="32"/>
          <w:szCs w:val="32"/>
          <w:highlight w:val="none"/>
          <w:shd w:val="clear" w:color="auto" w:fill="FFFFFF"/>
          <w:lang w:val="zh-CN"/>
        </w:rPr>
        <w:t>结果应用情况</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1.在“预算挂钩”方面，我</w:t>
      </w:r>
      <w:r>
        <w:rPr>
          <w:rFonts w:hint="eastAsia" w:ascii="仿宋_GB2312" w:hAnsi="仿宋_GB2312" w:eastAsia="仿宋_GB2312" w:cs="仿宋_GB2312"/>
          <w:color w:val="auto"/>
          <w:kern w:val="0"/>
          <w:sz w:val="32"/>
          <w:szCs w:val="32"/>
          <w:shd w:val="clear" w:color="auto" w:fill="FFFFFF"/>
          <w:lang w:val="en-US" w:eastAsia="zh-CN"/>
        </w:rPr>
        <w:t>单位</w:t>
      </w:r>
      <w:r>
        <w:rPr>
          <w:rFonts w:hint="eastAsia" w:ascii="仿宋_GB2312" w:hAnsi="仿宋_GB2312" w:eastAsia="仿宋_GB2312" w:cs="仿宋_GB2312"/>
          <w:color w:val="auto"/>
          <w:kern w:val="0"/>
          <w:sz w:val="32"/>
          <w:szCs w:val="32"/>
          <w:shd w:val="clear" w:color="auto" w:fill="FFFFFF"/>
          <w:lang w:val="zh-CN"/>
        </w:rPr>
        <w:t>已出台全面实施预算绩效管理工作方案，细化考核内容，加强各业务</w:t>
      </w:r>
      <w:r>
        <w:rPr>
          <w:rFonts w:hint="eastAsia" w:ascii="仿宋_GB2312" w:hAnsi="仿宋_GB2312" w:eastAsia="仿宋_GB2312" w:cs="仿宋_GB2312"/>
          <w:color w:val="auto"/>
          <w:kern w:val="0"/>
          <w:sz w:val="32"/>
          <w:szCs w:val="32"/>
          <w:shd w:val="clear" w:color="auto" w:fill="FFFFFF"/>
          <w:lang w:val="en-US" w:eastAsia="zh-CN"/>
        </w:rPr>
        <w:t>股</w:t>
      </w:r>
      <w:r>
        <w:rPr>
          <w:rFonts w:hint="eastAsia" w:ascii="仿宋_GB2312" w:hAnsi="仿宋_GB2312" w:eastAsia="仿宋_GB2312" w:cs="仿宋_GB2312"/>
          <w:color w:val="auto"/>
          <w:kern w:val="0"/>
          <w:sz w:val="32"/>
          <w:szCs w:val="32"/>
          <w:shd w:val="clear" w:color="auto" w:fill="FFFFFF"/>
          <w:lang w:val="zh-CN"/>
        </w:rPr>
        <w:t>室与绩效管理工作的联系，明确考核及绩效结果与专项预算安排挂钩举措，推动绩效管理工作更好的实施。该项指标分值为</w:t>
      </w:r>
      <w:r>
        <w:rPr>
          <w:rFonts w:hint="eastAsia" w:ascii="仿宋_GB2312" w:hAnsi="仿宋_GB2312" w:eastAsia="仿宋_GB2312" w:cs="仿宋_GB2312"/>
          <w:color w:val="auto"/>
          <w:kern w:val="0"/>
          <w:sz w:val="32"/>
          <w:szCs w:val="32"/>
          <w:shd w:val="clear" w:color="auto" w:fill="FFFFFF"/>
          <w:lang w:val="en-US" w:eastAsia="zh-CN"/>
        </w:rPr>
        <w:t>6</w:t>
      </w:r>
      <w:r>
        <w:rPr>
          <w:rFonts w:hint="eastAsia" w:ascii="仿宋_GB2312" w:hAnsi="仿宋_GB2312" w:eastAsia="仿宋_GB2312" w:cs="仿宋_GB2312"/>
          <w:color w:val="auto"/>
          <w:kern w:val="0"/>
          <w:sz w:val="32"/>
          <w:szCs w:val="32"/>
          <w:shd w:val="clear" w:color="auto" w:fill="FFFFFF"/>
          <w:lang w:val="zh-CN"/>
        </w:rPr>
        <w:t>分，自评得分</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2.在“自评公开”方面，我</w:t>
      </w:r>
      <w:r>
        <w:rPr>
          <w:rFonts w:hint="eastAsia" w:ascii="仿宋_GB2312" w:hAnsi="仿宋_GB2312" w:eastAsia="仿宋_GB2312" w:cs="仿宋_GB2312"/>
          <w:color w:val="auto"/>
          <w:kern w:val="0"/>
          <w:sz w:val="32"/>
          <w:szCs w:val="32"/>
          <w:shd w:val="clear" w:color="auto" w:fill="FFFFFF"/>
          <w:lang w:val="en-US" w:eastAsia="zh-CN"/>
        </w:rPr>
        <w:t>单位</w:t>
      </w:r>
      <w:r>
        <w:rPr>
          <w:rFonts w:hint="eastAsia" w:ascii="仿宋_GB2312" w:hAnsi="仿宋_GB2312" w:eastAsia="仿宋_GB2312" w:cs="仿宋_GB2312"/>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分，自评得分</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kern w:val="0"/>
          <w:sz w:val="32"/>
          <w:szCs w:val="32"/>
          <w:shd w:val="clear" w:color="auto" w:fill="FFFFFF"/>
          <w:lang w:val="zh-CN"/>
        </w:rPr>
        <w:t>3.在“问题整改”方面，</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结合部门预算项目实际情况，绩效目标设置要素完整也基本做到细化量化;对发现执行进度偏低的项目，要求各业务</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股</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室加快预算执行进度;针对我</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部门（单位）</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分，自评得分</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分。</w:t>
      </w:r>
    </w:p>
    <w:p>
      <w:pPr>
        <w:keepNext w:val="0"/>
        <w:pageBreakBefore w:val="0"/>
        <w:widowControl/>
        <w:numPr>
          <w:ilvl w:val="0"/>
          <w:numId w:val="0"/>
        </w:numPr>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在应用反馈上，我</w:t>
      </w:r>
      <w:r>
        <w:rPr>
          <w:rFonts w:hint="eastAsia" w:ascii="仿宋_GB2312" w:hAnsi="仿宋_GB2312" w:eastAsia="仿宋_GB2312" w:cs="仿宋_GB2312"/>
          <w:color w:val="auto"/>
          <w:kern w:val="0"/>
          <w:sz w:val="32"/>
          <w:szCs w:val="32"/>
          <w:shd w:val="clear" w:color="auto" w:fill="FFFFFF"/>
          <w:lang w:val="en-US" w:eastAsia="zh-CN"/>
        </w:rPr>
        <w:t>单位</w:t>
      </w:r>
      <w:r>
        <w:rPr>
          <w:rFonts w:hint="eastAsia" w:ascii="仿宋_GB2312" w:hAnsi="仿宋_GB2312" w:eastAsia="仿宋_GB2312" w:cs="仿宋_GB2312"/>
          <w:color w:val="auto"/>
          <w:kern w:val="0"/>
          <w:sz w:val="32"/>
          <w:szCs w:val="32"/>
          <w:shd w:val="clear" w:color="auto" w:fill="FFFFFF"/>
          <w:lang w:val="zh-CN"/>
        </w:rPr>
        <w:t>已按要求在规定时间内将预算绩效结果应用结果向财政反馈。该项指标分值为</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分，自评得分</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numPr>
          <w:ilvl w:val="0"/>
          <w:numId w:val="0"/>
        </w:numPr>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w:t>
      </w:r>
      <w:r>
        <w:rPr>
          <w:rFonts w:hint="eastAsia" w:ascii="仿宋_GB2312" w:hAnsi="仿宋_GB2312" w:cs="仿宋_GB2312"/>
          <w:b/>
          <w:bCs/>
          <w:color w:val="000000" w:themeColor="text1"/>
          <w:kern w:val="0"/>
          <w:sz w:val="32"/>
          <w:szCs w:val="32"/>
          <w:shd w:val="clear" w:color="auto" w:fill="FFFFFF"/>
          <w:lang w:val="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w:t>
      </w:r>
      <w:r>
        <w:rPr>
          <w:rFonts w:hint="eastAsia" w:ascii="仿宋_GB2312" w:hAnsi="仿宋_GB2312" w:eastAsia="仿宋_GB2312" w:cs="仿宋_GB2312"/>
          <w:b/>
          <w:bCs/>
          <w:color w:val="auto"/>
          <w:kern w:val="0"/>
          <w:sz w:val="32"/>
          <w:szCs w:val="32"/>
          <w:shd w:val="clear" w:color="auto" w:fill="FFFFFF"/>
          <w:lang w:val="zh-CN"/>
        </w:rPr>
        <w:t>自评质量情况</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我单位</w:t>
      </w:r>
      <w:r>
        <w:rPr>
          <w:rFonts w:hint="eastAsia" w:ascii="仿宋_GB2312" w:hAnsi="仿宋_GB2312" w:eastAsia="仿宋_GB2312" w:cs="仿宋_GB2312"/>
          <w:color w:val="auto"/>
          <w:kern w:val="0"/>
          <w:sz w:val="32"/>
          <w:szCs w:val="32"/>
          <w:shd w:val="clear" w:color="auto" w:fill="FFFFFF"/>
          <w:lang w:val="zh-CN"/>
        </w:rPr>
        <w:t>整体支出自评准确率较高，</w:t>
      </w:r>
      <w:r>
        <w:rPr>
          <w:rFonts w:hint="eastAsia" w:ascii="仿宋_GB2312" w:hAnsi="仿宋_GB2312" w:eastAsia="仿宋_GB2312" w:cs="仿宋_GB2312"/>
          <w:color w:val="auto"/>
          <w:kern w:val="0"/>
          <w:sz w:val="32"/>
          <w:szCs w:val="32"/>
          <w:shd w:val="clear" w:color="auto" w:fill="FFFFFF"/>
          <w:lang w:val="en-US" w:eastAsia="zh-CN"/>
        </w:rPr>
        <w:t>且全面开展自评</w:t>
      </w:r>
      <w:r>
        <w:rPr>
          <w:rFonts w:hint="eastAsia" w:ascii="仿宋_GB2312" w:hAnsi="仿宋_GB2312" w:eastAsia="仿宋_GB2312" w:cs="仿宋_GB2312"/>
          <w:color w:val="auto"/>
          <w:kern w:val="0"/>
          <w:sz w:val="32"/>
          <w:szCs w:val="32"/>
          <w:shd w:val="clear" w:color="auto" w:fill="FFFFFF"/>
          <w:lang w:val="zh-CN"/>
        </w:rPr>
        <w:t>。</w:t>
      </w:r>
      <w:r>
        <w:rPr>
          <w:rFonts w:hint="eastAsia" w:ascii="仿宋_GB2312" w:hAnsi="仿宋_GB2312" w:eastAsia="仿宋_GB2312" w:cs="仿宋_GB2312"/>
          <w:color w:val="auto"/>
          <w:kern w:val="0"/>
          <w:sz w:val="32"/>
          <w:szCs w:val="32"/>
          <w:shd w:val="clear" w:color="auto" w:fill="FFFFFF"/>
          <w:lang w:val="en-US" w:eastAsia="zh-CN"/>
        </w:rPr>
        <w:t>自评质量分值为10分，由主管部门、财政部门考评，单位自评实际总分90分。</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zh-CN"/>
        </w:rPr>
        <w:t>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w:t>
      </w:r>
      <w:r>
        <w:rPr>
          <w:rFonts w:hint="eastAsia" w:ascii="仿宋_GB2312" w:hAnsi="仿宋_GB2312" w:eastAsia="仿宋_GB2312" w:cs="仿宋_GB2312"/>
          <w:color w:val="auto"/>
          <w:kern w:val="0"/>
          <w:sz w:val="32"/>
          <w:szCs w:val="32"/>
          <w:shd w:val="clear" w:color="auto" w:fill="FFFFFF"/>
          <w:lang w:val="en-US" w:eastAsia="zh-CN"/>
        </w:rPr>
        <w:t>我</w:t>
      </w:r>
      <w:r>
        <w:rPr>
          <w:rFonts w:hint="eastAsia" w:ascii="仿宋_GB2312" w:hAnsi="仿宋_GB2312" w:eastAsia="仿宋_GB2312" w:cs="仿宋_GB2312"/>
          <w:color w:val="auto"/>
          <w:kern w:val="0"/>
          <w:sz w:val="32"/>
          <w:szCs w:val="32"/>
          <w:shd w:val="clear" w:color="auto" w:fill="FFFFFF"/>
          <w:lang w:val="zh-CN"/>
        </w:rPr>
        <w:t>部门（</w:t>
      </w:r>
      <w:r>
        <w:rPr>
          <w:rFonts w:hint="eastAsia" w:ascii="仿宋_GB2312" w:hAnsi="仿宋_GB2312" w:eastAsia="仿宋_GB2312" w:cs="仿宋_GB2312"/>
          <w:color w:val="auto"/>
          <w:kern w:val="0"/>
          <w:sz w:val="32"/>
          <w:szCs w:val="32"/>
          <w:shd w:val="clear" w:color="auto" w:fill="FFFFFF"/>
          <w:lang w:val="en-US" w:eastAsia="zh-CN"/>
        </w:rPr>
        <w:t>单位）</w:t>
      </w:r>
      <w:r>
        <w:rPr>
          <w:rFonts w:hint="eastAsia" w:ascii="仿宋_GB2312" w:hAnsi="仿宋_GB2312" w:eastAsia="仿宋_GB2312" w:cs="仿宋_GB2312"/>
          <w:color w:val="auto"/>
          <w:kern w:val="0"/>
          <w:sz w:val="32"/>
          <w:szCs w:val="32"/>
          <w:shd w:val="clear" w:color="auto" w:fill="FFFFFF"/>
          <w:lang w:val="zh-CN"/>
        </w:rPr>
        <w:t>整体支出绩效自评得分</w:t>
      </w:r>
      <w:r>
        <w:rPr>
          <w:rFonts w:hint="eastAsia" w:ascii="仿宋_GB2312" w:hAnsi="仿宋_GB2312" w:eastAsia="仿宋_GB2312" w:cs="仿宋_GB2312"/>
          <w:color w:val="auto"/>
          <w:kern w:val="0"/>
          <w:sz w:val="32"/>
          <w:szCs w:val="32"/>
          <w:shd w:val="clear" w:color="auto" w:fill="FFFFFF"/>
          <w:lang w:val="en-US" w:eastAsia="zh-CN"/>
        </w:rPr>
        <w:t>实际为88</w:t>
      </w:r>
      <w:r>
        <w:rPr>
          <w:rFonts w:hint="eastAsia" w:ascii="仿宋_GB2312" w:hAnsi="仿宋_GB2312" w:eastAsia="仿宋_GB2312" w:cs="仿宋_GB2312"/>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四、评价结论及建议</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（一）</w:t>
      </w:r>
      <w:r>
        <w:rPr>
          <w:rFonts w:hint="eastAsia" w:ascii="仿宋_GB2312" w:hAnsi="仿宋_GB2312" w:eastAsia="仿宋_GB2312" w:cs="仿宋_GB2312"/>
          <w:b/>
          <w:bCs/>
          <w:color w:val="auto"/>
          <w:kern w:val="0"/>
          <w:sz w:val="32"/>
          <w:szCs w:val="32"/>
          <w:shd w:val="clear" w:color="auto" w:fill="FFFFFF"/>
          <w:lang w:val="zh-CN"/>
        </w:rPr>
        <w:t>评价结论</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按照202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年度</w:t>
      </w: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lang w:val="zh-CN"/>
        </w:rPr>
        <w:t>级部门整体支出绩效评价指标体系，绩效评价总分</w:t>
      </w:r>
      <w:r>
        <w:rPr>
          <w:rFonts w:hint="eastAsia" w:ascii="仿宋_GB2312" w:hAnsi="仿宋_GB2312" w:eastAsia="仿宋_GB2312" w:cs="仿宋_GB2312"/>
          <w:color w:val="auto"/>
          <w:kern w:val="0"/>
          <w:sz w:val="32"/>
          <w:szCs w:val="32"/>
          <w:shd w:val="clear" w:color="auto" w:fill="FFFFFF"/>
          <w:lang w:val="en-US" w:eastAsia="zh-CN"/>
        </w:rPr>
        <w:t>90</w:t>
      </w:r>
      <w:r>
        <w:rPr>
          <w:rFonts w:hint="eastAsia" w:ascii="仿宋_GB2312" w:hAnsi="仿宋_GB2312" w:eastAsia="仿宋_GB2312" w:cs="仿宋_GB2312"/>
          <w:color w:val="auto"/>
          <w:kern w:val="0"/>
          <w:sz w:val="32"/>
          <w:szCs w:val="32"/>
          <w:shd w:val="clear" w:color="auto" w:fill="FFFFFF"/>
          <w:lang w:val="zh-CN"/>
        </w:rPr>
        <w:t>分，我</w:t>
      </w:r>
      <w:r>
        <w:rPr>
          <w:rFonts w:hint="eastAsia" w:ascii="仿宋_GB2312" w:hAnsi="仿宋_GB2312" w:eastAsia="仿宋_GB2312" w:cs="仿宋_GB2312"/>
          <w:color w:val="auto"/>
          <w:kern w:val="0"/>
          <w:sz w:val="32"/>
          <w:szCs w:val="32"/>
          <w:shd w:val="clear" w:color="auto" w:fill="FFFFFF"/>
          <w:lang w:val="en-US" w:eastAsia="zh-CN"/>
        </w:rPr>
        <w:t>单位</w:t>
      </w:r>
      <w:r>
        <w:rPr>
          <w:rFonts w:hint="eastAsia" w:ascii="仿宋_GB2312" w:hAnsi="仿宋_GB2312" w:eastAsia="仿宋_GB2312" w:cs="仿宋_GB2312"/>
          <w:color w:val="auto"/>
          <w:kern w:val="0"/>
          <w:sz w:val="32"/>
          <w:szCs w:val="32"/>
          <w:shd w:val="clear" w:color="auto" w:fill="FFFFFF"/>
          <w:lang w:val="zh-CN"/>
        </w:rPr>
        <w:t>得分</w:t>
      </w:r>
      <w:r>
        <w:rPr>
          <w:rFonts w:hint="eastAsia" w:ascii="仿宋_GB2312" w:hAnsi="仿宋_GB2312" w:eastAsia="仿宋_GB2312" w:cs="仿宋_GB2312"/>
          <w:color w:val="auto"/>
          <w:kern w:val="0"/>
          <w:sz w:val="32"/>
          <w:szCs w:val="32"/>
          <w:shd w:val="clear" w:color="auto" w:fill="FFFFFF"/>
          <w:lang w:val="en-US" w:eastAsia="zh-CN"/>
        </w:rPr>
        <w:t>88</w:t>
      </w:r>
      <w:r>
        <w:rPr>
          <w:rFonts w:hint="eastAsia" w:ascii="仿宋_GB2312" w:hAnsi="仿宋_GB2312" w:eastAsia="仿宋_GB2312" w:cs="仿宋_GB2312"/>
          <w:color w:val="auto"/>
          <w:kern w:val="0"/>
          <w:sz w:val="32"/>
          <w:szCs w:val="32"/>
          <w:shd w:val="clear" w:color="auto" w:fill="FFFFFF"/>
          <w:lang w:val="zh-CN"/>
        </w:rPr>
        <w:t>分（</w:t>
      </w:r>
      <w:r>
        <w:rPr>
          <w:rFonts w:hint="eastAsia" w:ascii="仿宋_GB2312" w:hAnsi="仿宋_GB2312" w:eastAsia="仿宋_GB2312" w:cs="仿宋_GB2312"/>
          <w:color w:val="auto"/>
          <w:kern w:val="0"/>
          <w:sz w:val="32"/>
          <w:szCs w:val="32"/>
          <w:shd w:val="clear" w:color="auto" w:fill="FFFFFF"/>
          <w:lang w:val="en-US" w:eastAsia="zh-CN"/>
        </w:rPr>
        <w:t>详见《2023年整体支出绩效评价指标体系表》）。</w:t>
      </w:r>
      <w:r>
        <w:rPr>
          <w:rFonts w:hint="eastAsia" w:ascii="仿宋_GB2312" w:hAnsi="仿宋_GB2312" w:eastAsia="仿宋_GB2312" w:cs="仿宋_GB2312"/>
          <w:color w:val="auto"/>
          <w:kern w:val="0"/>
          <w:sz w:val="32"/>
          <w:szCs w:val="32"/>
          <w:shd w:val="clear" w:color="auto" w:fill="FFFFFF"/>
          <w:lang w:val="zh-CN"/>
        </w:rPr>
        <w:t>基本完成了年度预算绩效管理目标，扣分项主要</w:t>
      </w:r>
      <w:r>
        <w:rPr>
          <w:rFonts w:hint="eastAsia" w:ascii="仿宋_GB2312" w:hAnsi="仿宋_GB2312" w:eastAsia="仿宋_GB2312" w:cs="仿宋_GB2312"/>
          <w:color w:val="auto"/>
          <w:kern w:val="0"/>
          <w:sz w:val="32"/>
          <w:szCs w:val="32"/>
          <w:highlight w:val="none"/>
          <w:shd w:val="clear" w:color="auto" w:fill="FFFFFF"/>
          <w:lang w:val="zh-CN"/>
        </w:rPr>
        <w:t>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（二）</w:t>
      </w:r>
      <w:r>
        <w:rPr>
          <w:rFonts w:hint="eastAsia" w:ascii="仿宋_GB2312" w:hAnsi="仿宋_GB2312" w:eastAsia="仿宋_GB2312" w:cs="仿宋_GB2312"/>
          <w:b/>
          <w:bCs/>
          <w:color w:val="auto"/>
          <w:kern w:val="0"/>
          <w:sz w:val="32"/>
          <w:szCs w:val="32"/>
          <w:highlight w:val="none"/>
          <w:shd w:val="clear" w:color="auto" w:fill="FFFFFF"/>
          <w:lang w:val="zh-CN"/>
        </w:rPr>
        <w:t>存在问题</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一是绩效管理意识还有待加强。</w:t>
      </w:r>
      <w:r>
        <w:rPr>
          <w:rFonts w:hint="eastAsia" w:ascii="仿宋_GB2312" w:hAnsi="仿宋_GB2312" w:eastAsia="仿宋_GB2312" w:cs="仿宋_GB2312"/>
          <w:b/>
          <w:bCs/>
          <w:color w:val="auto"/>
          <w:kern w:val="0"/>
          <w:sz w:val="32"/>
          <w:szCs w:val="32"/>
          <w:highlight w:val="none"/>
          <w:shd w:val="clear" w:color="auto" w:fill="FFFFFF"/>
          <w:lang w:val="zh-CN"/>
        </w:rPr>
        <w:t xml:space="preserve"> </w:t>
      </w:r>
      <w:r>
        <w:rPr>
          <w:rFonts w:hint="eastAsia" w:ascii="仿宋_GB2312" w:hAnsi="仿宋_GB2312" w:eastAsia="仿宋_GB2312" w:cs="仿宋_GB2312"/>
          <w:color w:val="auto"/>
          <w:kern w:val="0"/>
          <w:sz w:val="32"/>
          <w:szCs w:val="32"/>
          <w:highlight w:val="none"/>
          <w:shd w:val="clear" w:color="auto" w:fill="FFFFFF"/>
          <w:lang w:val="zh-CN"/>
        </w:rPr>
        <w:t>绩效管理目标细化量化方式较为单一，前期对预算项目定位、功能、实施内容梳理不够深入，项目资金绩效目标设置不够合理。</w:t>
      </w:r>
      <w:r>
        <w:rPr>
          <w:rFonts w:hint="eastAsia" w:ascii="仿宋_GB2312" w:hAnsi="仿宋_GB2312" w:eastAsia="仿宋_GB2312" w:cs="仿宋_GB2312"/>
          <w:b w:val="0"/>
          <w:bCs w:val="0"/>
          <w:color w:val="auto"/>
          <w:kern w:val="0"/>
          <w:sz w:val="32"/>
          <w:szCs w:val="32"/>
          <w:highlight w:val="none"/>
          <w:shd w:val="clear" w:color="auto" w:fill="FFFFFF"/>
          <w:lang w:val="zh-CN"/>
        </w:rPr>
        <w:t>二是预算执行力度不强，预算执行进度偏慢。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三是预算执行进度仍需提高。</w:t>
      </w:r>
      <w:r>
        <w:rPr>
          <w:rFonts w:hint="eastAsia" w:ascii="仿宋_GB2312" w:hAnsi="仿宋_GB2312" w:eastAsia="仿宋_GB2312" w:cs="仿宋_GB2312"/>
          <w:color w:val="auto"/>
          <w:kern w:val="0"/>
          <w:sz w:val="32"/>
          <w:szCs w:val="32"/>
          <w:highlight w:val="none"/>
          <w:shd w:val="clear" w:color="auto" w:fill="FFFFFF"/>
          <w:lang w:val="en-US" w:eastAsia="zh-CN"/>
        </w:rPr>
        <w:t>在 2022年采取了一系列加快预算执行进度的措施，预算执行情况有所改善，但由于疫情影响设备采购和政府采购程序较繁杂等原因，预算实际执行进度距预算执行目标进度的要求还是有一定距离，预算执行还需要提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四是部分预算项目绩效目标 编制不完善。</w:t>
      </w:r>
      <w:r>
        <w:rPr>
          <w:rFonts w:hint="eastAsia" w:ascii="仿宋_GB2312" w:hAnsi="仿宋_GB2312" w:eastAsia="仿宋_GB2312" w:cs="仿宋_GB2312"/>
          <w:color w:val="auto"/>
          <w:kern w:val="0"/>
          <w:sz w:val="32"/>
          <w:szCs w:val="32"/>
          <w:highlight w:val="none"/>
          <w:shd w:val="clear" w:color="auto" w:fill="FFFFFF"/>
          <w:lang w:val="en-US" w:eastAsia="zh-CN"/>
        </w:rPr>
        <w:t>在编制绩效目标时，未根据自身项目情况考虑周到，造成该项目绩效目标完成存在一定困难。</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五是个别项目未及时纳入绩效运行监控。</w:t>
      </w:r>
      <w:r>
        <w:rPr>
          <w:rFonts w:hint="eastAsia" w:ascii="仿宋_GB2312" w:hAnsi="仿宋_GB2312" w:eastAsia="仿宋_GB2312" w:cs="仿宋_GB2312"/>
          <w:color w:val="auto"/>
          <w:kern w:val="0"/>
          <w:sz w:val="32"/>
          <w:szCs w:val="32"/>
          <w:highlight w:val="none"/>
          <w:shd w:val="clear" w:color="auto" w:fill="FFFFFF"/>
          <w:lang w:val="en-US" w:eastAsia="zh-CN"/>
        </w:rPr>
        <w:t>由于与财政部门衔接不到位不紧密，预算绩效管理机制还不够健全，导致部分年中追加项目未及时纳入预算绩效运行监控。</w:t>
      </w:r>
    </w:p>
    <w:p>
      <w:pPr>
        <w:keepNext w:val="0"/>
        <w:pageBreakBefore w:val="0"/>
        <w:widowControl/>
        <w:kinsoku/>
        <w:overflowPunct/>
        <w:topLinePunct w:val="0"/>
        <w:autoSpaceDE/>
        <w:autoSpaceDN/>
        <w:bidi w:val="0"/>
        <w:adjustRightInd w:val="0"/>
        <w:snapToGrid w:val="0"/>
        <w:spacing w:line="578" w:lineRule="exact"/>
        <w:ind w:left="0" w:leftChars="0" w:right="0" w:firstLine="642" w:firstLineChars="200"/>
        <w:contextualSpacing/>
        <w:jc w:val="both"/>
        <w:textAlignment w:val="auto"/>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改进措施</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年，我</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将采取以下措施，提升预算绩效工作水平。</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14:textFill>
            <w14:solidFill>
              <w14:schemeClr w14:val="tx1"/>
            </w14:solidFill>
          </w14:textFill>
        </w:rPr>
        <w:t>一是提高预算绩效管理工作意识，</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按照预算绩效管理工作方案要求，明确职责分工，压实主体责任，强化各具体项目承办.</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股</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w:t>
      </w:r>
      <w:r>
        <w:rPr>
          <w:rFonts w:hint="eastAsia" w:ascii="仿宋_GB2312" w:hAnsi="仿宋_GB2312" w:eastAsia="仿宋_GB2312" w:cs="仿宋_GB2312"/>
          <w:b/>
          <w:bCs/>
          <w:color w:val="000000" w:themeColor="text1"/>
          <w:kern w:val="0"/>
          <w:sz w:val="32"/>
          <w:szCs w:val="32"/>
          <w:highlight w:val="none"/>
          <w:shd w:val="clear" w:color="auto" w:fill="FFFFFF"/>
          <w:lang w:val="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14:textFill>
            <w14:solidFill>
              <w14:schemeClr w14:val="tx1"/>
            </w14:solidFill>
          </w14:textFill>
        </w:rPr>
        <w:t>二是继续加强预算统筹调控，</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把握工作重点，加强沟通协调，按照“统筹兼顾、突出重点、厉行节约、讲求效益”的原则统筹预算，保障单位正常运转和履行各项职能开支需要，力争202</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年预算执行进度在202</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14:textFill>
            <w14:solidFill>
              <w14:schemeClr w14:val="tx1"/>
            </w14:solidFill>
          </w14:textFill>
        </w:rPr>
        <w:t>三是统筹安排政府采购项目，</w:t>
      </w:r>
      <w:r>
        <w:rPr>
          <w:rFonts w:hint="eastAsia" w:ascii="仿宋_GB2312" w:hAnsi="仿宋_GB2312" w:eastAsia="仿宋_GB2312" w:cs="仿宋_GB2312"/>
          <w:color w:val="000000" w:themeColor="text1"/>
          <w:kern w:val="0"/>
          <w:sz w:val="32"/>
          <w:szCs w:val="32"/>
          <w:highlight w:val="none"/>
          <w:shd w:val="clear" w:color="auto" w:fill="FFFFFF"/>
          <w:lang w:val="zh-CN"/>
          <w14:textFill>
            <w14:solidFill>
              <w14:schemeClr w14:val="tx1"/>
            </w14:solidFill>
          </w14:textFill>
        </w:rPr>
        <w:t>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p>
    <w:p>
      <w:pPr>
        <w:keepNext w:val="0"/>
        <w:pageBreakBefore w:val="0"/>
        <w:kinsoku/>
        <w:overflowPunct/>
        <w:topLinePunct w:val="0"/>
        <w:autoSpaceDE/>
        <w:autoSpaceDN/>
        <w:bidi w:val="0"/>
        <w:spacing w:line="578" w:lineRule="exact"/>
        <w:ind w:left="0" w:leftChars="0" w:right="0"/>
        <w:jc w:val="both"/>
        <w:textAlignment w:val="auto"/>
        <w:rPr>
          <w:rFonts w:hint="eastAsia" w:ascii="仿宋_GB2312" w:hAnsi="仿宋_GB2312" w:eastAsia="仿宋_GB2312" w:cs="仿宋_GB2312"/>
          <w:sz w:val="32"/>
          <w:szCs w:val="32"/>
          <w:lang w:val="en-US" w:eastAsia="zh-CN"/>
        </w:rPr>
      </w:pP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1.2022年特定目标类部门预算项目绩效目标自评（项目名称：融资担保服务费）</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2.达州市达川区农业信贷担保服务中心2023年整体支出绩效评价指标体系表</w:t>
      </w:r>
    </w:p>
    <w:p>
      <w:pPr>
        <w:keepNext w:val="0"/>
        <w:pageBreakBefore w:val="0"/>
        <w:kinsoku/>
        <w:overflowPunct/>
        <w:topLinePunct w:val="0"/>
        <w:autoSpaceDE/>
        <w:autoSpaceDN/>
        <w:bidi w:val="0"/>
        <w:spacing w:line="578" w:lineRule="exact"/>
        <w:ind w:left="0" w:leftChars="0" w:right="0"/>
        <w:jc w:val="both"/>
        <w:textAlignment w:val="auto"/>
        <w:rPr>
          <w:rFonts w:hint="default" w:ascii="Times New Roman" w:hAnsi="Times New Roman" w:eastAsia="方正仿宋_GBK" w:cs="Times New Roman"/>
          <w:sz w:val="32"/>
          <w:szCs w:val="32"/>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left="0" w:leftChars="0" w:right="0"/>
        <w:contextualSpacing/>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left="0" w:leftChars="0" w:right="0" w:firstLine="3840" w:firstLineChars="1200"/>
        <w:contextualSpacing/>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 xml:space="preserve">达州市达川区农业信贷担保服务中心 </w:t>
      </w:r>
    </w:p>
    <w:p>
      <w:pPr>
        <w:keepNext w:val="0"/>
        <w:pageBreakBefore w:val="0"/>
        <w:widowControl/>
        <w:kinsoku/>
        <w:wordWrap w:val="0"/>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b w:val="0"/>
          <w:bCs w:val="0"/>
          <w:color w:val="000000" w:themeColor="text1"/>
          <w:kern w:val="0"/>
          <w:szCs w:val="32"/>
          <w:shd w:val="clear" w:color="auto" w:fill="FFFFFF"/>
          <w:lang w:val="zh-CN"/>
          <w14:textFill>
            <w14:solidFill>
              <w14:schemeClr w14:val="tx1"/>
            </w14:solidFill>
          </w14:textFill>
        </w:rPr>
      </w:pPr>
      <w:r>
        <w:rPr>
          <w:rFonts w:hint="eastAsia" w:ascii="仿宋_GB2312" w:hAnsi="仿宋_GB2312" w:eastAsia="仿宋_GB2312" w:cs="仿宋_GB2312"/>
          <w:b w:val="0"/>
          <w:bCs w:val="0"/>
          <w:color w:val="auto"/>
          <w:kern w:val="0"/>
          <w:sz w:val="32"/>
          <w:szCs w:val="32"/>
          <w:shd w:val="clear" w:color="auto" w:fill="FFFFFF"/>
          <w:lang w:val="en-US" w:eastAsia="zh-CN"/>
        </w:rPr>
        <w:t xml:space="preserve">                            2023年4月 6 日 </w:t>
      </w:r>
      <w:r>
        <w:rPr>
          <w:rFonts w:hint="eastAsia" w:ascii="仿宋_GB2312" w:hAnsi="仿宋_GB2312" w:eastAsia="仿宋_GB2312" w:cs="仿宋_GB2312"/>
          <w:b w:val="0"/>
          <w:bCs w:val="0"/>
          <w:color w:val="auto"/>
          <w:kern w:val="0"/>
          <w:szCs w:val="32"/>
          <w:shd w:val="clear" w:color="auto" w:fill="FFFFFF"/>
          <w:lang w:val="en-US" w:eastAsia="zh-CN"/>
        </w:rPr>
        <w:t xml:space="preserve"> </w:t>
      </w:r>
      <w:r>
        <w:rPr>
          <w:rFonts w:hint="eastAsia" w:ascii="仿宋_GB2312" w:hAnsi="仿宋_GB2312" w:eastAsia="仿宋_GB2312" w:cs="仿宋_GB2312"/>
          <w:color w:val="auto"/>
          <w:kern w:val="0"/>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tbl>
      <w:tblPr>
        <w:tblStyle w:val="6"/>
        <w:tblpPr w:leftFromText="180" w:rightFromText="180" w:vertAnchor="text" w:horzAnchor="page" w:tblpX="1168" w:tblpY="221"/>
        <w:tblOverlap w:val="never"/>
        <w:tblW w:w="51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7"/>
        <w:gridCol w:w="1462"/>
        <w:gridCol w:w="1549"/>
        <w:gridCol w:w="1792"/>
        <w:gridCol w:w="1604"/>
        <w:gridCol w:w="1842"/>
        <w:gridCol w:w="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840" w:type="pct"/>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（项目名称：融资担保服务费）</w:t>
            </w:r>
          </w:p>
        </w:tc>
        <w:tc>
          <w:tcPr>
            <w:tcW w:w="159"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 w:type="pct"/>
          <w:trHeight w:val="857"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实施单位</w:t>
            </w:r>
          </w:p>
        </w:tc>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达州市达川区农业信贷担保服务中心</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187-达州市达川区农业信贷担保服务中心本级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485" w:hRule="atLeast"/>
        </w:trPr>
        <w:tc>
          <w:tcPr>
            <w:tcW w:w="13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670" w:hRule="atLeast"/>
        </w:trPr>
        <w:tc>
          <w:tcPr>
            <w:tcW w:w="13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财政拨款</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财政拨款</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535" w:hRule="atLeast"/>
        </w:trPr>
        <w:tc>
          <w:tcPr>
            <w:tcW w:w="13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其他资金</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其他资金</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492"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完成情况</w:t>
            </w:r>
          </w:p>
        </w:tc>
        <w:tc>
          <w:tcPr>
            <w:tcW w:w="24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预期目标</w:t>
            </w:r>
          </w:p>
        </w:tc>
        <w:tc>
          <w:tcPr>
            <w:tcW w:w="17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1329"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2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_GB2312" w:hAnsi="仿宋_GB2312" w:eastAsia="仿宋_GB2312" w:cs="仿宋_GB2312"/>
                <w:i w:val="0"/>
                <w:color w:val="000000" w:themeColor="text1"/>
                <w:sz w:val="24"/>
                <w:szCs w:val="24"/>
                <w:highlight w:val="yellow"/>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2022年预计使用财政资金30万元，用于年内开展重点融资尽调监管工作，全年工作差旅人次不少于80次，出具重点尽职调查和风险评估报告不少于30份，全面保障融资担保工作的正常开展。</w:t>
            </w:r>
          </w:p>
        </w:tc>
        <w:tc>
          <w:tcPr>
            <w:tcW w:w="177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_GB2312" w:hAnsi="仿宋_GB2312" w:eastAsia="仿宋_GB2312" w:cs="仿宋_GB2312"/>
                <w:i w:val="0"/>
                <w:color w:val="000000" w:themeColor="text1"/>
                <w:sz w:val="24"/>
                <w:szCs w:val="24"/>
                <w:highlight w:val="yellow"/>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2022年预计使用财政资30万元，用于年内开展重点融资尽调监管工作，全年下乡次数80余次，出具报告30份，全面保障融资担保工作的正常开展。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768" w:hRule="atLeast"/>
        </w:trPr>
        <w:tc>
          <w:tcPr>
            <w:tcW w:w="58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年度绩效指标完成情况</w:t>
            </w:r>
          </w:p>
        </w:tc>
        <w:tc>
          <w:tcPr>
            <w:tcW w:w="75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预期指标值</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455"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尽调下乡次数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80次</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80次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670"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质量指标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完成调查报告质量</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=100%</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480"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时效指标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z w:val="24"/>
                <w:szCs w:val="24"/>
              </w:rPr>
              <w:t>年度目标任务完成率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=100%</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552"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both"/>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成本指标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控制担保项目工作经费</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both"/>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=30万元</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1400"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社会效益  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为达川区从事粮食生产和农业新型经营主体等提供融资发展和政策性担保做好了服务。</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好</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333"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可持续影响指标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单位各项工作长效机制健全性</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优</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318" w:hRule="atLeast"/>
        </w:trPr>
        <w:tc>
          <w:tcPr>
            <w:tcW w:w="58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贷款对象的满意度</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t>大于</w:t>
            </w: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95%</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 w:type="pct"/>
          <w:trHeight w:val="592" w:hRule="atLeast"/>
        </w:trPr>
        <w:tc>
          <w:tcPr>
            <w:tcW w:w="582"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bl>
    <w:p>
      <w:pPr>
        <w:rPr>
          <w:rFonts w:hint="eastAsia"/>
          <w:highlight w:val="red"/>
          <w:lang w:val="en-US" w:eastAsia="zh-CN"/>
        </w:rPr>
        <w:sectPr>
          <w:headerReference r:id="rId3" w:type="default"/>
          <w:footerReference r:id="rId4" w:type="default"/>
          <w:pgSz w:w="11906" w:h="16838"/>
          <w:pgMar w:top="907" w:right="1361" w:bottom="851" w:left="1361" w:header="851" w:footer="992" w:gutter="0"/>
          <w:pgNumType w:fmt="numberInDash" w:start="1"/>
          <w:cols w:space="425" w:num="1"/>
          <w:docGrid w:type="lines" w:linePitch="435" w:charSpace="0"/>
        </w:sectPr>
      </w:pPr>
    </w:p>
    <w:tbl>
      <w:tblPr>
        <w:tblStyle w:val="6"/>
        <w:tblW w:w="15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35"/>
        <w:gridCol w:w="735"/>
        <w:gridCol w:w="599"/>
        <w:gridCol w:w="675"/>
        <w:gridCol w:w="1325"/>
        <w:gridCol w:w="7163"/>
        <w:gridCol w:w="737"/>
        <w:gridCol w:w="625"/>
        <w:gridCol w:w="625"/>
        <w:gridCol w:w="638"/>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附件2</w:t>
            </w:r>
          </w:p>
        </w:tc>
        <w:tc>
          <w:tcPr>
            <w:tcW w:w="7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1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189"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达川区农业信贷担保服务中心2023年整体支出绩效评价指标体系（适用于无专项预算项目的部门、单位）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绩效指标</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指标分值</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716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计分标准</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评价方式</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评价属性</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6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整体评价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样本评价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定性评价</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定量评价</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得分合计</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1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部门预算项目绩效管理（70分）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目标管理（30分）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目标制定</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评价部门绩效目标是否要素完整、细化量化并集体决策。</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1.绩效目标编制要素完整的，得5分，否则酌情扣分。   2.绩效指标细化量化的，得5分，否则酌情扣分。   3.评价部门绩效目标纳入部门党组（委）会（办公会）集体决策范围的得5分，否则不得分。   4.  有项目绩效目标的部门（单位），根据项目绩效目标编制质量打分，无项目绩效目标的部门，根据部门整体支出绩效目标打分。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目标实现</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评价部门绩效目标实际实现程度与预期目标的偏离度。</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动态调整（20分）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支出控制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部门公用经费及非定额公用支出控制情况。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计算部门日常公用经费、项目支出中“办公费、印刷费、水费、电费、物业管理费”等科目年初预算数与决算数偏差程度。                                                            预决算偏差程度在10%以内的，得5分。偏差度在10%-20%之间的，得2分，偏差度超过20%的，不得分。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及时处置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评价部门开展绩效运行监控后，将绩效监控结果应用到预算调整的情况。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执行进度</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评价部门在6、9、11月的预算执行情况。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部门预算执行进度在6、9、11月应达到序时进度的80%、90%、</w:t>
            </w:r>
            <w:r>
              <w:rPr>
                <w:rFonts w:hint="eastAsia" w:ascii="宋体" w:hAnsi="宋体" w:eastAsia="宋体" w:cs="宋体"/>
                <w:i w:val="0"/>
                <w:iCs w:val="0"/>
                <w:color w:val="FF0000"/>
                <w:kern w:val="0"/>
                <w:sz w:val="24"/>
                <w:szCs w:val="24"/>
                <w:u w:val="none"/>
                <w:lang w:val="en-US" w:eastAsia="zh-CN" w:bidi="ar"/>
              </w:rPr>
              <w:t>95</w:t>
            </w:r>
            <w:r>
              <w:rPr>
                <w:rFonts w:hint="eastAsia" w:ascii="宋体" w:hAnsi="宋体" w:eastAsia="宋体" w:cs="宋体"/>
                <w:i w:val="0"/>
                <w:iCs w:val="0"/>
                <w:color w:val="000000"/>
                <w:kern w:val="0"/>
                <w:sz w:val="24"/>
                <w:szCs w:val="24"/>
                <w:u w:val="none"/>
                <w:lang w:val="en-US" w:eastAsia="zh-CN" w:bidi="ar"/>
              </w:rPr>
              <w:t xml:space="preserve">%，即实际支出进度分别达到40%、67.5%、82.5%。                                                     6、9、11月部门预算执行进度达到量化指标的分别得1、2、2分，未达到目标进度的按其实际进度占目标进度的比重计算得分。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完成结果（20分）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预算完成</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评价部门预算项目年终预算执行情况。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部门预算项目12月预算执行进度达到100%的，得10分，未达100%的，按照实际进度量化计算得分。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资金结余率</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评价部门预算项目年终资金结余情况。                 </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部门预算项目资金结余率小于0.1的项目数/部门预算项目总数*5。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违规记录</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根据审计监督、财政检查等结果反映部门上一年度部门预算管理是否合规。</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依据评价年度审计监督、财政检查结果，出现部门预算管理方面违纪违规问题的，每个问题扣0.5分，直至扣完。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绩效结果应用（20分）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内部应用（6分）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预算挂钩</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部门内部绩效结果与预算挂钩情况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将内设机构和下属单位绩效自评纳入考核体系，建立对内设机构和下属单位预算与绩效挂钩机制的，得6分，否则酌情扣分。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信息公开（4分)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自评公开</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评价部门是否按要求将部门整体绩效自评情况和自行组织的评价情况向社会公开。</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按要求将相关绩效信息随同决算公开的，得4分，否则不得分。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整改反馈（10分）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问题整改</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评价部门根据绩效管理结果整改问题、完善政策、改进管理的情况。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针对绩效管理过程中（包括绩效目标核查、绩效监控核查和重点绩效评价）提出的问题进行整改，得5分，否则酌情扣分。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应用反馈</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评价部门按要求及时向财政部门反馈结果应用情况。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部门在规定时间内向财政部门反馈应用绩效结果报告的，得5分，否则不得分。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自评质量（10分）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自评质量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自评质量</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评价部门整体支出自评准确率。</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扣分项（10分）</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被评价单位配合评价工作情况。</w:t>
            </w:r>
          </w:p>
        </w:tc>
        <w:tc>
          <w:tcPr>
            <w:tcW w:w="7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rPr>
          <w:rFonts w:hint="eastAsia"/>
          <w:sz w:val="18"/>
          <w:szCs w:val="18"/>
          <w:lang w:val="en-US" w:eastAsia="zh-CN"/>
        </w:rPr>
      </w:pPr>
    </w:p>
    <w:p>
      <w:pPr>
        <w:rPr>
          <w:rFonts w:hint="eastAsia"/>
          <w:sz w:val="18"/>
          <w:szCs w:val="18"/>
          <w:lang w:val="en-US" w:eastAsia="zh-CN"/>
        </w:rPr>
      </w:pPr>
    </w:p>
    <w:p>
      <w:pPr>
        <w:pStyle w:val="2"/>
        <w:rPr>
          <w:rFonts w:hint="eastAsia"/>
          <w:sz w:val="18"/>
          <w:szCs w:val="18"/>
          <w:lang w:val="en-US" w:eastAsia="zh-CN"/>
        </w:rPr>
      </w:pPr>
    </w:p>
    <w:p>
      <w:pPr>
        <w:rPr>
          <w:rFonts w:hint="eastAsia"/>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24DD0D9F"/>
    <w:rsid w:val="00294959"/>
    <w:rsid w:val="00360E24"/>
    <w:rsid w:val="00AB35C0"/>
    <w:rsid w:val="014852B3"/>
    <w:rsid w:val="016A347B"/>
    <w:rsid w:val="01B446F6"/>
    <w:rsid w:val="01EE7C08"/>
    <w:rsid w:val="01FA65AD"/>
    <w:rsid w:val="021071C3"/>
    <w:rsid w:val="02252CE5"/>
    <w:rsid w:val="024C5E48"/>
    <w:rsid w:val="024E4B4B"/>
    <w:rsid w:val="029307AF"/>
    <w:rsid w:val="02A71165"/>
    <w:rsid w:val="02C60B85"/>
    <w:rsid w:val="032F04D8"/>
    <w:rsid w:val="032F2286"/>
    <w:rsid w:val="03331431"/>
    <w:rsid w:val="0370464D"/>
    <w:rsid w:val="0381685A"/>
    <w:rsid w:val="0388408C"/>
    <w:rsid w:val="03922815"/>
    <w:rsid w:val="03EC63C9"/>
    <w:rsid w:val="04702B56"/>
    <w:rsid w:val="049F343C"/>
    <w:rsid w:val="04A42800"/>
    <w:rsid w:val="0526590B"/>
    <w:rsid w:val="05410997"/>
    <w:rsid w:val="054A15F9"/>
    <w:rsid w:val="05BB6053"/>
    <w:rsid w:val="06316315"/>
    <w:rsid w:val="06436049"/>
    <w:rsid w:val="06AB256C"/>
    <w:rsid w:val="0739256A"/>
    <w:rsid w:val="07463B51"/>
    <w:rsid w:val="075449B1"/>
    <w:rsid w:val="078B7CA7"/>
    <w:rsid w:val="07AB20F7"/>
    <w:rsid w:val="07B70A9C"/>
    <w:rsid w:val="07FB307F"/>
    <w:rsid w:val="083420ED"/>
    <w:rsid w:val="08856DEC"/>
    <w:rsid w:val="090917CB"/>
    <w:rsid w:val="09523172"/>
    <w:rsid w:val="09550FD0"/>
    <w:rsid w:val="097D1872"/>
    <w:rsid w:val="09886B94"/>
    <w:rsid w:val="09BF1E8A"/>
    <w:rsid w:val="09FC4E8C"/>
    <w:rsid w:val="0A4F0EA8"/>
    <w:rsid w:val="0A7669ED"/>
    <w:rsid w:val="0A8235E3"/>
    <w:rsid w:val="0A9D47E0"/>
    <w:rsid w:val="0ABD286D"/>
    <w:rsid w:val="0AD656DD"/>
    <w:rsid w:val="0B865355"/>
    <w:rsid w:val="0BBC0677"/>
    <w:rsid w:val="0C2506CA"/>
    <w:rsid w:val="0C5B40EC"/>
    <w:rsid w:val="0C6A07D3"/>
    <w:rsid w:val="0C7D0506"/>
    <w:rsid w:val="0C945850"/>
    <w:rsid w:val="0C994C14"/>
    <w:rsid w:val="0C9F66CF"/>
    <w:rsid w:val="0CB87790"/>
    <w:rsid w:val="0CB97065"/>
    <w:rsid w:val="0CC9374C"/>
    <w:rsid w:val="0CF54541"/>
    <w:rsid w:val="0D15043A"/>
    <w:rsid w:val="0D1A5D55"/>
    <w:rsid w:val="0D501777"/>
    <w:rsid w:val="0DAD6BC9"/>
    <w:rsid w:val="0E0013EF"/>
    <w:rsid w:val="0E295B82"/>
    <w:rsid w:val="0E8E60D1"/>
    <w:rsid w:val="0EF16F8A"/>
    <w:rsid w:val="0FC91C79"/>
    <w:rsid w:val="0FCC7C8E"/>
    <w:rsid w:val="10152804"/>
    <w:rsid w:val="10534452"/>
    <w:rsid w:val="10613C9B"/>
    <w:rsid w:val="10795489"/>
    <w:rsid w:val="10DC66E2"/>
    <w:rsid w:val="10F60887"/>
    <w:rsid w:val="112800FC"/>
    <w:rsid w:val="12222389"/>
    <w:rsid w:val="12323B41"/>
    <w:rsid w:val="12BE7183"/>
    <w:rsid w:val="132E255A"/>
    <w:rsid w:val="13906D71"/>
    <w:rsid w:val="139B5716"/>
    <w:rsid w:val="139B74C4"/>
    <w:rsid w:val="14373691"/>
    <w:rsid w:val="14726477"/>
    <w:rsid w:val="14E82BDD"/>
    <w:rsid w:val="14F21366"/>
    <w:rsid w:val="15145780"/>
    <w:rsid w:val="15431BC1"/>
    <w:rsid w:val="15897F1C"/>
    <w:rsid w:val="15E05662"/>
    <w:rsid w:val="15E769F0"/>
    <w:rsid w:val="161C2B3E"/>
    <w:rsid w:val="16351E52"/>
    <w:rsid w:val="166E331E"/>
    <w:rsid w:val="167338F0"/>
    <w:rsid w:val="1674297A"/>
    <w:rsid w:val="16803611"/>
    <w:rsid w:val="1686445B"/>
    <w:rsid w:val="16FE3FF2"/>
    <w:rsid w:val="17475054"/>
    <w:rsid w:val="17E51656"/>
    <w:rsid w:val="182932F0"/>
    <w:rsid w:val="184620F4"/>
    <w:rsid w:val="184C5231"/>
    <w:rsid w:val="18876269"/>
    <w:rsid w:val="189A41EE"/>
    <w:rsid w:val="18B52DD6"/>
    <w:rsid w:val="192A37C4"/>
    <w:rsid w:val="195B5ABF"/>
    <w:rsid w:val="196E0920"/>
    <w:rsid w:val="19921369"/>
    <w:rsid w:val="1998697F"/>
    <w:rsid w:val="19A4350C"/>
    <w:rsid w:val="19CC6629"/>
    <w:rsid w:val="19D674A8"/>
    <w:rsid w:val="19E5593D"/>
    <w:rsid w:val="1A5F2FF9"/>
    <w:rsid w:val="1AC63078"/>
    <w:rsid w:val="1B8F1FCF"/>
    <w:rsid w:val="1C054074"/>
    <w:rsid w:val="1C0D6670"/>
    <w:rsid w:val="1C381D54"/>
    <w:rsid w:val="1C3A1F70"/>
    <w:rsid w:val="1C556DAA"/>
    <w:rsid w:val="1C6E54EF"/>
    <w:rsid w:val="1CA218C3"/>
    <w:rsid w:val="1CC25AC1"/>
    <w:rsid w:val="1CDD0B4D"/>
    <w:rsid w:val="1CEF76AB"/>
    <w:rsid w:val="1D1F1166"/>
    <w:rsid w:val="1D4209B0"/>
    <w:rsid w:val="1D992CC6"/>
    <w:rsid w:val="1E0C793C"/>
    <w:rsid w:val="1E3369A2"/>
    <w:rsid w:val="1E38367B"/>
    <w:rsid w:val="1E5866DD"/>
    <w:rsid w:val="1EE461C3"/>
    <w:rsid w:val="1EE95587"/>
    <w:rsid w:val="1F1C595D"/>
    <w:rsid w:val="1F2B4E33"/>
    <w:rsid w:val="1F5122ED"/>
    <w:rsid w:val="1FA871F0"/>
    <w:rsid w:val="1FCF29CF"/>
    <w:rsid w:val="1FE424F1"/>
    <w:rsid w:val="20C0056A"/>
    <w:rsid w:val="20F84069"/>
    <w:rsid w:val="21486EDD"/>
    <w:rsid w:val="21661111"/>
    <w:rsid w:val="21894E00"/>
    <w:rsid w:val="21D40771"/>
    <w:rsid w:val="21D4251F"/>
    <w:rsid w:val="21D97B35"/>
    <w:rsid w:val="21FE2F99"/>
    <w:rsid w:val="221B014E"/>
    <w:rsid w:val="230961F8"/>
    <w:rsid w:val="2355768F"/>
    <w:rsid w:val="23571659"/>
    <w:rsid w:val="2369138D"/>
    <w:rsid w:val="24C26FA6"/>
    <w:rsid w:val="24DD0D9F"/>
    <w:rsid w:val="24F24B9D"/>
    <w:rsid w:val="263B7010"/>
    <w:rsid w:val="26B75F6B"/>
    <w:rsid w:val="26C8461C"/>
    <w:rsid w:val="275814FC"/>
    <w:rsid w:val="27A24E6D"/>
    <w:rsid w:val="27FC43E7"/>
    <w:rsid w:val="281D44F4"/>
    <w:rsid w:val="28EA2628"/>
    <w:rsid w:val="29060C7D"/>
    <w:rsid w:val="29672760"/>
    <w:rsid w:val="29A94291"/>
    <w:rsid w:val="29B449E4"/>
    <w:rsid w:val="29D64754"/>
    <w:rsid w:val="29FF2103"/>
    <w:rsid w:val="2A3873C3"/>
    <w:rsid w:val="2A5C1303"/>
    <w:rsid w:val="2A68414C"/>
    <w:rsid w:val="2A9F38E6"/>
    <w:rsid w:val="2B057BED"/>
    <w:rsid w:val="2B5C5333"/>
    <w:rsid w:val="2B645D7C"/>
    <w:rsid w:val="2BBD04C8"/>
    <w:rsid w:val="2C3818FC"/>
    <w:rsid w:val="2CF03F85"/>
    <w:rsid w:val="2D5D4ED0"/>
    <w:rsid w:val="2D8F7C42"/>
    <w:rsid w:val="2DBB1C5C"/>
    <w:rsid w:val="2DCE2518"/>
    <w:rsid w:val="2E2C36E3"/>
    <w:rsid w:val="2E332AA1"/>
    <w:rsid w:val="2E5D5E8C"/>
    <w:rsid w:val="2EB50DF2"/>
    <w:rsid w:val="2F191EB9"/>
    <w:rsid w:val="2F4A3E20"/>
    <w:rsid w:val="2FF63FA8"/>
    <w:rsid w:val="302038F4"/>
    <w:rsid w:val="3029612C"/>
    <w:rsid w:val="30DC4F4C"/>
    <w:rsid w:val="30FE1366"/>
    <w:rsid w:val="31603DCF"/>
    <w:rsid w:val="31796C3F"/>
    <w:rsid w:val="318555E4"/>
    <w:rsid w:val="3195334D"/>
    <w:rsid w:val="32672F3B"/>
    <w:rsid w:val="326860E2"/>
    <w:rsid w:val="32AB3878"/>
    <w:rsid w:val="32EB3B6C"/>
    <w:rsid w:val="337A0A4C"/>
    <w:rsid w:val="33D068BE"/>
    <w:rsid w:val="34081665"/>
    <w:rsid w:val="34155BEB"/>
    <w:rsid w:val="34CE54F3"/>
    <w:rsid w:val="34D0301A"/>
    <w:rsid w:val="34D643A8"/>
    <w:rsid w:val="34E95E89"/>
    <w:rsid w:val="34EC597A"/>
    <w:rsid w:val="34FD7B87"/>
    <w:rsid w:val="35722A94"/>
    <w:rsid w:val="357F67EE"/>
    <w:rsid w:val="35A16764"/>
    <w:rsid w:val="35B20971"/>
    <w:rsid w:val="36483084"/>
    <w:rsid w:val="364C66D0"/>
    <w:rsid w:val="36BC4CBE"/>
    <w:rsid w:val="371F9197"/>
    <w:rsid w:val="37BB7327"/>
    <w:rsid w:val="37E64902"/>
    <w:rsid w:val="380A6843"/>
    <w:rsid w:val="38343D42"/>
    <w:rsid w:val="384F06F9"/>
    <w:rsid w:val="386677F1"/>
    <w:rsid w:val="38B90269"/>
    <w:rsid w:val="38EF3C8A"/>
    <w:rsid w:val="396C52DB"/>
    <w:rsid w:val="399C171C"/>
    <w:rsid w:val="39C11183"/>
    <w:rsid w:val="39D4535A"/>
    <w:rsid w:val="3A10210A"/>
    <w:rsid w:val="3A726921"/>
    <w:rsid w:val="3A993EAE"/>
    <w:rsid w:val="3A9C399E"/>
    <w:rsid w:val="3AC058DE"/>
    <w:rsid w:val="3AFD443D"/>
    <w:rsid w:val="3B131EB2"/>
    <w:rsid w:val="3B293484"/>
    <w:rsid w:val="3B2A71FC"/>
    <w:rsid w:val="3B4E1B66"/>
    <w:rsid w:val="3B7F30A4"/>
    <w:rsid w:val="3B84690C"/>
    <w:rsid w:val="3B8C3A12"/>
    <w:rsid w:val="3C061B78"/>
    <w:rsid w:val="3C2854E9"/>
    <w:rsid w:val="3D2D6B2F"/>
    <w:rsid w:val="3D453E79"/>
    <w:rsid w:val="3D6764E5"/>
    <w:rsid w:val="3E06185A"/>
    <w:rsid w:val="3E416D36"/>
    <w:rsid w:val="3E815385"/>
    <w:rsid w:val="3F2325EB"/>
    <w:rsid w:val="3F253F62"/>
    <w:rsid w:val="3F7E18C4"/>
    <w:rsid w:val="3F8A64BB"/>
    <w:rsid w:val="3FB34286"/>
    <w:rsid w:val="3FC416A5"/>
    <w:rsid w:val="4041301D"/>
    <w:rsid w:val="406311E6"/>
    <w:rsid w:val="409969B6"/>
    <w:rsid w:val="40CF4E5C"/>
    <w:rsid w:val="40DB5721"/>
    <w:rsid w:val="412A3D2B"/>
    <w:rsid w:val="41574677"/>
    <w:rsid w:val="41870F04"/>
    <w:rsid w:val="41AF2209"/>
    <w:rsid w:val="41D57EC1"/>
    <w:rsid w:val="424C2442"/>
    <w:rsid w:val="42537038"/>
    <w:rsid w:val="436B446D"/>
    <w:rsid w:val="43912BFC"/>
    <w:rsid w:val="43B104BA"/>
    <w:rsid w:val="43D67F21"/>
    <w:rsid w:val="440F51E1"/>
    <w:rsid w:val="447B4624"/>
    <w:rsid w:val="4484172B"/>
    <w:rsid w:val="44953938"/>
    <w:rsid w:val="44BA339E"/>
    <w:rsid w:val="44CD30D2"/>
    <w:rsid w:val="45010FCD"/>
    <w:rsid w:val="4517259F"/>
    <w:rsid w:val="45575091"/>
    <w:rsid w:val="459221AF"/>
    <w:rsid w:val="459C2AA4"/>
    <w:rsid w:val="45BE0C6C"/>
    <w:rsid w:val="45E00BE3"/>
    <w:rsid w:val="45EC57D9"/>
    <w:rsid w:val="462A6302"/>
    <w:rsid w:val="463F7FFF"/>
    <w:rsid w:val="466D7A8A"/>
    <w:rsid w:val="469255C7"/>
    <w:rsid w:val="474D22A8"/>
    <w:rsid w:val="47C36A0E"/>
    <w:rsid w:val="47F34762"/>
    <w:rsid w:val="48142DC6"/>
    <w:rsid w:val="483B2A48"/>
    <w:rsid w:val="49830203"/>
    <w:rsid w:val="49AB59AC"/>
    <w:rsid w:val="4A9C0834"/>
    <w:rsid w:val="4AA5064D"/>
    <w:rsid w:val="4AE20F59"/>
    <w:rsid w:val="4AF3760A"/>
    <w:rsid w:val="4B337A07"/>
    <w:rsid w:val="4B7F735B"/>
    <w:rsid w:val="4B840262"/>
    <w:rsid w:val="4BC468B1"/>
    <w:rsid w:val="4BD016F9"/>
    <w:rsid w:val="4BDA60D4"/>
    <w:rsid w:val="4C2A0E0A"/>
    <w:rsid w:val="4C853456"/>
    <w:rsid w:val="4CB66B41"/>
    <w:rsid w:val="4CD77D18"/>
    <w:rsid w:val="4D0478AD"/>
    <w:rsid w:val="4DC4528E"/>
    <w:rsid w:val="4DD35A19"/>
    <w:rsid w:val="4DEF230B"/>
    <w:rsid w:val="4EC17C31"/>
    <w:rsid w:val="4EC2357B"/>
    <w:rsid w:val="4EE74447"/>
    <w:rsid w:val="4EF179BD"/>
    <w:rsid w:val="4F391364"/>
    <w:rsid w:val="4F412739"/>
    <w:rsid w:val="4F55619D"/>
    <w:rsid w:val="4F6C34E7"/>
    <w:rsid w:val="4F934F18"/>
    <w:rsid w:val="4FAF3CEF"/>
    <w:rsid w:val="50081462"/>
    <w:rsid w:val="501716A5"/>
    <w:rsid w:val="502D711A"/>
    <w:rsid w:val="50787D2F"/>
    <w:rsid w:val="50D37CC2"/>
    <w:rsid w:val="50F87728"/>
    <w:rsid w:val="51404C2B"/>
    <w:rsid w:val="515A3F3F"/>
    <w:rsid w:val="523F1387"/>
    <w:rsid w:val="52D675F5"/>
    <w:rsid w:val="53335EB1"/>
    <w:rsid w:val="534E7AD3"/>
    <w:rsid w:val="53560736"/>
    <w:rsid w:val="5394125E"/>
    <w:rsid w:val="53C953AC"/>
    <w:rsid w:val="54065CB8"/>
    <w:rsid w:val="545729B8"/>
    <w:rsid w:val="54B8015E"/>
    <w:rsid w:val="54CB6F02"/>
    <w:rsid w:val="551B39E5"/>
    <w:rsid w:val="552C5BF2"/>
    <w:rsid w:val="55DD6EED"/>
    <w:rsid w:val="55F83D27"/>
    <w:rsid w:val="56312D95"/>
    <w:rsid w:val="567710EF"/>
    <w:rsid w:val="5689497F"/>
    <w:rsid w:val="56FA587C"/>
    <w:rsid w:val="578D66F1"/>
    <w:rsid w:val="57C1696A"/>
    <w:rsid w:val="57D04F5B"/>
    <w:rsid w:val="57EC78BB"/>
    <w:rsid w:val="587C0C3F"/>
    <w:rsid w:val="59091DA7"/>
    <w:rsid w:val="593E4146"/>
    <w:rsid w:val="59B85CA7"/>
    <w:rsid w:val="5A166E71"/>
    <w:rsid w:val="5A7D0C9E"/>
    <w:rsid w:val="5AD3266C"/>
    <w:rsid w:val="5AD76600"/>
    <w:rsid w:val="5B37709F"/>
    <w:rsid w:val="5B650361"/>
    <w:rsid w:val="5BD40D92"/>
    <w:rsid w:val="5BE47E6C"/>
    <w:rsid w:val="5C0C4088"/>
    <w:rsid w:val="5C0D7E00"/>
    <w:rsid w:val="5CA16EC6"/>
    <w:rsid w:val="5D0134C1"/>
    <w:rsid w:val="5D2E44D2"/>
    <w:rsid w:val="5DAF5613"/>
    <w:rsid w:val="5E1611EE"/>
    <w:rsid w:val="5E363E56"/>
    <w:rsid w:val="5E437B09"/>
    <w:rsid w:val="5E653F23"/>
    <w:rsid w:val="5EA7453C"/>
    <w:rsid w:val="5EDB5F93"/>
    <w:rsid w:val="5F125E59"/>
    <w:rsid w:val="5F21609C"/>
    <w:rsid w:val="5F903222"/>
    <w:rsid w:val="602816AC"/>
    <w:rsid w:val="60600E46"/>
    <w:rsid w:val="60B60A66"/>
    <w:rsid w:val="60F17CF0"/>
    <w:rsid w:val="61306A6A"/>
    <w:rsid w:val="617701F5"/>
    <w:rsid w:val="619C5EAE"/>
    <w:rsid w:val="6243457B"/>
    <w:rsid w:val="624905D7"/>
    <w:rsid w:val="628726BA"/>
    <w:rsid w:val="62C70D09"/>
    <w:rsid w:val="632E0D88"/>
    <w:rsid w:val="63A83743"/>
    <w:rsid w:val="63BD3EBA"/>
    <w:rsid w:val="64395C36"/>
    <w:rsid w:val="645E569D"/>
    <w:rsid w:val="649B244D"/>
    <w:rsid w:val="64A34BA1"/>
    <w:rsid w:val="65424FBE"/>
    <w:rsid w:val="65BD63F3"/>
    <w:rsid w:val="660109D5"/>
    <w:rsid w:val="661B64FC"/>
    <w:rsid w:val="66254337"/>
    <w:rsid w:val="66CF4630"/>
    <w:rsid w:val="67346B89"/>
    <w:rsid w:val="67F62BB9"/>
    <w:rsid w:val="680B0997"/>
    <w:rsid w:val="68257787"/>
    <w:rsid w:val="683A1F7D"/>
    <w:rsid w:val="685079F2"/>
    <w:rsid w:val="689E69AF"/>
    <w:rsid w:val="692E2F4A"/>
    <w:rsid w:val="6937462F"/>
    <w:rsid w:val="69584DB0"/>
    <w:rsid w:val="69717C20"/>
    <w:rsid w:val="697A2F79"/>
    <w:rsid w:val="69894F6A"/>
    <w:rsid w:val="69D02B99"/>
    <w:rsid w:val="6A026225"/>
    <w:rsid w:val="6A844E0A"/>
    <w:rsid w:val="6A9811DC"/>
    <w:rsid w:val="6B39651C"/>
    <w:rsid w:val="6B5B2936"/>
    <w:rsid w:val="6B7834E8"/>
    <w:rsid w:val="6B7B74A0"/>
    <w:rsid w:val="6B8C2AEF"/>
    <w:rsid w:val="6C8D2FC3"/>
    <w:rsid w:val="6CC8224D"/>
    <w:rsid w:val="6CE64481"/>
    <w:rsid w:val="6CFF5543"/>
    <w:rsid w:val="6D140FEE"/>
    <w:rsid w:val="6D3B2A1F"/>
    <w:rsid w:val="6D5D1401"/>
    <w:rsid w:val="6D9C4926"/>
    <w:rsid w:val="6DBA5525"/>
    <w:rsid w:val="6E82467D"/>
    <w:rsid w:val="6F0B6421"/>
    <w:rsid w:val="6F174DC6"/>
    <w:rsid w:val="6F3F60CB"/>
    <w:rsid w:val="6F4A6F49"/>
    <w:rsid w:val="6F8F0E00"/>
    <w:rsid w:val="6F9B4E77"/>
    <w:rsid w:val="6FF33873"/>
    <w:rsid w:val="70001CFE"/>
    <w:rsid w:val="70457711"/>
    <w:rsid w:val="70D171F6"/>
    <w:rsid w:val="71494FDF"/>
    <w:rsid w:val="71812713"/>
    <w:rsid w:val="71E607A7"/>
    <w:rsid w:val="723E4C29"/>
    <w:rsid w:val="728564EA"/>
    <w:rsid w:val="72E74AAF"/>
    <w:rsid w:val="73041B05"/>
    <w:rsid w:val="73272EE4"/>
    <w:rsid w:val="73610D05"/>
    <w:rsid w:val="73685F85"/>
    <w:rsid w:val="73BB6668"/>
    <w:rsid w:val="73E9130F"/>
    <w:rsid w:val="74082F2F"/>
    <w:rsid w:val="747A27E3"/>
    <w:rsid w:val="752D5343"/>
    <w:rsid w:val="75B96B45"/>
    <w:rsid w:val="769B62DC"/>
    <w:rsid w:val="775070C7"/>
    <w:rsid w:val="77EA25B1"/>
    <w:rsid w:val="78112CFA"/>
    <w:rsid w:val="78454752"/>
    <w:rsid w:val="786D1EFA"/>
    <w:rsid w:val="78757A9E"/>
    <w:rsid w:val="78CA2EA9"/>
    <w:rsid w:val="78EA354B"/>
    <w:rsid w:val="78F32400"/>
    <w:rsid w:val="790243F1"/>
    <w:rsid w:val="791E07A5"/>
    <w:rsid w:val="79742119"/>
    <w:rsid w:val="79FF6B82"/>
    <w:rsid w:val="7A2B5BC9"/>
    <w:rsid w:val="7AA02113"/>
    <w:rsid w:val="7AAA2F92"/>
    <w:rsid w:val="7AF4420D"/>
    <w:rsid w:val="7B3F192C"/>
    <w:rsid w:val="7BAE6AB2"/>
    <w:rsid w:val="7C2B0102"/>
    <w:rsid w:val="7C39281F"/>
    <w:rsid w:val="7C6177B0"/>
    <w:rsid w:val="7C914409"/>
    <w:rsid w:val="7C9B5288"/>
    <w:rsid w:val="7CDB7267"/>
    <w:rsid w:val="7D1666BD"/>
    <w:rsid w:val="7DBD2FDC"/>
    <w:rsid w:val="7DC26844"/>
    <w:rsid w:val="7DCB56F9"/>
    <w:rsid w:val="7DD6409E"/>
    <w:rsid w:val="7DEF0220"/>
    <w:rsid w:val="7E421FD9"/>
    <w:rsid w:val="7E5971A9"/>
    <w:rsid w:val="7EB443DF"/>
    <w:rsid w:val="7EDB7BBE"/>
    <w:rsid w:val="7F2D5F40"/>
    <w:rsid w:val="7F3E639F"/>
    <w:rsid w:val="7F5D6825"/>
    <w:rsid w:val="7F601E71"/>
    <w:rsid w:val="7F731F22"/>
    <w:rsid w:val="7FC20D7E"/>
    <w:rsid w:val="7FC83E64"/>
    <w:rsid w:val="7FFA0518"/>
    <w:rsid w:val="7FFF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nhideWhenUsed/>
    <w:qFormat/>
    <w:uiPriority w:val="99"/>
    <w:pPr>
      <w:widowControl/>
      <w:jc w:val="left"/>
    </w:pPr>
    <w:rPr>
      <w:rFonts w:eastAsia="宋体" w:cs="宋体"/>
      <w:kern w:val="0"/>
      <w:sz w:val="24"/>
      <w:szCs w:val="24"/>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7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4991</Words>
  <Characters>5307</Characters>
  <Lines>0</Lines>
  <Paragraphs>0</Paragraphs>
  <TotalTime>29</TotalTime>
  <ScaleCrop>false</ScaleCrop>
  <LinksUpToDate>false</LinksUpToDate>
  <CharactersWithSpaces>5757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2023-03-17T15:44:00Z</dcterms:created>
  <dc:creator>WPS_1676363659</dc:creator>
  <cp:lastModifiedBy>user</cp:lastModifiedBy>
  <cp:lastPrinted>2023-03-28T09:45:00Z</cp:lastPrinted>
  <dcterms:modified xsi:type="dcterms:W3CDTF">2023-04-23T08:39:07Z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E572D103FED848B58EBD38F387E1814D_13</vt:lpwstr>
  </property>
</Properties>
</file>