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760" w:hanging="1760" w:hangingChars="400"/>
        <w:jc w:val="left"/>
        <w:outlineLvl w:val="0"/>
        <w:rPr>
          <w:rFonts w:ascii="仿宋" w:hAnsi="仿宋" w:eastAsia="仿宋"/>
          <w:color w:val="000000"/>
          <w:sz w:val="24"/>
        </w:rPr>
      </w:pPr>
      <w:bookmarkStart w:id="0" w:name="_Toc15306267"/>
      <w:bookmarkStart w:id="80" w:name="_GoBack"/>
      <w:bookmarkEnd w:id="80"/>
      <w:r>
        <w:rPr>
          <w:rFonts w:hint="eastAsia" w:ascii="黑体" w:hAnsi="黑体" w:eastAsia="黑体" w:cs="黑体"/>
          <w:color w:val="000000"/>
          <w:sz w:val="44"/>
          <w:szCs w:val="44"/>
          <w:lang w:val="en-US" w:eastAsia="zh-CN"/>
        </w:rPr>
        <w:t xml:space="preserve">       达州市达川区医疗保险管理局       2018年部门决算编制说明</w:t>
      </w:r>
      <w:bookmarkEnd w:id="0"/>
    </w:p>
    <w:p>
      <w:pPr>
        <w:widowControl/>
        <w:ind w:firstLine="1890" w:firstLineChars="900"/>
        <w:jc w:val="left"/>
        <w:rPr>
          <w:rFonts w:hint="eastAsia" w:ascii="黑体" w:hAnsi="黑体" w:eastAsia="黑体"/>
          <w:b w:val="0"/>
        </w:rPr>
      </w:pPr>
      <w:bookmarkStart w:id="1" w:name="_Toc15396599"/>
      <w:bookmarkStart w:id="2" w:name="_Toc15377196"/>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17</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lang w:val="en-US" w:eastAsia="zh-CN"/>
        </w:rPr>
        <w:t>3</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4</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r>
        <w:rPr>
          <w:rFonts w:hint="eastAsia" w:ascii="仿宋" w:hAnsi="仿宋" w:eastAsia="仿宋"/>
          <w:sz w:val="28"/>
          <w:szCs w:val="28"/>
          <w:lang w:val="en-US" w:eastAsia="zh-CN"/>
        </w:rPr>
        <w:t xml:space="preserve">                  </w:t>
      </w: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w:t>
      </w:r>
      <w:r>
        <w:rPr>
          <w:rStyle w:val="15"/>
          <w:rFonts w:hint="eastAsia" w:ascii="仿宋" w:hAnsi="仿宋" w:eastAsia="仿宋" w:cstheme="majorBidi"/>
          <w:bCs/>
          <w:sz w:val="28"/>
          <w:szCs w:val="28"/>
          <w:lang w:eastAsia="zh-CN"/>
        </w:rPr>
        <w:t>预算绩效</w:t>
      </w:r>
      <w:r>
        <w:rPr>
          <w:rStyle w:val="15"/>
          <w:rFonts w:hint="eastAsia" w:ascii="仿宋" w:hAnsi="仿宋" w:eastAsia="仿宋" w:cstheme="majorBidi"/>
          <w:bCs/>
          <w:sz w:val="28"/>
          <w:szCs w:val="28"/>
        </w:rPr>
        <w:t>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1</w:t>
      </w:r>
      <w:r>
        <w:fldChar w:fldCharType="end"/>
      </w:r>
      <w:r>
        <w:rPr>
          <w:rFonts w:hint="eastAsia"/>
          <w:lang w:val="en-US" w:eastAsia="zh-CN"/>
        </w:rPr>
        <w:t>4</w:t>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1</w:t>
      </w:r>
      <w:r>
        <w:fldChar w:fldCharType="end"/>
      </w:r>
      <w:r>
        <w:rPr>
          <w:rFonts w:hint="eastAsia"/>
          <w:lang w:val="en-US" w:eastAsia="zh-CN"/>
        </w:rPr>
        <w:t>7</w:t>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0"/>
        <w:rPr>
          <w:rFonts w:cstheme="minorBidi"/>
          <w:lang w:val="en-US"/>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2</w:t>
      </w:r>
      <w:r>
        <w:fldChar w:fldCharType="end"/>
      </w:r>
      <w:r>
        <w:rPr>
          <w:rFonts w:hint="eastAsia"/>
          <w:lang w:val="en-US" w:eastAsia="zh-CN"/>
        </w:rPr>
        <w:t>8</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ind w:firstLine="2200" w:firstLineChars="500"/>
        <w:jc w:val="left"/>
        <w:rPr>
          <w:rFonts w:hint="eastAsia" w:ascii="黑体" w:hAnsi="黑体" w:eastAsia="黑体" w:cs="黑体"/>
          <w:b w:val="0"/>
          <w:sz w:val="44"/>
          <w:szCs w:val="44"/>
        </w:rPr>
      </w:pPr>
    </w:p>
    <w:p>
      <w:pPr>
        <w:widowControl/>
        <w:ind w:firstLine="2200" w:firstLineChars="500"/>
        <w:jc w:val="left"/>
        <w:rPr>
          <w:rFonts w:hint="eastAsia" w:ascii="黑体" w:hAnsi="黑体" w:eastAsia="黑体" w:cs="黑体"/>
          <w:b w:val="0"/>
          <w:sz w:val="44"/>
          <w:szCs w:val="44"/>
        </w:rPr>
      </w:pPr>
    </w:p>
    <w:p>
      <w:pPr>
        <w:widowControl/>
        <w:ind w:firstLine="2200" w:firstLineChars="500"/>
        <w:jc w:val="left"/>
        <w:rPr>
          <w:rFonts w:hint="eastAsia" w:ascii="黑体" w:hAnsi="黑体" w:eastAsia="黑体" w:cs="黑体"/>
          <w:b w:val="0"/>
          <w:sz w:val="44"/>
          <w:szCs w:val="44"/>
        </w:rPr>
      </w:pPr>
    </w:p>
    <w:p>
      <w:pPr>
        <w:widowControl/>
        <w:ind w:firstLine="2200" w:firstLineChars="500"/>
        <w:jc w:val="left"/>
        <w:rPr>
          <w:rFonts w:hint="eastAsia" w:ascii="黑体" w:hAnsi="黑体" w:eastAsia="黑体" w:cs="黑体"/>
          <w:b w:val="0"/>
          <w:sz w:val="44"/>
          <w:szCs w:val="44"/>
        </w:rPr>
      </w:pPr>
    </w:p>
    <w:p>
      <w:pPr>
        <w:widowControl/>
        <w:ind w:firstLine="2200" w:firstLineChars="500"/>
        <w:jc w:val="left"/>
        <w:rPr>
          <w:rFonts w:hint="eastAsia" w:ascii="黑体" w:hAnsi="黑体" w:eastAsia="黑体" w:cs="黑体"/>
          <w:b w:val="0"/>
          <w:sz w:val="44"/>
          <w:szCs w:val="44"/>
        </w:rPr>
      </w:pPr>
    </w:p>
    <w:p>
      <w:pPr>
        <w:widowControl/>
        <w:ind w:firstLine="2200" w:firstLineChars="500"/>
        <w:jc w:val="left"/>
        <w:rPr>
          <w:rStyle w:val="24"/>
          <w:rFonts w:hint="eastAsia" w:ascii="黑体" w:hAnsi="黑体" w:eastAsia="黑体" w:cs="黑体"/>
          <w:b/>
          <w:bCs w:val="0"/>
          <w:sz w:val="44"/>
          <w:szCs w:val="44"/>
        </w:rPr>
      </w:pPr>
      <w:r>
        <w:rPr>
          <w:rFonts w:hint="eastAsia" w:ascii="黑体" w:hAnsi="黑体" w:eastAsia="黑体" w:cs="黑体"/>
          <w:b w:val="0"/>
          <w:sz w:val="44"/>
          <w:szCs w:val="44"/>
        </w:rPr>
        <w:t xml:space="preserve">第一部分 </w:t>
      </w:r>
      <w:r>
        <w:rPr>
          <w:rStyle w:val="24"/>
          <w:rFonts w:hint="eastAsia" w:ascii="黑体" w:hAnsi="黑体" w:eastAsia="黑体" w:cs="黑体"/>
          <w:b w:val="0"/>
          <w:bCs w:val="0"/>
          <w:sz w:val="44"/>
          <w:szCs w:val="44"/>
        </w:rPr>
        <w:t>部门概况</w:t>
      </w:r>
      <w:bookmarkEnd w:id="1"/>
      <w:bookmarkEnd w:id="2"/>
    </w:p>
    <w:p>
      <w:pPr>
        <w:pStyle w:val="3"/>
        <w:rPr>
          <w:rStyle w:val="25"/>
          <w:rFonts w:ascii="仿宋" w:hAnsi="仿宋" w:eastAsia="仿宋"/>
          <w:b w:val="0"/>
          <w:bCs w:val="0"/>
          <w:sz w:val="28"/>
          <w:szCs w:val="28"/>
        </w:rPr>
      </w:pPr>
      <w:bookmarkStart w:id="3" w:name="_Toc15396600"/>
      <w:bookmarkStart w:id="4" w:name="_Toc15377197"/>
      <w:r>
        <w:rPr>
          <w:rFonts w:hint="eastAsia" w:ascii="黑体" w:hAnsi="黑体" w:eastAsia="黑体"/>
          <w:b w:val="0"/>
          <w:color w:val="000000"/>
          <w:sz w:val="28"/>
          <w:szCs w:val="28"/>
        </w:rPr>
        <w:t>一、基</w:t>
      </w:r>
      <w:r>
        <w:rPr>
          <w:rStyle w:val="25"/>
          <w:rFonts w:hint="eastAsia" w:ascii="黑体" w:hAnsi="黑体" w:eastAsia="黑体"/>
          <w:b w:val="0"/>
          <w:bCs w:val="0"/>
          <w:sz w:val="28"/>
          <w:szCs w:val="28"/>
        </w:rPr>
        <w:t>本职能及主要工作</w:t>
      </w:r>
      <w:bookmarkEnd w:id="3"/>
      <w:bookmarkEnd w:id="4"/>
    </w:p>
    <w:p>
      <w:pPr>
        <w:tabs>
          <w:tab w:val="left" w:pos="2925"/>
        </w:tabs>
        <w:ind w:firstLine="560" w:firstLineChars="200"/>
        <w:rPr>
          <w:rFonts w:hint="eastAsia" w:ascii="仿宋" w:hAnsi="仿宋" w:eastAsia="仿宋" w:cs="仿宋"/>
          <w:bCs/>
          <w:color w:val="000000"/>
          <w:sz w:val="28"/>
          <w:szCs w:val="28"/>
          <w:lang w:eastAsia="zh-CN"/>
        </w:rPr>
      </w:pPr>
      <w:bookmarkStart w:id="5" w:name="_Toc15378445"/>
      <w:bookmarkStart w:id="6" w:name="_Toc15377198"/>
      <w:r>
        <w:rPr>
          <w:rFonts w:hint="eastAsia" w:ascii="仿宋" w:hAnsi="仿宋" w:eastAsia="仿宋" w:cs="仿宋"/>
          <w:bCs/>
          <w:color w:val="000000"/>
          <w:sz w:val="28"/>
          <w:szCs w:val="28"/>
        </w:rPr>
        <w:t>（一）主要职能</w:t>
      </w:r>
      <w:r>
        <w:rPr>
          <w:rFonts w:hint="eastAsia" w:ascii="仿宋" w:hAnsi="仿宋" w:eastAsia="仿宋" w:cs="仿宋"/>
          <w:bCs/>
          <w:color w:val="000000"/>
          <w:sz w:val="28"/>
          <w:szCs w:val="28"/>
          <w:lang w:eastAsia="zh-CN"/>
        </w:rPr>
        <w:t>。</w:t>
      </w:r>
    </w:p>
    <w:p>
      <w:pPr>
        <w:tabs>
          <w:tab w:val="left" w:pos="2925"/>
        </w:tabs>
        <w:ind w:firstLine="560" w:firstLineChars="200"/>
        <w:rPr>
          <w:rFonts w:hint="eastAsia" w:ascii="仿宋" w:hAnsi="仿宋" w:eastAsia="仿宋" w:cs="仿宋"/>
          <w:sz w:val="28"/>
          <w:szCs w:val="28"/>
        </w:rPr>
      </w:pPr>
      <w:r>
        <w:rPr>
          <w:rFonts w:hint="eastAsia" w:ascii="仿宋" w:hAnsi="仿宋" w:eastAsia="仿宋" w:cs="仿宋"/>
          <w:bCs/>
          <w:color w:val="000000"/>
          <w:sz w:val="28"/>
          <w:szCs w:val="28"/>
          <w:lang w:val="en-US" w:eastAsia="zh-CN"/>
        </w:rPr>
        <w:t>1、</w:t>
      </w:r>
      <w:r>
        <w:rPr>
          <w:rFonts w:hint="eastAsia" w:ascii="仿宋" w:hAnsi="仿宋" w:eastAsia="仿宋" w:cs="仿宋"/>
          <w:sz w:val="28"/>
          <w:szCs w:val="28"/>
        </w:rPr>
        <w:t>协助人力资源和社会保障行政部门贯彻执行国家、省、市制定的医疗保险法律、法规、规章和政策。</w:t>
      </w:r>
    </w:p>
    <w:p>
      <w:pPr>
        <w:tabs>
          <w:tab w:val="left" w:pos="2925"/>
        </w:tabs>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协助人力资源和社会保障行政部门编制全区医疗保险、生育保险事业发展规划、计划，制定全区医疗保险、生育保险相关业务规范、管理制度及措施，并组织实施和监督检查。</w:t>
      </w:r>
    </w:p>
    <w:p>
      <w:pPr>
        <w:tabs>
          <w:tab w:val="left" w:pos="2925"/>
        </w:tabs>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负责城镇职工医疗保险、城镇灵活就业人员医疗保险、城乡居民医疗保险、生育保险待遇审核支付、基金管理经办工作；协助开展城镇职工补充医疗保险和城乡居民大病保险经办工作；承担公务员医疗补助经办工作。</w:t>
      </w:r>
    </w:p>
    <w:p>
      <w:pPr>
        <w:tabs>
          <w:tab w:val="left" w:pos="2925"/>
        </w:tabs>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负责离休人员、解放前参加革命工作的老工人等特殊人员的医疗管理工作。</w:t>
      </w:r>
    </w:p>
    <w:p>
      <w:pPr>
        <w:tabs>
          <w:tab w:val="left" w:pos="2925"/>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负责医疗、生育保险协议管理医疗机构、零售药店资格认定和服务协议签订工作，并对协议管理医疗机构和零售药店履行医疗服务协议情况实施监督管理</w:t>
      </w:r>
      <w:r>
        <w:rPr>
          <w:rFonts w:hint="eastAsia" w:ascii="仿宋" w:hAnsi="仿宋" w:eastAsia="仿宋" w:cs="仿宋"/>
          <w:sz w:val="28"/>
          <w:szCs w:val="28"/>
          <w:lang w:eastAsia="zh-CN"/>
        </w:rPr>
        <w:t>。</w:t>
      </w:r>
    </w:p>
    <w:p>
      <w:pPr>
        <w:tabs>
          <w:tab w:val="left" w:pos="2925"/>
        </w:tabs>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负责医疗保险的政策宣传工作。</w:t>
      </w:r>
      <w:bookmarkEnd w:id="5"/>
      <w:bookmarkEnd w:id="6"/>
      <w:bookmarkStart w:id="7" w:name="_Toc15377199"/>
      <w:bookmarkStart w:id="8" w:name="_Toc15378446"/>
    </w:p>
    <w:p>
      <w:pPr>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（二）2018年重点工作完成情况。</w:t>
      </w:r>
      <w:bookmarkEnd w:id="7"/>
      <w:bookmarkEnd w:id="8"/>
    </w:p>
    <w:p>
      <w:pPr>
        <w:ind w:firstLine="560" w:firstLineChars="200"/>
        <w:rPr>
          <w:rFonts w:hint="eastAsia" w:ascii="仿宋" w:hAnsi="仿宋" w:eastAsia="仿宋" w:cs="仿宋"/>
          <w:sz w:val="28"/>
          <w:szCs w:val="28"/>
        </w:rPr>
      </w:pPr>
      <w:r>
        <w:rPr>
          <w:rFonts w:hint="eastAsia" w:ascii="仿宋" w:hAnsi="仿宋" w:eastAsia="仿宋" w:cs="仿宋"/>
          <w:sz w:val="28"/>
          <w:szCs w:val="28"/>
        </w:rPr>
        <w:t>1、强化审核支付，确保参保人员待遇落实。</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2、强化监督稽核，确保医保基金运行安全。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3、强化门诊保障，切实减轻患者就医负担。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4、推进即时结算，确保参保人员异地就医待遇落实。</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5、强化健康扶贫，助推打赢脱贫攻坚战。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6、强化预算管理，科学合理拟定2018年定点医疗机构总额控制方案。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7、切实开展培训，规范定点医疗机构服务行为。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8、抓好党建和党风廉政建设，树立风清气正医保人形象。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9、强化理论联系实际，深入开展“大学习、大讨论、大调研”活动。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10、狠抓宣传发动，全面展示和提升医保工作形象。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11、狠抓驻村和结对帮扶工作，持续巩固脱贫攻坚成效。</w:t>
      </w:r>
      <w:bookmarkStart w:id="9" w:name="_Toc15377200"/>
      <w:bookmarkStart w:id="10" w:name="_Toc15396601"/>
    </w:p>
    <w:p>
      <w:pPr>
        <w:rPr>
          <w:rStyle w:val="25"/>
          <w:b w:val="0"/>
          <w:bCs w:val="0"/>
          <w:sz w:val="28"/>
          <w:szCs w:val="28"/>
        </w:rPr>
      </w:pPr>
      <w:r>
        <w:rPr>
          <w:rFonts w:hint="eastAsia" w:ascii="黑体" w:eastAsia="黑体"/>
          <w:color w:val="000000"/>
          <w:sz w:val="28"/>
          <w:szCs w:val="28"/>
        </w:rPr>
        <w:t>二、</w:t>
      </w:r>
      <w:r>
        <w:rPr>
          <w:rFonts w:hint="eastAsia" w:ascii="黑体" w:hAnsi="黑体" w:eastAsia="黑体"/>
          <w:color w:val="000000"/>
          <w:sz w:val="28"/>
          <w:szCs w:val="28"/>
        </w:rPr>
        <w:t>机</w:t>
      </w:r>
      <w:r>
        <w:rPr>
          <w:rStyle w:val="25"/>
          <w:rFonts w:hint="eastAsia" w:ascii="黑体" w:hAnsi="黑体" w:eastAsia="黑体"/>
          <w:b w:val="0"/>
          <w:bCs w:val="0"/>
          <w:sz w:val="28"/>
          <w:szCs w:val="28"/>
        </w:rPr>
        <w:t>构设置</w:t>
      </w:r>
      <w:bookmarkEnd w:id="9"/>
      <w:bookmarkEnd w:id="10"/>
    </w:p>
    <w:p>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我单位属于财政全额拨款的参公管理事业单位。</w:t>
      </w:r>
    </w:p>
    <w:p>
      <w:pPr>
        <w:snapToGrid w:val="0"/>
        <w:spacing w:line="520" w:lineRule="exact"/>
        <w:ind w:firstLine="560" w:firstLineChars="200"/>
        <w:rPr>
          <w:rFonts w:hint="eastAsia" w:ascii="仿宋" w:hAnsi="仿宋" w:eastAsia="仿宋" w:cs="仿宋"/>
          <w:sz w:val="28"/>
          <w:szCs w:val="28"/>
        </w:rPr>
      </w:pPr>
      <w:bookmarkStart w:id="11" w:name="_Hlk19393219"/>
      <w:r>
        <w:rPr>
          <w:rFonts w:hint="eastAsia" w:ascii="仿宋" w:hAnsi="仿宋" w:eastAsia="仿宋" w:cs="仿宋"/>
          <w:sz w:val="28"/>
          <w:szCs w:val="28"/>
        </w:rPr>
        <w:t>我单位参公管理事业编制39人，年末在职职工39人，较上年增加2人，本年公招新增2人。</w:t>
      </w:r>
    </w:p>
    <w:bookmarkEnd w:id="11"/>
    <w:p>
      <w:pPr>
        <w:widowControl/>
        <w:ind w:firstLine="280" w:firstLineChars="100"/>
        <w:jc w:val="left"/>
        <w:rPr>
          <w:rFonts w:hint="eastAsia" w:ascii="黑体" w:hAnsi="黑体" w:eastAsia="黑体" w:cs="黑体"/>
          <w:b w:val="0"/>
          <w:color w:val="000000"/>
          <w:sz w:val="28"/>
          <w:szCs w:val="28"/>
        </w:rPr>
      </w:pPr>
      <w:bookmarkStart w:id="12" w:name="_Toc15396602"/>
      <w:bookmarkStart w:id="13" w:name="_Toc15377204"/>
    </w:p>
    <w:p>
      <w:pPr>
        <w:widowControl/>
        <w:ind w:firstLine="440" w:firstLineChars="100"/>
        <w:jc w:val="left"/>
        <w:rPr>
          <w:rStyle w:val="24"/>
          <w:rFonts w:hint="eastAsia" w:ascii="黑体" w:hAnsi="黑体" w:eastAsia="黑体" w:cs="黑体"/>
          <w:b w:val="0"/>
          <w:bCs w:val="0"/>
          <w:sz w:val="44"/>
          <w:szCs w:val="44"/>
        </w:rPr>
      </w:pPr>
      <w:r>
        <w:rPr>
          <w:rFonts w:hint="eastAsia" w:ascii="黑体" w:hAnsi="黑体" w:eastAsia="黑体" w:cs="黑体"/>
          <w:b w:val="0"/>
          <w:color w:val="000000"/>
          <w:sz w:val="44"/>
          <w:szCs w:val="44"/>
        </w:rPr>
        <w:t>第二部分</w:t>
      </w:r>
      <w:r>
        <w:rPr>
          <w:rFonts w:hint="eastAsia" w:ascii="黑体" w:hAnsi="黑体" w:eastAsia="黑体" w:cs="黑体"/>
          <w:color w:val="000000"/>
          <w:sz w:val="44"/>
          <w:szCs w:val="44"/>
        </w:rPr>
        <w:t xml:space="preserve"> </w:t>
      </w:r>
      <w:r>
        <w:rPr>
          <w:rStyle w:val="24"/>
          <w:rFonts w:hint="eastAsia" w:ascii="黑体" w:hAnsi="黑体" w:eastAsia="黑体" w:cs="黑体"/>
          <w:b w:val="0"/>
          <w:bCs w:val="0"/>
          <w:sz w:val="44"/>
          <w:szCs w:val="44"/>
        </w:rPr>
        <w:t>2018年度部门决算情况说明</w:t>
      </w:r>
      <w:bookmarkEnd w:id="12"/>
      <w:bookmarkEnd w:id="13"/>
    </w:p>
    <w:p>
      <w:pPr>
        <w:rPr>
          <w:sz w:val="28"/>
          <w:szCs w:val="28"/>
        </w:rPr>
      </w:pPr>
    </w:p>
    <w:p>
      <w:pPr>
        <w:pStyle w:val="23"/>
        <w:numPr>
          <w:ilvl w:val="0"/>
          <w:numId w:val="1"/>
        </w:numPr>
        <w:spacing w:line="600" w:lineRule="exact"/>
        <w:ind w:firstLineChars="0"/>
        <w:outlineLvl w:val="1"/>
        <w:rPr>
          <w:rStyle w:val="25"/>
          <w:rFonts w:ascii="黑体" w:hAnsi="黑体" w:eastAsia="黑体"/>
          <w:b w:val="0"/>
          <w:sz w:val="28"/>
          <w:szCs w:val="28"/>
        </w:rPr>
      </w:pPr>
      <w:bookmarkStart w:id="14" w:name="_Toc15396603"/>
      <w:bookmarkStart w:id="15" w:name="_Toc15377205"/>
      <w:r>
        <w:rPr>
          <w:rFonts w:hint="eastAsia" w:ascii="黑体" w:hAnsi="黑体" w:eastAsia="黑体"/>
          <w:color w:val="000000"/>
          <w:sz w:val="28"/>
          <w:szCs w:val="28"/>
        </w:rPr>
        <w:t>收</w:t>
      </w:r>
      <w:r>
        <w:rPr>
          <w:rStyle w:val="25"/>
          <w:rFonts w:hint="eastAsia" w:ascii="黑体" w:hAnsi="黑体" w:eastAsia="黑体"/>
          <w:b w:val="0"/>
          <w:sz w:val="28"/>
          <w:szCs w:val="28"/>
        </w:rPr>
        <w:t>入支出决算总体情况说明</w:t>
      </w:r>
      <w:bookmarkEnd w:id="14"/>
      <w:bookmarkEnd w:id="15"/>
    </w:p>
    <w:p>
      <w:pPr>
        <w:spacing w:line="600" w:lineRule="exact"/>
        <w:ind w:firstLine="560" w:firstLineChars="200"/>
        <w:rPr>
          <w:rFonts w:hint="eastAsia" w:ascii="仿宋" w:hAnsi="仿宋" w:eastAsia="仿宋" w:cs="仿宋"/>
          <w:color w:val="000000"/>
          <w:sz w:val="28"/>
          <w:szCs w:val="28"/>
        </w:rPr>
      </w:pPr>
      <w:bookmarkStart w:id="16" w:name="_Hlk19352621"/>
      <w:r>
        <w:rPr>
          <w:rFonts w:hint="eastAsia" w:ascii="仿宋" w:hAnsi="仿宋" w:eastAsia="仿宋" w:cs="仿宋"/>
          <w:color w:val="000000"/>
          <w:sz w:val="28"/>
          <w:szCs w:val="28"/>
        </w:rPr>
        <w:t>2018年度财政拨款收入569.38万元，与2017年相比，财政拨款收入减少</w:t>
      </w:r>
      <w:bookmarkStart w:id="17" w:name="_Hlk19361064"/>
      <w:r>
        <w:rPr>
          <w:rFonts w:hint="eastAsia" w:ascii="仿宋" w:hAnsi="仿宋" w:eastAsia="仿宋" w:cs="仿宋"/>
          <w:sz w:val="28"/>
          <w:szCs w:val="28"/>
        </w:rPr>
        <w:t>2233.37</w:t>
      </w:r>
      <w:bookmarkEnd w:id="17"/>
      <w:r>
        <w:rPr>
          <w:rFonts w:hint="eastAsia" w:ascii="仿宋" w:hAnsi="仿宋" w:eastAsia="仿宋" w:cs="仿宋"/>
          <w:color w:val="000000"/>
          <w:sz w:val="28"/>
          <w:szCs w:val="28"/>
        </w:rPr>
        <w:t>万元，下降</w:t>
      </w:r>
      <w:r>
        <w:rPr>
          <w:rFonts w:hint="eastAsia" w:ascii="仿宋" w:hAnsi="仿宋" w:eastAsia="仿宋" w:cs="仿宋"/>
          <w:sz w:val="28"/>
          <w:szCs w:val="28"/>
        </w:rPr>
        <w:t>79.68%，</w:t>
      </w:r>
      <w:r>
        <w:rPr>
          <w:rFonts w:hint="eastAsia" w:ascii="仿宋" w:hAnsi="仿宋" w:eastAsia="仿宋" w:cs="仿宋"/>
          <w:color w:val="000000"/>
          <w:sz w:val="28"/>
          <w:szCs w:val="28"/>
        </w:rPr>
        <w:t>主要变动原因是原新农合与城镇职工基本医疗保险局整合后，医保基金实行市级统筹，财政对医疗保险配套资金直接上划至市医保局。</w:t>
      </w:r>
    </w:p>
    <w:p>
      <w:pPr>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2018年度财政拨款支出</w:t>
      </w:r>
      <w:r>
        <w:rPr>
          <w:rFonts w:hint="eastAsia" w:ascii="仿宋" w:hAnsi="仿宋" w:eastAsia="仿宋" w:cs="仿宋"/>
          <w:color w:val="000000"/>
          <w:sz w:val="28"/>
          <w:szCs w:val="28"/>
        </w:rPr>
        <w:t>543.37万元，与2017年相比，财政拨款支出减少</w:t>
      </w:r>
      <w:r>
        <w:rPr>
          <w:rFonts w:hint="eastAsia" w:ascii="仿宋" w:hAnsi="仿宋" w:eastAsia="仿宋" w:cs="仿宋"/>
          <w:sz w:val="28"/>
          <w:szCs w:val="28"/>
        </w:rPr>
        <w:t>2290.17万元，</w:t>
      </w:r>
      <w:r>
        <w:rPr>
          <w:rFonts w:hint="eastAsia" w:ascii="仿宋" w:hAnsi="仿宋" w:eastAsia="仿宋" w:cs="仿宋"/>
          <w:color w:val="000000"/>
          <w:sz w:val="28"/>
          <w:szCs w:val="28"/>
        </w:rPr>
        <w:t>下降</w:t>
      </w:r>
      <w:bookmarkStart w:id="18" w:name="_Hlk19361121"/>
      <w:r>
        <w:rPr>
          <w:rFonts w:hint="eastAsia" w:ascii="仿宋" w:hAnsi="仿宋" w:eastAsia="仿宋" w:cs="仿宋"/>
          <w:sz w:val="28"/>
          <w:szCs w:val="28"/>
        </w:rPr>
        <w:t>80.82%</w:t>
      </w:r>
      <w:bookmarkEnd w:id="18"/>
      <w:bookmarkStart w:id="19" w:name="_Hlk19351957"/>
      <w:r>
        <w:rPr>
          <w:rFonts w:hint="eastAsia" w:ascii="仿宋" w:hAnsi="仿宋" w:eastAsia="仿宋" w:cs="仿宋"/>
          <w:color w:val="000000"/>
          <w:sz w:val="28"/>
          <w:szCs w:val="28"/>
        </w:rPr>
        <w:t>，主要变动原因是原新农合与城镇职工基本医疗保险局整合后，医保基金实行市级统筹，财政对医疗保险配套资金直接上划至市医保局。</w:t>
      </w:r>
    </w:p>
    <w:bookmarkEnd w:id="16"/>
    <w:bookmarkEnd w:id="19"/>
    <w:p>
      <w:pPr>
        <w:pStyle w:val="23"/>
        <w:numPr>
          <w:ilvl w:val="0"/>
          <w:numId w:val="1"/>
        </w:numPr>
        <w:spacing w:line="600" w:lineRule="exact"/>
        <w:ind w:firstLineChars="0"/>
        <w:outlineLvl w:val="1"/>
        <w:rPr>
          <w:rStyle w:val="25"/>
          <w:rFonts w:ascii="黑体" w:hAnsi="黑体" w:eastAsia="黑体"/>
          <w:b w:val="0"/>
          <w:sz w:val="28"/>
          <w:szCs w:val="28"/>
        </w:rPr>
      </w:pPr>
      <w:bookmarkStart w:id="20" w:name="_Toc15377206"/>
      <w:bookmarkStart w:id="21" w:name="_Toc15396604"/>
      <w:r>
        <w:rPr>
          <w:rFonts w:hint="eastAsia" w:ascii="黑体" w:hAnsi="黑体" w:eastAsia="黑体"/>
          <w:color w:val="000000"/>
          <w:sz w:val="28"/>
          <w:szCs w:val="28"/>
        </w:rPr>
        <w:t>收</w:t>
      </w:r>
      <w:r>
        <w:rPr>
          <w:rStyle w:val="25"/>
          <w:rFonts w:hint="eastAsia" w:ascii="黑体" w:hAnsi="黑体" w:eastAsia="黑体"/>
          <w:b w:val="0"/>
          <w:sz w:val="28"/>
          <w:szCs w:val="28"/>
        </w:rPr>
        <w:t>入决算情况说明</w:t>
      </w:r>
      <w:bookmarkEnd w:id="20"/>
      <w:bookmarkEnd w:id="21"/>
    </w:p>
    <w:p>
      <w:pPr>
        <w:spacing w:line="600" w:lineRule="exact"/>
        <w:ind w:firstLine="560" w:firstLineChars="200"/>
        <w:outlineLvl w:val="1"/>
        <w:rPr>
          <w:rFonts w:ascii="仿宋_GB2312" w:eastAsia="仿宋_GB2312"/>
          <w:color w:val="FF0000"/>
          <w:sz w:val="28"/>
          <w:szCs w:val="28"/>
        </w:rPr>
      </w:pPr>
      <w:r>
        <w:rPr>
          <w:rFonts w:hint="eastAsia" w:ascii="仿宋" w:hAnsi="仿宋" w:eastAsia="仿宋" w:cs="仿宋"/>
          <w:color w:val="000000"/>
          <w:sz w:val="28"/>
          <w:szCs w:val="28"/>
        </w:rPr>
        <w:t>2018年本年收入合计</w:t>
      </w:r>
      <w:r>
        <w:rPr>
          <w:rFonts w:hint="eastAsia" w:ascii="仿宋" w:hAnsi="仿宋" w:eastAsia="仿宋" w:cs="仿宋"/>
          <w:sz w:val="28"/>
          <w:szCs w:val="28"/>
        </w:rPr>
        <w:t>569.38</w:t>
      </w:r>
      <w:r>
        <w:rPr>
          <w:rFonts w:hint="eastAsia" w:ascii="仿宋" w:hAnsi="仿宋" w:eastAsia="仿宋" w:cs="仿宋"/>
          <w:color w:val="000000"/>
          <w:sz w:val="28"/>
          <w:szCs w:val="28"/>
        </w:rPr>
        <w:t>万元，其中：一般公共预算财政拨款收入</w:t>
      </w:r>
      <w:r>
        <w:rPr>
          <w:rFonts w:hint="eastAsia" w:ascii="仿宋" w:hAnsi="仿宋" w:eastAsia="仿宋" w:cs="仿宋"/>
          <w:sz w:val="28"/>
          <w:szCs w:val="28"/>
        </w:rPr>
        <w:t>569.38</w:t>
      </w:r>
      <w:r>
        <w:rPr>
          <w:rFonts w:hint="eastAsia" w:ascii="仿宋" w:hAnsi="仿宋" w:eastAsia="仿宋" w:cs="仿宋"/>
          <w:color w:val="000000"/>
          <w:sz w:val="28"/>
          <w:szCs w:val="28"/>
        </w:rPr>
        <w:t>万元，占100%。</w:t>
      </w:r>
    </w:p>
    <w:p>
      <w:pPr>
        <w:pStyle w:val="23"/>
        <w:numPr>
          <w:ilvl w:val="0"/>
          <w:numId w:val="1"/>
        </w:numPr>
        <w:spacing w:line="600" w:lineRule="exact"/>
        <w:ind w:firstLineChars="0"/>
        <w:outlineLvl w:val="1"/>
        <w:rPr>
          <w:rStyle w:val="25"/>
          <w:rFonts w:ascii="黑体" w:hAnsi="黑体" w:eastAsia="黑体"/>
          <w:b w:val="0"/>
          <w:sz w:val="28"/>
          <w:szCs w:val="28"/>
        </w:rPr>
      </w:pPr>
      <w:bookmarkStart w:id="22" w:name="_Toc15377207"/>
      <w:bookmarkStart w:id="23" w:name="_Toc15396605"/>
      <w:r>
        <w:rPr>
          <w:rFonts w:hint="eastAsia" w:ascii="黑体" w:hAnsi="黑体" w:eastAsia="黑体"/>
          <w:color w:val="000000"/>
          <w:sz w:val="28"/>
          <w:szCs w:val="28"/>
        </w:rPr>
        <w:t>支</w:t>
      </w:r>
      <w:r>
        <w:rPr>
          <w:rStyle w:val="25"/>
          <w:rFonts w:hint="eastAsia" w:ascii="黑体" w:hAnsi="黑体" w:eastAsia="黑体"/>
          <w:b w:val="0"/>
          <w:sz w:val="28"/>
          <w:szCs w:val="28"/>
        </w:rPr>
        <w:t>出决算情况说明</w:t>
      </w:r>
      <w:bookmarkEnd w:id="22"/>
      <w:bookmarkEnd w:id="23"/>
    </w:p>
    <w:p>
      <w:pPr>
        <w:spacing w:line="600" w:lineRule="exact"/>
        <w:ind w:firstLine="640"/>
        <w:rPr>
          <w:rFonts w:hint="eastAsia" w:ascii="仿宋" w:hAnsi="仿宋" w:eastAsia="仿宋" w:cs="仿宋"/>
          <w:color w:val="000000"/>
          <w:sz w:val="28"/>
          <w:szCs w:val="28"/>
          <w:shd w:val="pct10" w:color="auto" w:fill="FFFFFF"/>
        </w:rPr>
      </w:pPr>
      <w:bookmarkStart w:id="24" w:name="_Hlk19393341"/>
      <w:r>
        <w:rPr>
          <w:rFonts w:hint="eastAsia" w:ascii="仿宋" w:hAnsi="仿宋" w:eastAsia="仿宋" w:cs="仿宋"/>
          <w:color w:val="000000"/>
          <w:sz w:val="28"/>
          <w:szCs w:val="28"/>
        </w:rPr>
        <w:t>2018年本年支出合计</w:t>
      </w:r>
      <w:r>
        <w:rPr>
          <w:rFonts w:hint="eastAsia" w:ascii="仿宋" w:hAnsi="仿宋" w:eastAsia="仿宋" w:cs="仿宋"/>
          <w:sz w:val="28"/>
          <w:szCs w:val="28"/>
        </w:rPr>
        <w:t>543.37</w:t>
      </w:r>
      <w:r>
        <w:rPr>
          <w:rFonts w:hint="eastAsia" w:ascii="仿宋" w:hAnsi="仿宋" w:eastAsia="仿宋" w:cs="仿宋"/>
          <w:color w:val="000000"/>
          <w:sz w:val="28"/>
          <w:szCs w:val="28"/>
        </w:rPr>
        <w:t>万元，其中：基本支出</w:t>
      </w:r>
      <w:r>
        <w:rPr>
          <w:rFonts w:hint="eastAsia" w:ascii="仿宋" w:hAnsi="仿宋" w:eastAsia="仿宋" w:cs="仿宋"/>
          <w:sz w:val="28"/>
          <w:szCs w:val="28"/>
        </w:rPr>
        <w:t>473.52</w:t>
      </w:r>
      <w:r>
        <w:rPr>
          <w:rFonts w:hint="eastAsia" w:ascii="仿宋" w:hAnsi="仿宋" w:eastAsia="仿宋" w:cs="仿宋"/>
          <w:color w:val="000000"/>
          <w:sz w:val="28"/>
          <w:szCs w:val="28"/>
        </w:rPr>
        <w:t>万元，占</w:t>
      </w:r>
      <w:r>
        <w:rPr>
          <w:rFonts w:hint="eastAsia" w:ascii="仿宋" w:hAnsi="仿宋" w:eastAsia="仿宋" w:cs="仿宋"/>
          <w:sz w:val="28"/>
          <w:szCs w:val="28"/>
        </w:rPr>
        <w:t>87.15</w:t>
      </w:r>
      <w:r>
        <w:rPr>
          <w:rFonts w:hint="eastAsia" w:ascii="仿宋" w:hAnsi="仿宋" w:eastAsia="仿宋" w:cs="仿宋"/>
          <w:color w:val="000000"/>
          <w:sz w:val="28"/>
          <w:szCs w:val="28"/>
        </w:rPr>
        <w:t>%；项目支出</w:t>
      </w:r>
      <w:r>
        <w:rPr>
          <w:rFonts w:hint="eastAsia" w:ascii="仿宋" w:hAnsi="仿宋" w:eastAsia="仿宋" w:cs="仿宋"/>
          <w:sz w:val="28"/>
          <w:szCs w:val="28"/>
        </w:rPr>
        <w:t>69.85</w:t>
      </w:r>
      <w:r>
        <w:rPr>
          <w:rFonts w:hint="eastAsia" w:ascii="仿宋" w:hAnsi="仿宋" w:eastAsia="仿宋" w:cs="仿宋"/>
          <w:color w:val="000000"/>
          <w:sz w:val="28"/>
          <w:szCs w:val="28"/>
        </w:rPr>
        <w:t>万元，占</w:t>
      </w:r>
      <w:r>
        <w:rPr>
          <w:rFonts w:hint="eastAsia" w:ascii="仿宋" w:hAnsi="仿宋" w:eastAsia="仿宋" w:cs="仿宋"/>
          <w:sz w:val="28"/>
          <w:szCs w:val="28"/>
        </w:rPr>
        <w:t>12.85</w:t>
      </w:r>
      <w:r>
        <w:rPr>
          <w:rFonts w:hint="eastAsia" w:ascii="仿宋" w:hAnsi="仿宋" w:eastAsia="仿宋" w:cs="仿宋"/>
          <w:color w:val="000000"/>
          <w:sz w:val="28"/>
          <w:szCs w:val="28"/>
        </w:rPr>
        <w:t>%。</w:t>
      </w:r>
    </w:p>
    <w:bookmarkEnd w:id="24"/>
    <w:p>
      <w:pPr>
        <w:spacing w:line="600" w:lineRule="exact"/>
        <w:ind w:firstLine="560" w:firstLineChars="200"/>
        <w:outlineLvl w:val="1"/>
        <w:rPr>
          <w:rStyle w:val="25"/>
          <w:rFonts w:ascii="黑体" w:hAnsi="黑体" w:eastAsia="黑体"/>
          <w:b w:val="0"/>
          <w:sz w:val="28"/>
          <w:szCs w:val="28"/>
        </w:rPr>
      </w:pPr>
      <w:bookmarkStart w:id="25" w:name="_Toc15396606"/>
      <w:bookmarkStart w:id="26" w:name="_Toc15377208"/>
      <w:r>
        <w:rPr>
          <w:rFonts w:hint="eastAsia" w:ascii="黑体" w:hAnsi="黑体" w:eastAsia="黑体"/>
          <w:color w:val="000000"/>
          <w:sz w:val="28"/>
          <w:szCs w:val="28"/>
        </w:rPr>
        <w:t>四、财</w:t>
      </w:r>
      <w:r>
        <w:rPr>
          <w:rStyle w:val="25"/>
          <w:rFonts w:hint="eastAsia" w:ascii="黑体" w:hAnsi="黑体" w:eastAsia="黑体"/>
          <w:b w:val="0"/>
          <w:sz w:val="28"/>
          <w:szCs w:val="28"/>
        </w:rPr>
        <w:t>政拨款收入支出决算总体情况说明</w:t>
      </w:r>
      <w:bookmarkEnd w:id="25"/>
      <w:bookmarkEnd w:id="26"/>
    </w:p>
    <w:p>
      <w:pPr>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2018年度财政拨款收入569.38万元，与2017年相比，财政拨款收入减少</w:t>
      </w:r>
      <w:bookmarkStart w:id="27" w:name="_Hlk19361142"/>
      <w:r>
        <w:rPr>
          <w:rFonts w:hint="eastAsia" w:ascii="仿宋" w:hAnsi="仿宋" w:eastAsia="仿宋" w:cs="仿宋"/>
          <w:sz w:val="28"/>
          <w:szCs w:val="28"/>
        </w:rPr>
        <w:t>2233.37</w:t>
      </w:r>
      <w:bookmarkEnd w:id="27"/>
      <w:r>
        <w:rPr>
          <w:rFonts w:hint="eastAsia" w:ascii="仿宋" w:hAnsi="仿宋" w:eastAsia="仿宋" w:cs="仿宋"/>
          <w:color w:val="000000"/>
          <w:sz w:val="28"/>
          <w:szCs w:val="28"/>
        </w:rPr>
        <w:t>万元，下降</w:t>
      </w:r>
      <w:r>
        <w:rPr>
          <w:rFonts w:hint="eastAsia" w:ascii="仿宋" w:hAnsi="仿宋" w:eastAsia="仿宋" w:cs="仿宋"/>
          <w:sz w:val="28"/>
          <w:szCs w:val="28"/>
        </w:rPr>
        <w:t>79.68%，</w:t>
      </w:r>
      <w:r>
        <w:rPr>
          <w:rFonts w:hint="eastAsia" w:ascii="仿宋" w:hAnsi="仿宋" w:eastAsia="仿宋" w:cs="仿宋"/>
          <w:color w:val="000000"/>
          <w:sz w:val="28"/>
          <w:szCs w:val="28"/>
        </w:rPr>
        <w:t>主要变动原因是原新农合与城镇职工基本医疗保险局整合后，医保基金实行市级统筹，财政对医疗保险配套资金直接上划至市医保局。</w:t>
      </w:r>
    </w:p>
    <w:p>
      <w:pPr>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2018年度财政拨款支出</w:t>
      </w:r>
      <w:r>
        <w:rPr>
          <w:rFonts w:hint="eastAsia" w:ascii="仿宋" w:hAnsi="仿宋" w:eastAsia="仿宋" w:cs="仿宋"/>
          <w:color w:val="000000"/>
          <w:sz w:val="28"/>
          <w:szCs w:val="28"/>
        </w:rPr>
        <w:t>543.37万元，与2017年相比，财政拨款支出减少</w:t>
      </w:r>
      <w:bookmarkStart w:id="28" w:name="_Hlk19361164"/>
      <w:r>
        <w:rPr>
          <w:rFonts w:hint="eastAsia" w:ascii="仿宋" w:hAnsi="仿宋" w:eastAsia="仿宋" w:cs="仿宋"/>
          <w:sz w:val="28"/>
          <w:szCs w:val="28"/>
        </w:rPr>
        <w:t>2290.17</w:t>
      </w:r>
      <w:bookmarkEnd w:id="28"/>
      <w:r>
        <w:rPr>
          <w:rFonts w:hint="eastAsia" w:ascii="仿宋" w:hAnsi="仿宋" w:eastAsia="仿宋" w:cs="仿宋"/>
          <w:sz w:val="28"/>
          <w:szCs w:val="28"/>
        </w:rPr>
        <w:t>万元，</w:t>
      </w:r>
      <w:r>
        <w:rPr>
          <w:rFonts w:hint="eastAsia" w:ascii="仿宋" w:hAnsi="仿宋" w:eastAsia="仿宋" w:cs="仿宋"/>
          <w:color w:val="000000"/>
          <w:sz w:val="28"/>
          <w:szCs w:val="28"/>
        </w:rPr>
        <w:t>下降</w:t>
      </w:r>
      <w:r>
        <w:rPr>
          <w:rFonts w:hint="eastAsia" w:ascii="仿宋" w:hAnsi="仿宋" w:eastAsia="仿宋" w:cs="仿宋"/>
          <w:sz w:val="28"/>
          <w:szCs w:val="28"/>
        </w:rPr>
        <w:t>80.82%</w:t>
      </w:r>
      <w:r>
        <w:rPr>
          <w:rFonts w:hint="eastAsia" w:ascii="仿宋" w:hAnsi="仿宋" w:eastAsia="仿宋" w:cs="仿宋"/>
          <w:color w:val="000000"/>
          <w:sz w:val="28"/>
          <w:szCs w:val="28"/>
        </w:rPr>
        <w:t>，主要变动原因是原新农合与城镇职工基本医疗保险局整合后，医保基金实行市级统筹，财政对医疗保险配套资金直接上划至市医保局。</w:t>
      </w:r>
    </w:p>
    <w:p>
      <w:pPr>
        <w:spacing w:line="600" w:lineRule="exact"/>
        <w:ind w:firstLine="560" w:firstLineChars="200"/>
        <w:outlineLvl w:val="1"/>
        <w:rPr>
          <w:rStyle w:val="25"/>
          <w:rFonts w:ascii="黑体" w:hAnsi="黑体" w:eastAsia="黑体"/>
          <w:b w:val="0"/>
          <w:sz w:val="28"/>
          <w:szCs w:val="28"/>
        </w:rPr>
      </w:pPr>
      <w:bookmarkStart w:id="29" w:name="_Toc15377209"/>
      <w:bookmarkStart w:id="30" w:name="_Toc15396607"/>
      <w:r>
        <w:rPr>
          <w:rFonts w:hint="eastAsia" w:ascii="黑体" w:hAnsi="黑体" w:eastAsia="黑体"/>
          <w:color w:val="000000"/>
          <w:sz w:val="28"/>
          <w:szCs w:val="28"/>
        </w:rPr>
        <w:t>五、</w:t>
      </w:r>
      <w:r>
        <w:rPr>
          <w:rFonts w:hint="eastAsia" w:ascii="黑体" w:hAnsi="黑体" w:eastAsia="黑体"/>
          <w:b/>
          <w:color w:val="000000"/>
          <w:sz w:val="28"/>
          <w:szCs w:val="28"/>
        </w:rPr>
        <w:t>一</w:t>
      </w:r>
      <w:r>
        <w:rPr>
          <w:rStyle w:val="25"/>
          <w:rFonts w:hint="eastAsia" w:ascii="黑体" w:hAnsi="黑体" w:eastAsia="黑体"/>
          <w:b w:val="0"/>
          <w:sz w:val="28"/>
          <w:szCs w:val="28"/>
        </w:rPr>
        <w:t>般公共预算财政拨款支出决算情况说明</w:t>
      </w:r>
      <w:bookmarkEnd w:id="29"/>
      <w:bookmarkEnd w:id="30"/>
    </w:p>
    <w:p>
      <w:pPr>
        <w:spacing w:line="600" w:lineRule="exact"/>
        <w:ind w:firstLine="562" w:firstLineChars="200"/>
        <w:outlineLvl w:val="2"/>
        <w:rPr>
          <w:rFonts w:ascii="仿宋" w:hAnsi="仿宋" w:eastAsia="仿宋"/>
          <w:b/>
          <w:color w:val="000000"/>
          <w:sz w:val="28"/>
          <w:szCs w:val="28"/>
        </w:rPr>
      </w:pPr>
      <w:bookmarkStart w:id="31" w:name="_Toc15377210"/>
      <w:r>
        <w:rPr>
          <w:rFonts w:hint="eastAsia" w:ascii="仿宋" w:hAnsi="仿宋" w:eastAsia="仿宋"/>
          <w:b/>
          <w:color w:val="000000"/>
          <w:sz w:val="28"/>
          <w:szCs w:val="28"/>
        </w:rPr>
        <w:t>（一）一般公共预算财政拨款支出决算总体情况</w:t>
      </w:r>
      <w:bookmarkEnd w:id="31"/>
    </w:p>
    <w:p>
      <w:pPr>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2018年一般公共预算财政拨款支出</w:t>
      </w:r>
      <w:r>
        <w:rPr>
          <w:rFonts w:hint="eastAsia" w:ascii="仿宋" w:hAnsi="仿宋" w:eastAsia="仿宋" w:cs="仿宋"/>
          <w:sz w:val="28"/>
          <w:szCs w:val="28"/>
        </w:rPr>
        <w:t>543.37</w:t>
      </w:r>
      <w:r>
        <w:rPr>
          <w:rFonts w:hint="eastAsia" w:ascii="仿宋" w:hAnsi="仿宋" w:eastAsia="仿宋" w:cs="仿宋"/>
          <w:color w:val="000000"/>
          <w:sz w:val="28"/>
          <w:szCs w:val="28"/>
        </w:rPr>
        <w:t>万元，占本年支出合计的100%。与2017年相比，一般公共预算财政拨款减少</w:t>
      </w:r>
      <w:r>
        <w:rPr>
          <w:rFonts w:hint="eastAsia" w:ascii="仿宋" w:hAnsi="仿宋" w:eastAsia="仿宋" w:cs="仿宋"/>
          <w:sz w:val="28"/>
          <w:szCs w:val="28"/>
        </w:rPr>
        <w:t>2290.17</w:t>
      </w:r>
      <w:r>
        <w:rPr>
          <w:rFonts w:hint="eastAsia" w:ascii="仿宋" w:hAnsi="仿宋" w:eastAsia="仿宋" w:cs="仿宋"/>
          <w:color w:val="000000"/>
          <w:sz w:val="28"/>
          <w:szCs w:val="28"/>
        </w:rPr>
        <w:t>万元，下降</w:t>
      </w:r>
      <w:r>
        <w:rPr>
          <w:rFonts w:hint="eastAsia" w:ascii="仿宋" w:hAnsi="仿宋" w:eastAsia="仿宋" w:cs="仿宋"/>
          <w:sz w:val="28"/>
          <w:szCs w:val="28"/>
        </w:rPr>
        <w:t>80.82%</w:t>
      </w:r>
      <w:r>
        <w:rPr>
          <w:rFonts w:hint="eastAsia" w:ascii="仿宋" w:hAnsi="仿宋" w:eastAsia="仿宋" w:cs="仿宋"/>
          <w:color w:val="000000"/>
          <w:sz w:val="28"/>
          <w:szCs w:val="28"/>
        </w:rPr>
        <w:t>。主要变动原因是原新农合与城镇职工基本医疗保险局整合后，医保基金实行市级统筹，财政对医疗保险配套资金直接上划至市医保局。</w:t>
      </w:r>
    </w:p>
    <w:p>
      <w:pPr>
        <w:spacing w:line="600" w:lineRule="exact"/>
        <w:ind w:firstLine="562" w:firstLineChars="200"/>
        <w:outlineLvl w:val="2"/>
        <w:rPr>
          <w:rFonts w:ascii="仿宋" w:hAnsi="仿宋" w:eastAsia="仿宋"/>
          <w:b/>
          <w:color w:val="000000"/>
          <w:sz w:val="28"/>
          <w:szCs w:val="28"/>
        </w:rPr>
      </w:pPr>
      <w:bookmarkStart w:id="32" w:name="_Toc15377211"/>
      <w:r>
        <w:rPr>
          <w:rFonts w:hint="eastAsia" w:ascii="仿宋" w:hAnsi="仿宋" w:eastAsia="仿宋"/>
          <w:b/>
          <w:color w:val="000000"/>
          <w:sz w:val="28"/>
          <w:szCs w:val="28"/>
        </w:rPr>
        <w:t>（二）一般公共预算财政拨款支出决算结构情况</w:t>
      </w:r>
      <w:bookmarkEnd w:id="32"/>
    </w:p>
    <w:p>
      <w:pPr>
        <w:spacing w:line="600" w:lineRule="exact"/>
        <w:ind w:firstLine="64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sz w:val="28"/>
          <w:szCs w:val="28"/>
        </w:rPr>
        <w:t>2018年一般公共预算财</w:t>
      </w:r>
      <w:r>
        <w:rPr>
          <w:rFonts w:hint="eastAsia" w:ascii="仿宋" w:hAnsi="仿宋" w:eastAsia="仿宋" w:cs="仿宋"/>
          <w:color w:val="000000" w:themeColor="text1"/>
          <w:sz w:val="28"/>
          <w:szCs w:val="28"/>
          <w14:textFill>
            <w14:solidFill>
              <w14:schemeClr w14:val="tx1"/>
            </w14:solidFill>
          </w14:textFill>
        </w:rPr>
        <w:t>政拨款支出</w:t>
      </w:r>
      <w:r>
        <w:rPr>
          <w:rFonts w:hint="eastAsia" w:ascii="仿宋" w:hAnsi="仿宋" w:eastAsia="仿宋" w:cs="仿宋"/>
          <w:sz w:val="28"/>
          <w:szCs w:val="28"/>
        </w:rPr>
        <w:t>543.37</w:t>
      </w:r>
      <w:r>
        <w:rPr>
          <w:rFonts w:hint="eastAsia" w:ascii="仿宋" w:hAnsi="仿宋" w:eastAsia="仿宋" w:cs="仿宋"/>
          <w:color w:val="000000" w:themeColor="text1"/>
          <w:sz w:val="28"/>
          <w:szCs w:val="28"/>
          <w14:textFill>
            <w14:solidFill>
              <w14:schemeClr w14:val="tx1"/>
            </w14:solidFill>
          </w14:textFill>
        </w:rPr>
        <w:t>万元，主要用于以下方面:</w:t>
      </w:r>
      <w:r>
        <w:rPr>
          <w:rFonts w:hint="eastAsia" w:ascii="仿宋" w:hAnsi="仿宋" w:eastAsia="仿宋" w:cs="仿宋"/>
          <w:bCs/>
          <w:color w:val="000000" w:themeColor="text1"/>
          <w:sz w:val="28"/>
          <w:szCs w:val="28"/>
          <w14:textFill>
            <w14:solidFill>
              <w14:schemeClr w14:val="tx1"/>
            </w14:solidFill>
          </w14:textFill>
        </w:rPr>
        <w:t>一般公共服务支出9.3万元，占1.71%；社会保障和就业支出480.10万元，占88.36%；医疗卫生与计划生育支出23.60万元，占4.34%；住房保障支出30.37万元，占5.59%。</w:t>
      </w:r>
    </w:p>
    <w:p>
      <w:pPr>
        <w:spacing w:line="600" w:lineRule="exact"/>
        <w:ind w:firstLine="562" w:firstLineChars="200"/>
        <w:outlineLvl w:val="2"/>
        <w:rPr>
          <w:rFonts w:ascii="仿宋" w:hAnsi="仿宋" w:eastAsia="仿宋"/>
          <w:b/>
          <w:color w:val="000000"/>
          <w:sz w:val="28"/>
          <w:szCs w:val="28"/>
        </w:rPr>
      </w:pPr>
      <w:bookmarkStart w:id="33" w:name="_Toc15377212"/>
      <w:r>
        <w:rPr>
          <w:rFonts w:hint="eastAsia" w:ascii="仿宋" w:hAnsi="仿宋" w:eastAsia="仿宋"/>
          <w:b/>
          <w:color w:val="000000"/>
          <w:sz w:val="28"/>
          <w:szCs w:val="28"/>
        </w:rPr>
        <w:t>（三）一般公共预算财政拨款支出决算具体情况</w:t>
      </w:r>
      <w:bookmarkEnd w:id="33"/>
    </w:p>
    <w:p>
      <w:pPr>
        <w:spacing w:line="600" w:lineRule="exact"/>
        <w:ind w:firstLine="562" w:firstLineChars="200"/>
        <w:outlineLvl w:val="2"/>
        <w:rPr>
          <w:rFonts w:ascii="仿宋" w:hAnsi="仿宋" w:eastAsia="仿宋"/>
          <w:color w:val="FF0000"/>
          <w:sz w:val="28"/>
          <w:szCs w:val="28"/>
        </w:rPr>
      </w:pPr>
      <w:bookmarkStart w:id="34" w:name="_Toc15377444"/>
      <w:bookmarkStart w:id="35" w:name="_Toc15377213"/>
      <w:bookmarkStart w:id="36" w:name="_Toc15378460"/>
      <w:r>
        <w:rPr>
          <w:rFonts w:hint="eastAsia" w:ascii="仿宋" w:hAnsi="仿宋" w:eastAsia="仿宋"/>
          <w:b/>
          <w:color w:val="000000" w:themeColor="text1"/>
          <w:sz w:val="28"/>
          <w:szCs w:val="28"/>
          <w14:textFill>
            <w14:solidFill>
              <w14:schemeClr w14:val="tx1"/>
            </w14:solidFill>
          </w14:textFill>
        </w:rPr>
        <w:t>2018年一般公共预算支出决算数为543.3</w:t>
      </w:r>
      <w:r>
        <w:rPr>
          <w:rFonts w:ascii="仿宋" w:hAnsi="仿宋" w:eastAsia="仿宋"/>
          <w:b/>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w:t>
      </w:r>
      <w:r>
        <w:rPr>
          <w:rStyle w:val="14"/>
          <w:rFonts w:hint="eastAsia" w:ascii="仿宋" w:hAnsi="仿宋" w:eastAsia="仿宋"/>
          <w:bCs/>
          <w:color w:val="000000" w:themeColor="text1"/>
          <w:sz w:val="28"/>
          <w:szCs w:val="28"/>
          <w14:textFill>
            <w14:solidFill>
              <w14:schemeClr w14:val="tx1"/>
            </w14:solidFill>
          </w14:textFill>
        </w:rPr>
        <w:t>完成</w:t>
      </w:r>
      <w:r>
        <w:rPr>
          <w:rStyle w:val="14"/>
          <w:rFonts w:hint="eastAsia" w:ascii="仿宋" w:hAnsi="仿宋" w:eastAsia="仿宋"/>
          <w:bCs/>
          <w:color w:val="000000"/>
          <w:sz w:val="28"/>
          <w:szCs w:val="28"/>
        </w:rPr>
        <w:t>预算100</w:t>
      </w:r>
      <w:r>
        <w:rPr>
          <w:rStyle w:val="14"/>
          <w:rFonts w:ascii="仿宋" w:hAnsi="仿宋" w:eastAsia="仿宋"/>
          <w:bCs/>
          <w:color w:val="000000"/>
          <w:sz w:val="28"/>
          <w:szCs w:val="28"/>
        </w:rPr>
        <w:t>%</w:t>
      </w:r>
      <w:r>
        <w:rPr>
          <w:rStyle w:val="14"/>
          <w:rFonts w:hint="eastAsia" w:ascii="仿宋" w:hAnsi="仿宋" w:eastAsia="仿宋"/>
          <w:bCs/>
          <w:color w:val="000000"/>
          <w:sz w:val="28"/>
          <w:szCs w:val="28"/>
        </w:rPr>
        <w:t>。其中：</w:t>
      </w:r>
      <w:bookmarkEnd w:id="34"/>
      <w:bookmarkEnd w:id="35"/>
      <w:bookmarkEnd w:id="36"/>
    </w:p>
    <w:p>
      <w:pPr>
        <w:spacing w:line="600" w:lineRule="exact"/>
        <w:ind w:firstLine="562" w:firstLineChars="200"/>
        <w:rPr>
          <w:rFonts w:ascii="仿宋" w:hAnsi="仿宋" w:eastAsia="仿宋"/>
          <w:b/>
          <w:color w:val="000000"/>
          <w:sz w:val="28"/>
          <w:szCs w:val="28"/>
        </w:rPr>
      </w:pPr>
      <w:r>
        <w:rPr>
          <w:rStyle w:val="14"/>
          <w:rFonts w:ascii="仿宋" w:hAnsi="仿宋" w:eastAsia="仿宋"/>
          <w:bCs/>
          <w:color w:val="000000"/>
          <w:sz w:val="28"/>
          <w:szCs w:val="28"/>
        </w:rPr>
        <w:t>1.</w:t>
      </w:r>
      <w:r>
        <w:rPr>
          <w:rStyle w:val="14"/>
          <w:rFonts w:hint="eastAsia" w:ascii="仿宋" w:hAnsi="仿宋" w:eastAsia="仿宋"/>
          <w:bCs/>
          <w:color w:val="000000"/>
          <w:sz w:val="28"/>
          <w:szCs w:val="28"/>
        </w:rPr>
        <w:t>一般公共服务（201）人力资源事务（20110）军队转业干部安置（2011006）</w:t>
      </w:r>
      <w:r>
        <w:rPr>
          <w:rStyle w:val="14"/>
          <w:rFonts w:ascii="仿宋" w:hAnsi="仿宋" w:eastAsia="仿宋"/>
          <w:bCs/>
          <w:color w:val="000000"/>
          <w:sz w:val="28"/>
          <w:szCs w:val="28"/>
        </w:rPr>
        <w:t>:</w:t>
      </w:r>
      <w:r>
        <w:rPr>
          <w:rStyle w:val="14"/>
          <w:rFonts w:ascii="仿宋" w:hAnsi="仿宋" w:eastAsia="仿宋"/>
          <w:b w:val="0"/>
          <w:bCs/>
          <w:color w:val="000000"/>
          <w:sz w:val="28"/>
          <w:szCs w:val="28"/>
        </w:rPr>
        <w:t xml:space="preserve"> </w:t>
      </w:r>
      <w:r>
        <w:rPr>
          <w:rStyle w:val="14"/>
          <w:rFonts w:hint="eastAsia" w:ascii="仿宋" w:hAnsi="仿宋" w:eastAsia="仿宋"/>
          <w:b w:val="0"/>
          <w:bCs/>
          <w:color w:val="000000"/>
          <w:sz w:val="28"/>
          <w:szCs w:val="28"/>
        </w:rPr>
        <w:t>支出决算为9.3万元，完成预算100</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，决算数等于预算数，主要用于</w:t>
      </w:r>
      <w:r>
        <w:rPr>
          <w:rFonts w:hint="eastAsia" w:ascii="仿宋_GB2312" w:eastAsia="仿宋_GB2312"/>
          <w:sz w:val="28"/>
          <w:szCs w:val="28"/>
        </w:rPr>
        <w:t>军队转业干部职工医疗保险缴费</w:t>
      </w:r>
      <w:r>
        <w:rPr>
          <w:rStyle w:val="14"/>
          <w:rFonts w:hint="eastAsia" w:ascii="仿宋" w:hAnsi="仿宋" w:eastAsia="仿宋"/>
          <w:b w:val="0"/>
          <w:bCs/>
          <w:color w:val="000000"/>
          <w:sz w:val="28"/>
          <w:szCs w:val="28"/>
        </w:rPr>
        <w:t>。</w:t>
      </w:r>
    </w:p>
    <w:p>
      <w:pPr>
        <w:spacing w:line="600" w:lineRule="exact"/>
        <w:ind w:firstLine="562" w:firstLineChars="200"/>
        <w:rPr>
          <w:rStyle w:val="14"/>
          <w:rFonts w:ascii="仿宋" w:hAnsi="仿宋" w:eastAsia="仿宋"/>
          <w:b w:val="0"/>
          <w:bCs/>
          <w:color w:val="000000"/>
          <w:sz w:val="28"/>
          <w:szCs w:val="28"/>
        </w:rPr>
      </w:pPr>
      <w:r>
        <w:rPr>
          <w:rStyle w:val="14"/>
          <w:rFonts w:hint="eastAsia" w:ascii="仿宋" w:hAnsi="仿宋" w:eastAsia="仿宋"/>
          <w:bCs/>
          <w:color w:val="000000"/>
          <w:sz w:val="28"/>
          <w:szCs w:val="28"/>
        </w:rPr>
        <w:t>2</w:t>
      </w:r>
      <w:r>
        <w:rPr>
          <w:rStyle w:val="14"/>
          <w:rFonts w:ascii="仿宋" w:hAnsi="仿宋" w:eastAsia="仿宋"/>
          <w:bCs/>
          <w:color w:val="000000"/>
          <w:sz w:val="28"/>
          <w:szCs w:val="28"/>
        </w:rPr>
        <w:t>.</w:t>
      </w:r>
      <w:r>
        <w:rPr>
          <w:rStyle w:val="14"/>
          <w:rFonts w:hint="eastAsia" w:ascii="仿宋" w:hAnsi="仿宋" w:eastAsia="仿宋"/>
          <w:bCs/>
          <w:color w:val="000000"/>
          <w:sz w:val="28"/>
          <w:szCs w:val="28"/>
        </w:rPr>
        <w:t>社会保障和就业（208）人力资源和社会保障管理事务（20801）行政运行（2080101）</w:t>
      </w:r>
      <w:r>
        <w:rPr>
          <w:rStyle w:val="14"/>
          <w:rFonts w:ascii="仿宋" w:hAnsi="仿宋" w:eastAsia="仿宋"/>
          <w:bCs/>
          <w:color w:val="000000"/>
          <w:sz w:val="28"/>
          <w:szCs w:val="28"/>
        </w:rPr>
        <w:t>:</w:t>
      </w:r>
      <w:r>
        <w:rPr>
          <w:rStyle w:val="14"/>
          <w:rFonts w:ascii="仿宋" w:hAnsi="仿宋" w:eastAsia="仿宋"/>
          <w:b w:val="0"/>
          <w:bCs/>
          <w:color w:val="000000"/>
          <w:sz w:val="28"/>
          <w:szCs w:val="28"/>
        </w:rPr>
        <w:t xml:space="preserve"> </w:t>
      </w:r>
      <w:r>
        <w:rPr>
          <w:rStyle w:val="14"/>
          <w:rFonts w:hint="eastAsia" w:ascii="仿宋" w:hAnsi="仿宋" w:eastAsia="仿宋"/>
          <w:b w:val="0"/>
          <w:bCs/>
          <w:color w:val="000000"/>
          <w:sz w:val="28"/>
          <w:szCs w:val="28"/>
        </w:rPr>
        <w:t>支出决算为373.69万元，完成预算100</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，决算数等于预算数，主要用于单位职工基本工资、津补贴等人员经费以及日常公用经费支出。</w:t>
      </w:r>
    </w:p>
    <w:p>
      <w:pPr>
        <w:spacing w:line="600" w:lineRule="exact"/>
        <w:ind w:firstLine="562" w:firstLineChars="200"/>
        <w:rPr>
          <w:rStyle w:val="14"/>
          <w:rFonts w:ascii="仿宋" w:hAnsi="仿宋" w:eastAsia="仿宋"/>
          <w:b w:val="0"/>
          <w:bCs/>
          <w:color w:val="000000"/>
          <w:sz w:val="28"/>
          <w:szCs w:val="28"/>
        </w:rPr>
      </w:pPr>
      <w:r>
        <w:rPr>
          <w:rStyle w:val="14"/>
          <w:rFonts w:hint="eastAsia" w:ascii="仿宋" w:hAnsi="仿宋" w:eastAsia="仿宋"/>
          <w:bCs/>
          <w:color w:val="000000"/>
          <w:sz w:val="28"/>
          <w:szCs w:val="28"/>
        </w:rPr>
        <w:t>社会保障和就业（208）人力资源和社会保障管理事务（20801）一般行政管理事务（208010</w:t>
      </w:r>
      <w:r>
        <w:rPr>
          <w:rStyle w:val="14"/>
          <w:rFonts w:ascii="仿宋" w:hAnsi="仿宋" w:eastAsia="仿宋"/>
          <w:bCs/>
          <w:color w:val="000000"/>
          <w:sz w:val="28"/>
          <w:szCs w:val="28"/>
        </w:rPr>
        <w:t>2</w:t>
      </w:r>
      <w:r>
        <w:rPr>
          <w:rStyle w:val="14"/>
          <w:rFonts w:hint="eastAsia" w:ascii="仿宋" w:hAnsi="仿宋" w:eastAsia="仿宋"/>
          <w:bCs/>
          <w:color w:val="000000"/>
          <w:sz w:val="28"/>
          <w:szCs w:val="28"/>
        </w:rPr>
        <w:t>）</w:t>
      </w:r>
      <w:r>
        <w:rPr>
          <w:rStyle w:val="14"/>
          <w:rFonts w:ascii="仿宋" w:hAnsi="仿宋" w:eastAsia="仿宋"/>
          <w:bCs/>
          <w:color w:val="000000"/>
          <w:sz w:val="28"/>
          <w:szCs w:val="28"/>
        </w:rPr>
        <w:t>:</w:t>
      </w:r>
      <w:r>
        <w:rPr>
          <w:rStyle w:val="14"/>
          <w:rFonts w:ascii="仿宋" w:hAnsi="仿宋" w:eastAsia="仿宋"/>
          <w:b w:val="0"/>
          <w:bCs/>
          <w:color w:val="000000"/>
          <w:sz w:val="28"/>
          <w:szCs w:val="28"/>
        </w:rPr>
        <w:t xml:space="preserve"> </w:t>
      </w:r>
      <w:r>
        <w:rPr>
          <w:rStyle w:val="14"/>
          <w:rFonts w:hint="eastAsia" w:ascii="仿宋" w:hAnsi="仿宋" w:eastAsia="仿宋"/>
          <w:b w:val="0"/>
          <w:bCs/>
          <w:color w:val="000000"/>
          <w:sz w:val="28"/>
          <w:szCs w:val="28"/>
        </w:rPr>
        <w:t>支出决算为</w:t>
      </w:r>
      <w:r>
        <w:rPr>
          <w:rStyle w:val="14"/>
          <w:rFonts w:ascii="仿宋" w:hAnsi="仿宋" w:eastAsia="仿宋"/>
          <w:b w:val="0"/>
          <w:bCs/>
          <w:color w:val="000000"/>
          <w:sz w:val="28"/>
          <w:szCs w:val="28"/>
        </w:rPr>
        <w:t>40.70</w:t>
      </w:r>
      <w:r>
        <w:rPr>
          <w:rStyle w:val="14"/>
          <w:rFonts w:hint="eastAsia" w:ascii="仿宋" w:hAnsi="仿宋" w:eastAsia="仿宋"/>
          <w:b w:val="0"/>
          <w:bCs/>
          <w:color w:val="000000"/>
          <w:sz w:val="28"/>
          <w:szCs w:val="28"/>
        </w:rPr>
        <w:t>万元，完成预算100</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，决算数等于预算数，主要用于单位医保监督检查等专项业务工作经费支出。</w:t>
      </w:r>
    </w:p>
    <w:p>
      <w:pPr>
        <w:spacing w:line="600" w:lineRule="exact"/>
        <w:ind w:firstLine="562" w:firstLineChars="200"/>
        <w:rPr>
          <w:rStyle w:val="14"/>
          <w:rFonts w:ascii="仿宋" w:hAnsi="仿宋" w:eastAsia="仿宋"/>
          <w:b w:val="0"/>
          <w:bCs/>
          <w:color w:val="000000"/>
          <w:sz w:val="28"/>
          <w:szCs w:val="28"/>
        </w:rPr>
      </w:pPr>
      <w:r>
        <w:rPr>
          <w:rStyle w:val="14"/>
          <w:rFonts w:hint="eastAsia" w:ascii="仿宋" w:hAnsi="仿宋" w:eastAsia="仿宋"/>
          <w:bCs/>
          <w:color w:val="000000"/>
          <w:sz w:val="28"/>
          <w:szCs w:val="28"/>
        </w:rPr>
        <w:t>社会保障和就业（208）人力资源和社会保障管理事务（20801）社会保险经办机构（208010</w:t>
      </w:r>
      <w:r>
        <w:rPr>
          <w:rStyle w:val="14"/>
          <w:rFonts w:ascii="仿宋" w:hAnsi="仿宋" w:eastAsia="仿宋"/>
          <w:bCs/>
          <w:color w:val="000000"/>
          <w:sz w:val="28"/>
          <w:szCs w:val="28"/>
        </w:rPr>
        <w:t>2</w:t>
      </w:r>
      <w:r>
        <w:rPr>
          <w:rStyle w:val="14"/>
          <w:rFonts w:hint="eastAsia" w:ascii="仿宋" w:hAnsi="仿宋" w:eastAsia="仿宋"/>
          <w:bCs/>
          <w:color w:val="000000"/>
          <w:sz w:val="28"/>
          <w:szCs w:val="28"/>
        </w:rPr>
        <w:t>）</w:t>
      </w:r>
      <w:r>
        <w:rPr>
          <w:rStyle w:val="14"/>
          <w:rFonts w:ascii="仿宋" w:hAnsi="仿宋" w:eastAsia="仿宋"/>
          <w:bCs/>
          <w:color w:val="000000"/>
          <w:sz w:val="28"/>
          <w:szCs w:val="28"/>
        </w:rPr>
        <w:t>:</w:t>
      </w:r>
      <w:r>
        <w:rPr>
          <w:rStyle w:val="14"/>
          <w:rFonts w:ascii="仿宋" w:hAnsi="仿宋" w:eastAsia="仿宋"/>
          <w:b w:val="0"/>
          <w:bCs/>
          <w:color w:val="000000"/>
          <w:sz w:val="28"/>
          <w:szCs w:val="28"/>
        </w:rPr>
        <w:t xml:space="preserve"> </w:t>
      </w:r>
      <w:r>
        <w:rPr>
          <w:rStyle w:val="14"/>
          <w:rFonts w:hint="eastAsia" w:ascii="仿宋" w:hAnsi="仿宋" w:eastAsia="仿宋"/>
          <w:b w:val="0"/>
          <w:bCs/>
          <w:color w:val="000000"/>
          <w:sz w:val="28"/>
          <w:szCs w:val="28"/>
        </w:rPr>
        <w:t>支出决算为</w:t>
      </w:r>
      <w:r>
        <w:rPr>
          <w:rStyle w:val="14"/>
          <w:rFonts w:ascii="仿宋" w:hAnsi="仿宋" w:eastAsia="仿宋"/>
          <w:b w:val="0"/>
          <w:bCs/>
          <w:color w:val="000000"/>
          <w:sz w:val="28"/>
          <w:szCs w:val="28"/>
        </w:rPr>
        <w:t>19.85</w:t>
      </w:r>
      <w:r>
        <w:rPr>
          <w:rStyle w:val="14"/>
          <w:rFonts w:hint="eastAsia" w:ascii="仿宋" w:hAnsi="仿宋" w:eastAsia="仿宋"/>
          <w:b w:val="0"/>
          <w:bCs/>
          <w:color w:val="000000"/>
          <w:sz w:val="28"/>
          <w:szCs w:val="28"/>
        </w:rPr>
        <w:t>万元，完成预算100</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，决算数等于预算数，主要用于单位医疗保险参保登记专项工作经费支出。</w:t>
      </w:r>
    </w:p>
    <w:p>
      <w:pPr>
        <w:spacing w:line="600" w:lineRule="exact"/>
        <w:ind w:firstLine="562" w:firstLineChars="200"/>
        <w:rPr>
          <w:rFonts w:ascii="仿宋" w:hAnsi="仿宋" w:eastAsia="仿宋"/>
          <w:b/>
          <w:color w:val="000000"/>
          <w:sz w:val="28"/>
          <w:szCs w:val="28"/>
        </w:rPr>
      </w:pPr>
      <w:r>
        <w:rPr>
          <w:rStyle w:val="14"/>
          <w:rFonts w:hint="eastAsia" w:ascii="仿宋" w:hAnsi="仿宋" w:eastAsia="仿宋"/>
          <w:bCs/>
          <w:color w:val="000000"/>
          <w:sz w:val="28"/>
          <w:szCs w:val="28"/>
        </w:rPr>
        <w:t>3</w:t>
      </w:r>
      <w:r>
        <w:rPr>
          <w:rStyle w:val="14"/>
          <w:rFonts w:ascii="仿宋" w:hAnsi="仿宋" w:eastAsia="仿宋"/>
          <w:bCs/>
          <w:color w:val="000000"/>
          <w:sz w:val="28"/>
          <w:szCs w:val="28"/>
        </w:rPr>
        <w:t>.</w:t>
      </w:r>
      <w:bookmarkStart w:id="37" w:name="_Hlk19354284"/>
      <w:r>
        <w:rPr>
          <w:rStyle w:val="14"/>
          <w:rFonts w:hint="eastAsia" w:ascii="仿宋" w:hAnsi="仿宋" w:eastAsia="仿宋"/>
          <w:bCs/>
          <w:color w:val="000000"/>
          <w:sz w:val="28"/>
          <w:szCs w:val="28"/>
        </w:rPr>
        <w:t>医疗卫生与计划生育（2</w:t>
      </w:r>
      <w:r>
        <w:rPr>
          <w:rStyle w:val="14"/>
          <w:rFonts w:ascii="仿宋" w:hAnsi="仿宋" w:eastAsia="仿宋"/>
          <w:bCs/>
          <w:color w:val="000000"/>
          <w:sz w:val="28"/>
          <w:szCs w:val="28"/>
        </w:rPr>
        <w:t>10</w:t>
      </w:r>
      <w:r>
        <w:rPr>
          <w:rStyle w:val="14"/>
          <w:rFonts w:hint="eastAsia" w:ascii="仿宋" w:hAnsi="仿宋" w:eastAsia="仿宋"/>
          <w:bCs/>
          <w:color w:val="000000"/>
          <w:sz w:val="28"/>
          <w:szCs w:val="28"/>
        </w:rPr>
        <w:t>）医疗卫生与计划生育支出（2</w:t>
      </w:r>
      <w:r>
        <w:rPr>
          <w:rStyle w:val="14"/>
          <w:rFonts w:ascii="仿宋" w:hAnsi="仿宋" w:eastAsia="仿宋"/>
          <w:bCs/>
          <w:color w:val="000000"/>
          <w:sz w:val="28"/>
          <w:szCs w:val="28"/>
        </w:rPr>
        <w:t>1001</w:t>
      </w:r>
      <w:r>
        <w:rPr>
          <w:rStyle w:val="14"/>
          <w:rFonts w:hint="eastAsia" w:ascii="仿宋" w:hAnsi="仿宋" w:eastAsia="仿宋"/>
          <w:bCs/>
          <w:color w:val="000000"/>
          <w:sz w:val="28"/>
          <w:szCs w:val="28"/>
        </w:rPr>
        <w:t>）其他医疗卫生与计划生育管理事务支出（2</w:t>
      </w:r>
      <w:r>
        <w:rPr>
          <w:rStyle w:val="14"/>
          <w:rFonts w:ascii="仿宋" w:hAnsi="仿宋" w:eastAsia="仿宋"/>
          <w:bCs/>
          <w:color w:val="000000"/>
          <w:sz w:val="28"/>
          <w:szCs w:val="28"/>
        </w:rPr>
        <w:t>100199</w:t>
      </w:r>
      <w:r>
        <w:rPr>
          <w:rStyle w:val="14"/>
          <w:rFonts w:hint="eastAsia" w:ascii="仿宋" w:hAnsi="仿宋" w:eastAsia="仿宋"/>
          <w:bCs/>
          <w:color w:val="000000"/>
          <w:sz w:val="28"/>
          <w:szCs w:val="28"/>
        </w:rPr>
        <w:t>）</w:t>
      </w:r>
      <w:r>
        <w:rPr>
          <w:rStyle w:val="14"/>
          <w:rFonts w:ascii="仿宋" w:hAnsi="仿宋" w:eastAsia="仿宋"/>
          <w:bCs/>
          <w:color w:val="000000"/>
          <w:sz w:val="28"/>
          <w:szCs w:val="28"/>
        </w:rPr>
        <w:t>:</w:t>
      </w:r>
      <w:r>
        <w:rPr>
          <w:rStyle w:val="14"/>
          <w:rFonts w:hint="eastAsia" w:ascii="仿宋" w:hAnsi="仿宋" w:eastAsia="仿宋"/>
          <w:b w:val="0"/>
          <w:bCs/>
          <w:color w:val="000000"/>
          <w:sz w:val="28"/>
          <w:szCs w:val="28"/>
        </w:rPr>
        <w:t>支出决算为</w:t>
      </w:r>
      <w:r>
        <w:rPr>
          <w:rStyle w:val="14"/>
          <w:rFonts w:ascii="仿宋" w:hAnsi="仿宋" w:eastAsia="仿宋"/>
          <w:b w:val="0"/>
          <w:bCs/>
          <w:color w:val="000000"/>
          <w:sz w:val="28"/>
          <w:szCs w:val="28"/>
        </w:rPr>
        <w:t>1.44</w:t>
      </w:r>
      <w:r>
        <w:rPr>
          <w:rStyle w:val="14"/>
          <w:rFonts w:hint="eastAsia" w:ascii="仿宋" w:hAnsi="仿宋" w:eastAsia="仿宋"/>
          <w:b w:val="0"/>
          <w:bCs/>
          <w:color w:val="000000"/>
          <w:sz w:val="28"/>
          <w:szCs w:val="28"/>
        </w:rPr>
        <w:t>万元，完成预算</w:t>
      </w:r>
      <w:r>
        <w:rPr>
          <w:rStyle w:val="14"/>
          <w:rFonts w:ascii="仿宋" w:hAnsi="仿宋" w:eastAsia="仿宋"/>
          <w:b w:val="0"/>
          <w:bCs/>
          <w:color w:val="000000"/>
          <w:sz w:val="28"/>
          <w:szCs w:val="28"/>
        </w:rPr>
        <w:t>100%</w:t>
      </w:r>
      <w:r>
        <w:rPr>
          <w:rStyle w:val="14"/>
          <w:rFonts w:hint="eastAsia" w:ascii="仿宋" w:hAnsi="仿宋" w:eastAsia="仿宋"/>
          <w:b w:val="0"/>
          <w:bCs/>
          <w:color w:val="000000"/>
          <w:sz w:val="28"/>
          <w:szCs w:val="28"/>
        </w:rPr>
        <w:t>，决算数等于预算数，主要用于日常公用经费支出。</w:t>
      </w:r>
      <w:bookmarkEnd w:id="37"/>
    </w:p>
    <w:p>
      <w:pPr>
        <w:spacing w:line="600" w:lineRule="exact"/>
        <w:ind w:firstLine="640"/>
        <w:rPr>
          <w:rStyle w:val="14"/>
          <w:rFonts w:ascii="仿宋" w:hAnsi="仿宋" w:eastAsia="仿宋"/>
          <w:b w:val="0"/>
          <w:bCs/>
          <w:color w:val="000000"/>
          <w:sz w:val="28"/>
          <w:szCs w:val="28"/>
        </w:rPr>
      </w:pPr>
      <w:r>
        <w:rPr>
          <w:rStyle w:val="14"/>
          <w:rFonts w:hint="eastAsia" w:ascii="仿宋" w:hAnsi="仿宋" w:eastAsia="仿宋"/>
          <w:bCs/>
          <w:color w:val="000000"/>
          <w:sz w:val="28"/>
          <w:szCs w:val="28"/>
        </w:rPr>
        <w:t>医疗卫生与计划生育（2</w:t>
      </w:r>
      <w:r>
        <w:rPr>
          <w:rStyle w:val="14"/>
          <w:rFonts w:ascii="仿宋" w:hAnsi="仿宋" w:eastAsia="仿宋"/>
          <w:bCs/>
          <w:color w:val="000000"/>
          <w:sz w:val="28"/>
          <w:szCs w:val="28"/>
        </w:rPr>
        <w:t>10</w:t>
      </w:r>
      <w:r>
        <w:rPr>
          <w:rStyle w:val="14"/>
          <w:rFonts w:hint="eastAsia" w:ascii="仿宋" w:hAnsi="仿宋" w:eastAsia="仿宋"/>
          <w:bCs/>
          <w:color w:val="000000"/>
          <w:sz w:val="28"/>
          <w:szCs w:val="28"/>
        </w:rPr>
        <w:t>）行政事业单位医疗（2</w:t>
      </w:r>
      <w:r>
        <w:rPr>
          <w:rStyle w:val="14"/>
          <w:rFonts w:ascii="仿宋" w:hAnsi="仿宋" w:eastAsia="仿宋"/>
          <w:bCs/>
          <w:color w:val="000000"/>
          <w:sz w:val="28"/>
          <w:szCs w:val="28"/>
        </w:rPr>
        <w:t>1011</w:t>
      </w:r>
      <w:r>
        <w:rPr>
          <w:rStyle w:val="14"/>
          <w:rFonts w:hint="eastAsia" w:ascii="仿宋" w:hAnsi="仿宋" w:eastAsia="仿宋"/>
          <w:bCs/>
          <w:color w:val="000000"/>
          <w:sz w:val="28"/>
          <w:szCs w:val="28"/>
        </w:rPr>
        <w:t>）行政单位医疗（</w:t>
      </w:r>
      <w:r>
        <w:rPr>
          <w:rStyle w:val="14"/>
          <w:rFonts w:ascii="仿宋" w:hAnsi="仿宋" w:eastAsia="仿宋"/>
          <w:bCs/>
          <w:color w:val="000000"/>
          <w:sz w:val="28"/>
          <w:szCs w:val="28"/>
        </w:rPr>
        <w:t>2101101</w:t>
      </w:r>
      <w:r>
        <w:rPr>
          <w:rStyle w:val="14"/>
          <w:rFonts w:hint="eastAsia" w:ascii="仿宋" w:hAnsi="仿宋" w:eastAsia="仿宋"/>
          <w:bCs/>
          <w:color w:val="000000"/>
          <w:sz w:val="28"/>
          <w:szCs w:val="28"/>
        </w:rPr>
        <w:t>）</w:t>
      </w:r>
      <w:r>
        <w:rPr>
          <w:rStyle w:val="14"/>
          <w:rFonts w:ascii="仿宋" w:hAnsi="仿宋" w:eastAsia="仿宋"/>
          <w:bCs/>
          <w:color w:val="000000"/>
          <w:sz w:val="28"/>
          <w:szCs w:val="28"/>
        </w:rPr>
        <w:t>:</w:t>
      </w:r>
      <w:r>
        <w:rPr>
          <w:rStyle w:val="14"/>
          <w:rFonts w:hint="eastAsia" w:ascii="仿宋" w:hAnsi="仿宋" w:eastAsia="仿宋"/>
          <w:b w:val="0"/>
          <w:bCs/>
          <w:color w:val="000000"/>
          <w:sz w:val="28"/>
          <w:szCs w:val="28"/>
        </w:rPr>
        <w:t>支出决算为</w:t>
      </w:r>
      <w:r>
        <w:rPr>
          <w:rStyle w:val="14"/>
          <w:rFonts w:ascii="仿宋" w:hAnsi="仿宋" w:eastAsia="仿宋"/>
          <w:b w:val="0"/>
          <w:bCs/>
          <w:color w:val="000000"/>
          <w:sz w:val="28"/>
          <w:szCs w:val="28"/>
        </w:rPr>
        <w:t>22.16</w:t>
      </w:r>
      <w:r>
        <w:rPr>
          <w:rStyle w:val="14"/>
          <w:rFonts w:hint="eastAsia" w:ascii="仿宋" w:hAnsi="仿宋" w:eastAsia="仿宋"/>
          <w:b w:val="0"/>
          <w:bCs/>
          <w:color w:val="000000"/>
          <w:sz w:val="28"/>
          <w:szCs w:val="28"/>
        </w:rPr>
        <w:t>万元，完成预算</w:t>
      </w:r>
      <w:r>
        <w:rPr>
          <w:rStyle w:val="14"/>
          <w:rFonts w:ascii="仿宋" w:hAnsi="仿宋" w:eastAsia="仿宋"/>
          <w:b w:val="0"/>
          <w:bCs/>
          <w:color w:val="000000"/>
          <w:sz w:val="28"/>
          <w:szCs w:val="28"/>
        </w:rPr>
        <w:t>100%</w:t>
      </w:r>
      <w:r>
        <w:rPr>
          <w:rStyle w:val="14"/>
          <w:rFonts w:hint="eastAsia" w:ascii="仿宋" w:hAnsi="仿宋" w:eastAsia="仿宋"/>
          <w:b w:val="0"/>
          <w:bCs/>
          <w:color w:val="000000"/>
          <w:sz w:val="28"/>
          <w:szCs w:val="28"/>
        </w:rPr>
        <w:t>，决算数等于预算数，主要用于单位职工医疗保险缴费。</w:t>
      </w:r>
    </w:p>
    <w:p>
      <w:pPr>
        <w:spacing w:line="600" w:lineRule="exact"/>
        <w:ind w:firstLine="640"/>
        <w:rPr>
          <w:rFonts w:ascii="仿宋" w:hAnsi="仿宋" w:eastAsia="仿宋"/>
          <w:bCs/>
          <w:color w:val="000000"/>
          <w:sz w:val="28"/>
          <w:szCs w:val="28"/>
        </w:rPr>
      </w:pPr>
      <w:r>
        <w:rPr>
          <w:rFonts w:hint="eastAsia" w:ascii="仿宋" w:hAnsi="仿宋" w:eastAsia="仿宋"/>
          <w:b/>
          <w:color w:val="000000"/>
          <w:sz w:val="28"/>
          <w:szCs w:val="28"/>
        </w:rPr>
        <w:t>住房保障支出（2</w:t>
      </w:r>
      <w:r>
        <w:rPr>
          <w:rFonts w:ascii="仿宋" w:hAnsi="仿宋" w:eastAsia="仿宋"/>
          <w:b/>
          <w:color w:val="000000"/>
          <w:sz w:val="28"/>
          <w:szCs w:val="28"/>
        </w:rPr>
        <w:t>21</w:t>
      </w:r>
      <w:r>
        <w:rPr>
          <w:rFonts w:hint="eastAsia" w:ascii="仿宋" w:hAnsi="仿宋" w:eastAsia="仿宋"/>
          <w:b/>
          <w:color w:val="000000"/>
          <w:sz w:val="28"/>
          <w:szCs w:val="28"/>
        </w:rPr>
        <w:t>）住房改革支出（2</w:t>
      </w:r>
      <w:r>
        <w:rPr>
          <w:rFonts w:ascii="仿宋" w:hAnsi="仿宋" w:eastAsia="仿宋"/>
          <w:b/>
          <w:color w:val="000000"/>
          <w:sz w:val="28"/>
          <w:szCs w:val="28"/>
        </w:rPr>
        <w:t>2102</w:t>
      </w:r>
      <w:r>
        <w:rPr>
          <w:rFonts w:hint="eastAsia" w:ascii="仿宋" w:hAnsi="仿宋" w:eastAsia="仿宋"/>
          <w:b/>
          <w:color w:val="000000"/>
          <w:sz w:val="28"/>
          <w:szCs w:val="28"/>
        </w:rPr>
        <w:t>）住房公积金（2</w:t>
      </w:r>
      <w:r>
        <w:rPr>
          <w:rFonts w:ascii="仿宋" w:hAnsi="仿宋" w:eastAsia="仿宋"/>
          <w:b/>
          <w:color w:val="000000"/>
          <w:sz w:val="28"/>
          <w:szCs w:val="28"/>
        </w:rPr>
        <w:t>210201</w:t>
      </w:r>
      <w:r>
        <w:rPr>
          <w:rFonts w:hint="eastAsia" w:ascii="仿宋" w:hAnsi="仿宋" w:eastAsia="仿宋"/>
          <w:b/>
          <w:color w:val="000000"/>
          <w:sz w:val="28"/>
          <w:szCs w:val="28"/>
        </w:rPr>
        <w:t>）：支出决算数为3</w:t>
      </w:r>
      <w:r>
        <w:rPr>
          <w:rFonts w:ascii="仿宋" w:hAnsi="仿宋" w:eastAsia="仿宋"/>
          <w:b/>
          <w:color w:val="000000"/>
          <w:sz w:val="28"/>
          <w:szCs w:val="28"/>
        </w:rPr>
        <w:t>0.37</w:t>
      </w:r>
      <w:r>
        <w:rPr>
          <w:rFonts w:hint="eastAsia" w:ascii="仿宋" w:hAnsi="仿宋" w:eastAsia="仿宋"/>
          <w:b/>
          <w:color w:val="000000"/>
          <w:sz w:val="28"/>
          <w:szCs w:val="28"/>
        </w:rPr>
        <w:t>万元，</w:t>
      </w:r>
      <w:r>
        <w:rPr>
          <w:rStyle w:val="14"/>
          <w:rFonts w:hint="eastAsia" w:ascii="仿宋" w:hAnsi="仿宋" w:eastAsia="仿宋"/>
          <w:b w:val="0"/>
          <w:bCs/>
          <w:color w:val="000000"/>
          <w:sz w:val="28"/>
          <w:szCs w:val="28"/>
        </w:rPr>
        <w:t>完成预算</w:t>
      </w:r>
      <w:r>
        <w:rPr>
          <w:rStyle w:val="14"/>
          <w:rFonts w:ascii="仿宋" w:hAnsi="仿宋" w:eastAsia="仿宋"/>
          <w:b w:val="0"/>
          <w:bCs/>
          <w:color w:val="000000"/>
          <w:sz w:val="28"/>
          <w:szCs w:val="28"/>
        </w:rPr>
        <w:t>100%</w:t>
      </w:r>
      <w:r>
        <w:rPr>
          <w:rStyle w:val="14"/>
          <w:rFonts w:hint="eastAsia" w:ascii="仿宋" w:hAnsi="仿宋" w:eastAsia="仿宋"/>
          <w:b w:val="0"/>
          <w:bCs/>
          <w:color w:val="000000"/>
          <w:sz w:val="28"/>
          <w:szCs w:val="28"/>
        </w:rPr>
        <w:t>，决算数等于预算数，主要用于单位职工住房公积金缴费。</w:t>
      </w:r>
    </w:p>
    <w:p>
      <w:pPr>
        <w:tabs>
          <w:tab w:val="right" w:pos="8306"/>
        </w:tabs>
        <w:spacing w:line="600" w:lineRule="exact"/>
        <w:ind w:firstLine="640"/>
        <w:outlineLvl w:val="1"/>
        <w:rPr>
          <w:rStyle w:val="25"/>
          <w:sz w:val="28"/>
          <w:szCs w:val="28"/>
        </w:rPr>
      </w:pPr>
      <w:bookmarkStart w:id="38" w:name="_Toc15377214"/>
      <w:bookmarkStart w:id="39" w:name="_Toc15396608"/>
      <w:r>
        <w:rPr>
          <w:rFonts w:hint="eastAsia" w:ascii="黑体" w:eastAsia="黑体"/>
          <w:color w:val="000000"/>
          <w:sz w:val="28"/>
          <w:szCs w:val="28"/>
        </w:rPr>
        <w:t>六</w:t>
      </w:r>
      <w:r>
        <w:rPr>
          <w:rFonts w:hint="eastAsia" w:ascii="黑体" w:eastAsia="黑体"/>
          <w:b/>
          <w:color w:val="000000"/>
          <w:sz w:val="28"/>
          <w:szCs w:val="28"/>
        </w:rPr>
        <w:t>、</w:t>
      </w:r>
      <w:r>
        <w:rPr>
          <w:rFonts w:hint="eastAsia" w:ascii="黑体" w:hAnsi="黑体" w:eastAsia="黑体"/>
          <w:b/>
          <w:color w:val="000000"/>
          <w:sz w:val="28"/>
          <w:szCs w:val="28"/>
        </w:rPr>
        <w:t>一</w:t>
      </w:r>
      <w:r>
        <w:rPr>
          <w:rStyle w:val="25"/>
          <w:rFonts w:hint="eastAsia" w:ascii="黑体" w:hAnsi="黑体" w:eastAsia="黑体"/>
          <w:b w:val="0"/>
          <w:sz w:val="28"/>
          <w:szCs w:val="28"/>
        </w:rPr>
        <w:t>般公共预算财政拨款基本支出决算情况说明</w:t>
      </w:r>
      <w:bookmarkEnd w:id="38"/>
      <w:bookmarkEnd w:id="39"/>
      <w:r>
        <w:rPr>
          <w:rStyle w:val="25"/>
          <w:rFonts w:ascii="黑体" w:hAnsi="黑体" w:eastAsia="黑体"/>
          <w:b w:val="0"/>
          <w:sz w:val="28"/>
          <w:szCs w:val="28"/>
        </w:rPr>
        <w:tab/>
      </w:r>
    </w:p>
    <w:p>
      <w:pPr>
        <w:spacing w:line="600" w:lineRule="exact"/>
        <w:ind w:firstLine="645"/>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8年一般公共预算财政拨款基本支出</w:t>
      </w:r>
      <w:r>
        <w:rPr>
          <w:rFonts w:ascii="仿宋" w:hAnsi="仿宋" w:eastAsia="仿宋"/>
          <w:color w:val="000000"/>
          <w:sz w:val="28"/>
          <w:szCs w:val="28"/>
        </w:rPr>
        <w:t>473.52</w:t>
      </w:r>
      <w:r>
        <w:rPr>
          <w:rFonts w:hint="eastAsia" w:ascii="仿宋" w:hAnsi="仿宋" w:eastAsia="仿宋"/>
          <w:color w:val="000000"/>
          <w:sz w:val="28"/>
          <w:szCs w:val="28"/>
        </w:rPr>
        <w:t>万元，其中：</w:t>
      </w:r>
    </w:p>
    <w:p>
      <w:pPr>
        <w:spacing w:line="600" w:lineRule="exact"/>
        <w:ind w:firstLine="645"/>
        <w:rPr>
          <w:rFonts w:ascii="仿宋" w:hAnsi="仿宋" w:eastAsia="仿宋"/>
          <w:color w:val="000000"/>
          <w:sz w:val="28"/>
          <w:szCs w:val="28"/>
        </w:rPr>
      </w:pPr>
      <w:r>
        <w:rPr>
          <w:rFonts w:hint="eastAsia" w:ascii="仿宋" w:hAnsi="仿宋" w:eastAsia="仿宋"/>
          <w:color w:val="000000"/>
          <w:sz w:val="28"/>
          <w:szCs w:val="28"/>
        </w:rPr>
        <w:t>人员经费4</w:t>
      </w:r>
      <w:r>
        <w:rPr>
          <w:rFonts w:ascii="仿宋" w:hAnsi="仿宋" w:eastAsia="仿宋"/>
          <w:color w:val="000000"/>
          <w:sz w:val="28"/>
          <w:szCs w:val="28"/>
        </w:rPr>
        <w:t>34.66</w:t>
      </w:r>
      <w:r>
        <w:rPr>
          <w:rFonts w:hint="eastAsia" w:ascii="仿宋" w:hAnsi="仿宋" w:eastAsia="仿宋"/>
          <w:color w:val="000000"/>
          <w:sz w:val="28"/>
          <w:szCs w:val="28"/>
        </w:rPr>
        <w:t>万元，主要包括：基本工资、津贴补贴、奖金、伙食补助费、绩效工资、机关事业单位基本养老保险缴费、职业年金缴费、其他社会保障缴费、其他工资福利支出、生活补助、医疗费、住房公积金等。</w:t>
      </w:r>
      <w:r>
        <w:rPr>
          <w:rFonts w:ascii="仿宋" w:hAnsi="仿宋" w:eastAsia="仿宋"/>
          <w:color w:val="000000"/>
          <w:sz w:val="28"/>
          <w:szCs w:val="28"/>
        </w:rPr>
        <w:br w:type="textWrapping"/>
      </w:r>
      <w:r>
        <w:rPr>
          <w:rFonts w:hint="eastAsia" w:ascii="仿宋" w:hAnsi="仿宋" w:eastAsia="仿宋"/>
          <w:color w:val="000000"/>
          <w:sz w:val="28"/>
          <w:szCs w:val="28"/>
        </w:rPr>
        <w:t>　　公用经费</w:t>
      </w:r>
      <w:r>
        <w:rPr>
          <w:rFonts w:ascii="仿宋" w:hAnsi="仿宋" w:eastAsia="仿宋"/>
          <w:color w:val="000000"/>
          <w:sz w:val="28"/>
          <w:szCs w:val="28"/>
        </w:rPr>
        <w:t>38.86</w:t>
      </w:r>
      <w:r>
        <w:rPr>
          <w:rFonts w:hint="eastAsia" w:ascii="仿宋" w:hAnsi="仿宋" w:eastAsia="仿宋"/>
          <w:color w:val="000000"/>
          <w:sz w:val="28"/>
          <w:szCs w:val="28"/>
        </w:rPr>
        <w:t>万元，主要包括：办公费、印刷费、手续费、水费、邮电费、差旅费、维修（护）费、培训费、公务接待费、劳务费、工会经费、其他交通费、其他商品和服务支出等。</w:t>
      </w:r>
    </w:p>
    <w:p>
      <w:pPr>
        <w:spacing w:line="600" w:lineRule="exact"/>
        <w:ind w:firstLine="560" w:firstLineChars="200"/>
        <w:outlineLvl w:val="1"/>
        <w:rPr>
          <w:rStyle w:val="25"/>
          <w:rFonts w:ascii="黑体" w:hAnsi="黑体" w:eastAsia="黑体"/>
          <w:b w:val="0"/>
          <w:sz w:val="28"/>
          <w:szCs w:val="28"/>
        </w:rPr>
      </w:pPr>
      <w:bookmarkStart w:id="40" w:name="_Toc15377215"/>
      <w:bookmarkStart w:id="41" w:name="_Toc15396609"/>
      <w:r>
        <w:rPr>
          <w:rFonts w:hint="eastAsia" w:ascii="黑体" w:eastAsia="黑体"/>
          <w:color w:val="000000"/>
          <w:sz w:val="28"/>
          <w:szCs w:val="28"/>
        </w:rPr>
        <w:t>七、</w:t>
      </w:r>
      <w:r>
        <w:rPr>
          <w:rStyle w:val="25"/>
          <w:rFonts w:hint="eastAsia" w:ascii="黑体" w:hAnsi="黑体" w:eastAsia="黑体"/>
          <w:sz w:val="28"/>
          <w:szCs w:val="28"/>
        </w:rPr>
        <w:t>“</w:t>
      </w:r>
      <w:r>
        <w:rPr>
          <w:rStyle w:val="25"/>
          <w:rFonts w:hint="eastAsia" w:ascii="黑体" w:hAnsi="黑体" w:eastAsia="黑体"/>
          <w:b w:val="0"/>
          <w:sz w:val="28"/>
          <w:szCs w:val="28"/>
        </w:rPr>
        <w:t>三公”经费财政拨款支出决算情况说明</w:t>
      </w:r>
      <w:bookmarkEnd w:id="40"/>
      <w:bookmarkEnd w:id="41"/>
    </w:p>
    <w:p>
      <w:pPr>
        <w:spacing w:line="600" w:lineRule="exact"/>
        <w:ind w:firstLine="640"/>
        <w:outlineLvl w:val="2"/>
        <w:rPr>
          <w:rFonts w:ascii="仿宋" w:hAnsi="仿宋" w:eastAsia="仿宋"/>
          <w:b/>
          <w:color w:val="000000"/>
          <w:sz w:val="28"/>
          <w:szCs w:val="28"/>
        </w:rPr>
      </w:pPr>
      <w:bookmarkStart w:id="42" w:name="_Toc15377216"/>
      <w:r>
        <w:rPr>
          <w:rFonts w:hint="eastAsia" w:ascii="仿宋" w:hAnsi="仿宋" w:eastAsia="仿宋"/>
          <w:b/>
          <w:color w:val="000000"/>
          <w:sz w:val="28"/>
          <w:szCs w:val="28"/>
        </w:rPr>
        <w:t>（一）“三公”经费财政拨款支出决算总体情况说明</w:t>
      </w:r>
      <w:bookmarkEnd w:id="42"/>
    </w:p>
    <w:p>
      <w:pPr>
        <w:spacing w:line="600" w:lineRule="exact"/>
        <w:ind w:firstLine="64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8年“三公”经费财政拨款支出决算为</w:t>
      </w:r>
      <w:r>
        <w:rPr>
          <w:rFonts w:ascii="仿宋" w:hAnsi="仿宋" w:eastAsia="仿宋"/>
          <w:color w:val="000000"/>
          <w:sz w:val="28"/>
          <w:szCs w:val="28"/>
        </w:rPr>
        <w:t>0.14</w:t>
      </w:r>
      <w:r>
        <w:rPr>
          <w:rFonts w:hint="eastAsia" w:ascii="仿宋" w:hAnsi="仿宋" w:eastAsia="仿宋"/>
          <w:color w:val="000000"/>
          <w:sz w:val="28"/>
          <w:szCs w:val="28"/>
        </w:rPr>
        <w:t>万元，完成预算</w:t>
      </w:r>
      <w:r>
        <w:rPr>
          <w:rFonts w:ascii="仿宋" w:hAnsi="仿宋" w:eastAsia="仿宋"/>
          <w:color w:val="000000"/>
          <w:sz w:val="28"/>
          <w:szCs w:val="28"/>
        </w:rPr>
        <w:t>28%</w:t>
      </w:r>
      <w:r>
        <w:rPr>
          <w:rFonts w:hint="eastAsia" w:ascii="仿宋" w:hAnsi="仿宋" w:eastAsia="仿宋"/>
          <w:color w:val="000000"/>
          <w:sz w:val="28"/>
          <w:szCs w:val="28"/>
        </w:rPr>
        <w:t>，决算数小于预算数的主要原因是厉行节约</w:t>
      </w:r>
    </w:p>
    <w:p>
      <w:pPr>
        <w:spacing w:line="600" w:lineRule="exact"/>
        <w:ind w:firstLine="640"/>
        <w:outlineLvl w:val="2"/>
        <w:rPr>
          <w:rFonts w:ascii="仿宋" w:hAnsi="仿宋" w:eastAsia="仿宋"/>
          <w:b/>
          <w:color w:val="000000"/>
          <w:sz w:val="28"/>
          <w:szCs w:val="28"/>
        </w:rPr>
      </w:pPr>
      <w:bookmarkStart w:id="43" w:name="_Toc15377217"/>
      <w:r>
        <w:rPr>
          <w:rFonts w:hint="eastAsia" w:ascii="仿宋" w:hAnsi="仿宋" w:eastAsia="仿宋"/>
          <w:b/>
          <w:color w:val="000000"/>
          <w:sz w:val="28"/>
          <w:szCs w:val="28"/>
        </w:rPr>
        <w:t>（二）“三公”经费财政拨款支出决算具体情况说明</w:t>
      </w:r>
      <w:bookmarkEnd w:id="43"/>
    </w:p>
    <w:p>
      <w:pPr>
        <w:spacing w:line="600" w:lineRule="exact"/>
        <w:ind w:firstLine="64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8年“三公”经费财政拨款支出决算中，因公出国（境）费支出决算0万元，占</w:t>
      </w:r>
      <w:r>
        <w:rPr>
          <w:rFonts w:ascii="仿宋" w:hAnsi="仿宋" w:eastAsia="仿宋"/>
          <w:color w:val="000000"/>
          <w:sz w:val="28"/>
          <w:szCs w:val="28"/>
        </w:rPr>
        <w:t>0%</w:t>
      </w:r>
      <w:r>
        <w:rPr>
          <w:rFonts w:hint="eastAsia" w:ascii="仿宋" w:hAnsi="仿宋" w:eastAsia="仿宋"/>
          <w:color w:val="000000"/>
          <w:sz w:val="28"/>
          <w:szCs w:val="28"/>
        </w:rPr>
        <w:t>；公务用车购置及运行维护费支出决算0万元，占</w:t>
      </w:r>
      <w:r>
        <w:rPr>
          <w:rFonts w:ascii="仿宋" w:hAnsi="仿宋" w:eastAsia="仿宋"/>
          <w:color w:val="000000"/>
          <w:sz w:val="28"/>
          <w:szCs w:val="28"/>
        </w:rPr>
        <w:t>0%</w:t>
      </w:r>
      <w:r>
        <w:rPr>
          <w:rFonts w:hint="eastAsia" w:ascii="仿宋" w:hAnsi="仿宋" w:eastAsia="仿宋"/>
          <w:color w:val="000000"/>
          <w:sz w:val="28"/>
          <w:szCs w:val="28"/>
        </w:rPr>
        <w:t>；公务接待费支出决算</w:t>
      </w:r>
      <w:r>
        <w:rPr>
          <w:rFonts w:ascii="仿宋" w:hAnsi="仿宋" w:eastAsia="仿宋"/>
          <w:color w:val="000000"/>
          <w:sz w:val="28"/>
          <w:szCs w:val="28"/>
        </w:rPr>
        <w:t>0.14</w:t>
      </w:r>
      <w:r>
        <w:rPr>
          <w:rFonts w:hint="eastAsia" w:ascii="仿宋" w:hAnsi="仿宋" w:eastAsia="仿宋"/>
          <w:color w:val="000000"/>
          <w:sz w:val="28"/>
          <w:szCs w:val="28"/>
        </w:rPr>
        <w:t>万元，占</w:t>
      </w:r>
      <w:r>
        <w:rPr>
          <w:rFonts w:ascii="仿宋" w:hAnsi="仿宋" w:eastAsia="仿宋"/>
          <w:color w:val="000000"/>
          <w:sz w:val="28"/>
          <w:szCs w:val="28"/>
        </w:rPr>
        <w:t>100%</w:t>
      </w:r>
      <w:r>
        <w:rPr>
          <w:rFonts w:hint="eastAsia" w:ascii="仿宋" w:hAnsi="仿宋" w:eastAsia="仿宋"/>
          <w:color w:val="000000"/>
          <w:sz w:val="28"/>
          <w:szCs w:val="28"/>
        </w:rPr>
        <w:t>。具体情况如下：</w:t>
      </w:r>
    </w:p>
    <w:p>
      <w:pPr>
        <w:spacing w:line="600" w:lineRule="exact"/>
        <w:ind w:firstLine="640"/>
        <w:rPr>
          <w:rFonts w:ascii="仿宋_GB2312" w:eastAsia="仿宋_GB2312"/>
          <w:color w:val="000000"/>
          <w:sz w:val="28"/>
          <w:szCs w:val="28"/>
        </w:rPr>
      </w:pPr>
      <w:r>
        <w:rPr>
          <w:rFonts w:ascii="仿宋_GB2312" w:eastAsia="仿宋_GB2312"/>
          <w:b/>
          <w:color w:val="000000"/>
          <w:sz w:val="28"/>
          <w:szCs w:val="28"/>
        </w:rPr>
        <w:t>1.</w:t>
      </w:r>
      <w:r>
        <w:rPr>
          <w:rFonts w:hint="eastAsia" w:ascii="仿宋_GB2312" w:eastAsia="仿宋_GB2312"/>
          <w:b/>
          <w:color w:val="000000"/>
          <w:sz w:val="28"/>
          <w:szCs w:val="28"/>
        </w:rPr>
        <w:t>因公出国（境）经费支出</w:t>
      </w:r>
      <w:r>
        <w:rPr>
          <w:rFonts w:ascii="仿宋_GB2312" w:eastAsia="仿宋_GB2312"/>
          <w:color w:val="000000"/>
          <w:sz w:val="28"/>
          <w:szCs w:val="28"/>
        </w:rPr>
        <w:t>0</w:t>
      </w:r>
      <w:r>
        <w:rPr>
          <w:rFonts w:hint="eastAsia" w:ascii="仿宋_GB2312" w:eastAsia="仿宋_GB2312"/>
          <w:color w:val="000000"/>
          <w:sz w:val="28"/>
          <w:szCs w:val="28"/>
        </w:rPr>
        <w:t>万元，</w:t>
      </w:r>
      <w:r>
        <w:rPr>
          <w:rStyle w:val="14"/>
          <w:rFonts w:hint="eastAsia" w:ascii="仿宋" w:hAnsi="仿宋" w:eastAsia="仿宋"/>
          <w:b w:val="0"/>
          <w:bCs/>
          <w:color w:val="000000"/>
          <w:sz w:val="28"/>
          <w:szCs w:val="28"/>
        </w:rPr>
        <w:t>完成预算</w:t>
      </w:r>
      <w:r>
        <w:rPr>
          <w:rStyle w:val="14"/>
          <w:rFonts w:ascii="仿宋" w:hAnsi="仿宋" w:eastAsia="仿宋"/>
          <w:b w:val="0"/>
          <w:bCs/>
          <w:color w:val="000000"/>
          <w:sz w:val="28"/>
          <w:szCs w:val="28"/>
        </w:rPr>
        <w:t>0%</w:t>
      </w:r>
      <w:r>
        <w:rPr>
          <w:rStyle w:val="14"/>
          <w:rFonts w:hint="eastAsia" w:ascii="仿宋" w:hAnsi="仿宋" w:eastAsia="仿宋"/>
          <w:b w:val="0"/>
          <w:bCs/>
          <w:color w:val="000000"/>
          <w:sz w:val="28"/>
          <w:szCs w:val="28"/>
        </w:rPr>
        <w:t>。</w:t>
      </w:r>
      <w:r>
        <w:rPr>
          <w:rFonts w:hint="eastAsia" w:ascii="仿宋_GB2312" w:eastAsia="仿宋_GB2312"/>
          <w:color w:val="000000"/>
          <w:sz w:val="28"/>
          <w:szCs w:val="28"/>
        </w:rPr>
        <w:t>全年安排因公出国（境）团组</w:t>
      </w:r>
      <w:r>
        <w:rPr>
          <w:rFonts w:ascii="仿宋_GB2312" w:eastAsia="仿宋_GB2312"/>
          <w:color w:val="000000"/>
          <w:sz w:val="28"/>
          <w:szCs w:val="28"/>
        </w:rPr>
        <w:t>0</w:t>
      </w:r>
      <w:r>
        <w:rPr>
          <w:rFonts w:hint="eastAsia" w:ascii="仿宋_GB2312" w:eastAsia="仿宋_GB2312"/>
          <w:color w:val="000000"/>
          <w:sz w:val="28"/>
          <w:szCs w:val="28"/>
        </w:rPr>
        <w:t>次，出国（境）</w:t>
      </w:r>
      <w:r>
        <w:rPr>
          <w:rFonts w:ascii="仿宋_GB2312" w:eastAsia="仿宋_GB2312"/>
          <w:color w:val="000000"/>
          <w:sz w:val="28"/>
          <w:szCs w:val="28"/>
        </w:rPr>
        <w:t>0</w:t>
      </w:r>
      <w:r>
        <w:rPr>
          <w:rFonts w:hint="eastAsia" w:ascii="仿宋_GB2312" w:eastAsia="仿宋_GB2312"/>
          <w:color w:val="000000"/>
          <w:sz w:val="28"/>
          <w:szCs w:val="28"/>
        </w:rPr>
        <w:t>人。因公出国（境）支出决算与</w:t>
      </w:r>
      <w:r>
        <w:rPr>
          <w:rFonts w:ascii="仿宋_GB2312" w:eastAsia="仿宋_GB2312"/>
          <w:color w:val="000000"/>
          <w:sz w:val="28"/>
          <w:szCs w:val="28"/>
        </w:rPr>
        <w:t>201</w:t>
      </w:r>
      <w:r>
        <w:rPr>
          <w:rFonts w:hint="eastAsia" w:ascii="仿宋_GB2312" w:eastAsia="仿宋_GB2312"/>
          <w:color w:val="000000"/>
          <w:sz w:val="28"/>
          <w:szCs w:val="28"/>
        </w:rPr>
        <w:t>7年持平。</w:t>
      </w:r>
    </w:p>
    <w:p>
      <w:pPr>
        <w:spacing w:line="600" w:lineRule="exact"/>
        <w:ind w:firstLine="640"/>
        <w:rPr>
          <w:rFonts w:ascii="仿宋_GB2312" w:eastAsia="仿宋_GB2312"/>
          <w:b/>
          <w:color w:val="000000"/>
          <w:sz w:val="28"/>
          <w:szCs w:val="28"/>
        </w:rPr>
      </w:pPr>
      <w:r>
        <w:rPr>
          <w:rFonts w:ascii="仿宋_GB2312" w:eastAsia="仿宋_GB2312"/>
          <w:b/>
          <w:color w:val="000000"/>
          <w:sz w:val="28"/>
          <w:szCs w:val="28"/>
        </w:rPr>
        <w:t>2.</w:t>
      </w:r>
      <w:r>
        <w:rPr>
          <w:rFonts w:hint="eastAsia" w:ascii="仿宋_GB2312" w:eastAsia="仿宋_GB2312"/>
          <w:b/>
          <w:color w:val="000000"/>
          <w:sz w:val="28"/>
          <w:szCs w:val="28"/>
        </w:rPr>
        <w:t>公务用车购置及运行维护费支出</w:t>
      </w:r>
      <w:r>
        <w:rPr>
          <w:rFonts w:ascii="仿宋_GB2312" w:eastAsia="仿宋_GB2312"/>
          <w:color w:val="000000"/>
          <w:sz w:val="28"/>
          <w:szCs w:val="28"/>
        </w:rPr>
        <w:t>0</w:t>
      </w:r>
      <w:r>
        <w:rPr>
          <w:rFonts w:hint="eastAsia" w:ascii="仿宋_GB2312" w:eastAsia="仿宋_GB2312"/>
          <w:color w:val="000000"/>
          <w:sz w:val="28"/>
          <w:szCs w:val="28"/>
        </w:rPr>
        <w:t>万元,</w:t>
      </w:r>
      <w:r>
        <w:rPr>
          <w:rStyle w:val="14"/>
          <w:rFonts w:hint="eastAsia" w:ascii="仿宋" w:hAnsi="仿宋" w:eastAsia="仿宋"/>
          <w:b w:val="0"/>
          <w:bCs/>
          <w:color w:val="000000"/>
          <w:sz w:val="28"/>
          <w:szCs w:val="28"/>
        </w:rPr>
        <w:t>完成预算</w:t>
      </w:r>
      <w:r>
        <w:rPr>
          <w:rStyle w:val="14"/>
          <w:rFonts w:ascii="仿宋" w:hAnsi="仿宋" w:eastAsia="仿宋"/>
          <w:b w:val="0"/>
          <w:bCs/>
          <w:color w:val="000000"/>
          <w:sz w:val="28"/>
          <w:szCs w:val="28"/>
        </w:rPr>
        <w:t>0%</w:t>
      </w:r>
      <w:r>
        <w:rPr>
          <w:rStyle w:val="14"/>
          <w:rFonts w:hint="eastAsia" w:ascii="仿宋" w:hAnsi="仿宋" w:eastAsia="仿宋"/>
          <w:b w:val="0"/>
          <w:bCs/>
          <w:color w:val="000000"/>
          <w:sz w:val="28"/>
          <w:szCs w:val="28"/>
        </w:rPr>
        <w:t>。</w:t>
      </w:r>
      <w:r>
        <w:rPr>
          <w:rFonts w:hint="eastAsia" w:ascii="仿宋_GB2312" w:eastAsia="仿宋_GB2312"/>
          <w:color w:val="000000"/>
          <w:sz w:val="28"/>
          <w:szCs w:val="28"/>
        </w:rPr>
        <w:t>公务用车购置及运行维护费支出决算较</w:t>
      </w:r>
      <w:r>
        <w:rPr>
          <w:rFonts w:ascii="仿宋_GB2312" w:eastAsia="仿宋_GB2312"/>
          <w:color w:val="000000"/>
          <w:sz w:val="28"/>
          <w:szCs w:val="28"/>
        </w:rPr>
        <w:t>201</w:t>
      </w:r>
      <w:r>
        <w:rPr>
          <w:rFonts w:hint="eastAsia" w:ascii="仿宋_GB2312" w:eastAsia="仿宋_GB2312"/>
          <w:color w:val="000000"/>
          <w:sz w:val="28"/>
          <w:szCs w:val="28"/>
        </w:rPr>
        <w:t>7减少0.1</w:t>
      </w:r>
      <w:r>
        <w:rPr>
          <w:rFonts w:ascii="仿宋_GB2312" w:eastAsia="仿宋_GB2312"/>
          <w:color w:val="000000"/>
          <w:sz w:val="28"/>
          <w:szCs w:val="28"/>
        </w:rPr>
        <w:t>3</w:t>
      </w:r>
      <w:r>
        <w:rPr>
          <w:rFonts w:hint="eastAsia" w:ascii="仿宋_GB2312" w:eastAsia="仿宋_GB2312"/>
          <w:color w:val="000000"/>
          <w:sz w:val="28"/>
          <w:szCs w:val="28"/>
        </w:rPr>
        <w:t>万元,下降1</w:t>
      </w:r>
      <w:r>
        <w:rPr>
          <w:rFonts w:ascii="仿宋_GB2312" w:eastAsia="仿宋_GB2312"/>
          <w:color w:val="000000"/>
          <w:sz w:val="28"/>
          <w:szCs w:val="28"/>
        </w:rPr>
        <w:t>00</w:t>
      </w:r>
      <w:r>
        <w:rPr>
          <w:rFonts w:hint="eastAsia" w:ascii="仿宋_GB2312" w:eastAsia="仿宋_GB2312"/>
          <w:color w:val="000000"/>
          <w:sz w:val="28"/>
          <w:szCs w:val="28"/>
        </w:rPr>
        <w:t>%,原因在于公车改革,公务用车移交国资委。</w:t>
      </w:r>
    </w:p>
    <w:p>
      <w:pPr>
        <w:spacing w:line="600" w:lineRule="exact"/>
        <w:ind w:firstLine="560" w:firstLineChars="200"/>
        <w:rPr>
          <w:rFonts w:ascii="仿宋_GB2312" w:eastAsia="仿宋_GB2312"/>
          <w:b/>
          <w:color w:val="000000"/>
          <w:sz w:val="28"/>
          <w:szCs w:val="28"/>
        </w:rPr>
      </w:pPr>
      <w:r>
        <w:rPr>
          <w:rFonts w:hint="eastAsia" w:ascii="仿宋_GB2312" w:eastAsia="仿宋_GB2312"/>
          <w:color w:val="000000"/>
          <w:sz w:val="28"/>
          <w:szCs w:val="28"/>
        </w:rPr>
        <w:t>其中：</w:t>
      </w:r>
      <w:r>
        <w:rPr>
          <w:rFonts w:hint="eastAsia" w:ascii="仿宋_GB2312" w:eastAsia="仿宋_GB2312"/>
          <w:b/>
          <w:color w:val="000000"/>
          <w:sz w:val="28"/>
          <w:szCs w:val="28"/>
        </w:rPr>
        <w:t>公务用车购置支出</w:t>
      </w:r>
      <w:r>
        <w:rPr>
          <w:rFonts w:ascii="仿宋_GB2312" w:eastAsia="仿宋_GB2312"/>
          <w:color w:val="000000"/>
          <w:sz w:val="28"/>
          <w:szCs w:val="28"/>
        </w:rPr>
        <w:t>0</w:t>
      </w:r>
      <w:r>
        <w:rPr>
          <w:rFonts w:hint="eastAsia" w:ascii="仿宋_GB2312" w:eastAsia="仿宋_GB2312"/>
          <w:color w:val="000000"/>
          <w:sz w:val="28"/>
          <w:szCs w:val="28"/>
        </w:rPr>
        <w:t>万元。全年按规定更新购置公务用车</w:t>
      </w:r>
      <w:r>
        <w:rPr>
          <w:rFonts w:ascii="仿宋_GB2312" w:eastAsia="仿宋_GB2312"/>
          <w:color w:val="000000"/>
          <w:sz w:val="28"/>
          <w:szCs w:val="28"/>
        </w:rPr>
        <w:t>0</w:t>
      </w:r>
      <w:r>
        <w:rPr>
          <w:rFonts w:hint="eastAsia" w:ascii="仿宋_GB2312" w:eastAsia="仿宋_GB2312"/>
          <w:color w:val="000000"/>
          <w:sz w:val="28"/>
          <w:szCs w:val="28"/>
        </w:rPr>
        <w:t>辆。</w:t>
      </w:r>
    </w:p>
    <w:p>
      <w:pPr>
        <w:spacing w:line="600" w:lineRule="exact"/>
        <w:ind w:firstLine="640"/>
        <w:rPr>
          <w:rFonts w:ascii="仿宋_GB2312" w:eastAsia="仿宋_GB2312"/>
          <w:color w:val="000000"/>
          <w:sz w:val="28"/>
          <w:szCs w:val="28"/>
        </w:rPr>
      </w:pPr>
      <w:r>
        <w:rPr>
          <w:rFonts w:hint="eastAsia" w:ascii="仿宋_GB2312" w:eastAsia="仿宋_GB2312"/>
          <w:b/>
          <w:color w:val="000000"/>
          <w:sz w:val="28"/>
          <w:szCs w:val="28"/>
        </w:rPr>
        <w:t>公务用车运行维护费支出</w:t>
      </w:r>
      <w:r>
        <w:rPr>
          <w:rFonts w:ascii="仿宋_GB2312" w:eastAsia="仿宋_GB2312"/>
          <w:color w:val="000000"/>
          <w:sz w:val="28"/>
          <w:szCs w:val="28"/>
        </w:rPr>
        <w:t>0</w:t>
      </w:r>
      <w:r>
        <w:rPr>
          <w:rFonts w:hint="eastAsia" w:ascii="仿宋_GB2312" w:eastAsia="仿宋_GB2312"/>
          <w:color w:val="000000"/>
          <w:sz w:val="28"/>
          <w:szCs w:val="28"/>
        </w:rPr>
        <w:t>万元。</w:t>
      </w:r>
    </w:p>
    <w:p>
      <w:pPr>
        <w:spacing w:line="600" w:lineRule="exact"/>
        <w:ind w:firstLine="640"/>
        <w:rPr>
          <w:rFonts w:ascii="仿宋_GB2312" w:eastAsia="仿宋_GB2312"/>
          <w:color w:val="000000"/>
          <w:sz w:val="28"/>
          <w:szCs w:val="28"/>
        </w:rPr>
      </w:pPr>
      <w:r>
        <w:rPr>
          <w:rFonts w:ascii="仿宋_GB2312" w:eastAsia="仿宋_GB2312"/>
          <w:b/>
          <w:color w:val="000000"/>
          <w:sz w:val="28"/>
          <w:szCs w:val="28"/>
        </w:rPr>
        <w:t>3.</w:t>
      </w:r>
      <w:r>
        <w:rPr>
          <w:rFonts w:hint="eastAsia" w:ascii="仿宋_GB2312" w:eastAsia="仿宋_GB2312"/>
          <w:b/>
          <w:color w:val="000000"/>
          <w:sz w:val="28"/>
          <w:szCs w:val="28"/>
        </w:rPr>
        <w:t>公务接待费支出</w:t>
      </w:r>
      <w:r>
        <w:rPr>
          <w:rFonts w:ascii="仿宋_GB2312" w:eastAsia="仿宋_GB2312"/>
          <w:color w:val="000000"/>
          <w:sz w:val="28"/>
          <w:szCs w:val="28"/>
        </w:rPr>
        <w:t>0</w:t>
      </w:r>
      <w:r>
        <w:rPr>
          <w:rFonts w:hint="eastAsia" w:ascii="仿宋_GB2312" w:eastAsia="仿宋_GB2312"/>
          <w:color w:val="000000"/>
          <w:sz w:val="28"/>
          <w:szCs w:val="28"/>
        </w:rPr>
        <w:t>.</w:t>
      </w:r>
      <w:r>
        <w:rPr>
          <w:rFonts w:ascii="仿宋_GB2312" w:eastAsia="仿宋_GB2312"/>
          <w:color w:val="000000"/>
          <w:sz w:val="28"/>
          <w:szCs w:val="28"/>
        </w:rPr>
        <w:t>14</w:t>
      </w:r>
      <w:r>
        <w:rPr>
          <w:rFonts w:hint="eastAsia" w:ascii="仿宋_GB2312" w:eastAsia="仿宋_GB2312"/>
          <w:color w:val="000000"/>
          <w:sz w:val="28"/>
          <w:szCs w:val="28"/>
        </w:rPr>
        <w:t>万元，</w:t>
      </w:r>
      <w:r>
        <w:rPr>
          <w:rStyle w:val="14"/>
          <w:rFonts w:hint="eastAsia" w:ascii="仿宋" w:hAnsi="仿宋" w:eastAsia="仿宋"/>
          <w:b w:val="0"/>
          <w:bCs/>
          <w:color w:val="000000"/>
          <w:sz w:val="28"/>
          <w:szCs w:val="28"/>
        </w:rPr>
        <w:t>完成预算</w:t>
      </w:r>
      <w:r>
        <w:rPr>
          <w:rStyle w:val="14"/>
          <w:rFonts w:ascii="仿宋" w:hAnsi="仿宋" w:eastAsia="仿宋"/>
          <w:b w:val="0"/>
          <w:bCs/>
          <w:color w:val="000000"/>
          <w:sz w:val="28"/>
          <w:szCs w:val="28"/>
        </w:rPr>
        <w:t>28%</w:t>
      </w:r>
      <w:r>
        <w:rPr>
          <w:rStyle w:val="14"/>
          <w:rFonts w:hint="eastAsia" w:ascii="仿宋" w:hAnsi="仿宋" w:eastAsia="仿宋"/>
          <w:b w:val="0"/>
          <w:bCs/>
          <w:color w:val="000000"/>
          <w:sz w:val="28"/>
          <w:szCs w:val="28"/>
        </w:rPr>
        <w:t>。</w:t>
      </w:r>
      <w:r>
        <w:rPr>
          <w:rFonts w:hint="eastAsia" w:ascii="仿宋_GB2312" w:eastAsia="仿宋_GB2312"/>
          <w:color w:val="000000"/>
          <w:sz w:val="28"/>
          <w:szCs w:val="28"/>
        </w:rPr>
        <w:t>公务接待费支出决算比</w:t>
      </w:r>
      <w:r>
        <w:rPr>
          <w:rFonts w:ascii="仿宋_GB2312" w:eastAsia="仿宋_GB2312"/>
          <w:color w:val="000000"/>
          <w:sz w:val="28"/>
          <w:szCs w:val="28"/>
        </w:rPr>
        <w:t>201</w:t>
      </w:r>
      <w:r>
        <w:rPr>
          <w:rFonts w:hint="eastAsia" w:ascii="仿宋_GB2312" w:eastAsia="仿宋_GB2312"/>
          <w:color w:val="000000"/>
          <w:sz w:val="28"/>
          <w:szCs w:val="28"/>
        </w:rPr>
        <w:t>7年增加0</w:t>
      </w:r>
      <w:r>
        <w:rPr>
          <w:rFonts w:ascii="仿宋_GB2312" w:eastAsia="仿宋_GB2312"/>
          <w:color w:val="000000"/>
          <w:sz w:val="28"/>
          <w:szCs w:val="28"/>
        </w:rPr>
        <w:t>.0</w:t>
      </w:r>
      <w:r>
        <w:rPr>
          <w:rFonts w:hint="eastAsia" w:ascii="仿宋_GB2312" w:eastAsia="仿宋_GB2312"/>
          <w:color w:val="000000"/>
          <w:sz w:val="28"/>
          <w:szCs w:val="28"/>
        </w:rPr>
        <w:t>6</w:t>
      </w:r>
      <w:r>
        <w:rPr>
          <w:rFonts w:ascii="仿宋_GB2312" w:eastAsia="仿宋_GB2312"/>
          <w:color w:val="000000"/>
          <w:sz w:val="28"/>
          <w:szCs w:val="28"/>
        </w:rPr>
        <w:t>4</w:t>
      </w:r>
      <w:r>
        <w:rPr>
          <w:rFonts w:hint="eastAsia" w:ascii="仿宋_GB2312" w:eastAsia="仿宋_GB2312"/>
          <w:color w:val="000000"/>
          <w:sz w:val="28"/>
          <w:szCs w:val="28"/>
        </w:rPr>
        <w:t>万元，增长</w:t>
      </w:r>
      <w:r>
        <w:rPr>
          <w:rFonts w:ascii="仿宋_GB2312" w:eastAsia="仿宋_GB2312"/>
          <w:color w:val="000000"/>
          <w:sz w:val="28"/>
          <w:szCs w:val="28"/>
        </w:rPr>
        <w:t>89.42%</w:t>
      </w:r>
      <w:r>
        <w:rPr>
          <w:rFonts w:hint="eastAsia" w:ascii="仿宋_GB2312" w:eastAsia="仿宋_GB2312"/>
          <w:color w:val="000000"/>
          <w:sz w:val="28"/>
          <w:szCs w:val="28"/>
        </w:rPr>
        <w:t>。主要原因是原新农合与城镇职工基本医疗保险局合并后，省、市对定点医疗机构的各项交叉检查增多。</w:t>
      </w:r>
    </w:p>
    <w:p>
      <w:pPr>
        <w:spacing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主要用于执行公务、开展业务活动开支的交通费、住宿费、用餐费等。国内公务接待</w:t>
      </w:r>
      <w:r>
        <w:rPr>
          <w:rFonts w:ascii="仿宋_GB2312" w:eastAsia="仿宋_GB2312"/>
          <w:color w:val="000000"/>
          <w:sz w:val="28"/>
          <w:szCs w:val="28"/>
        </w:rPr>
        <w:t>1</w:t>
      </w:r>
      <w:r>
        <w:rPr>
          <w:rFonts w:hint="eastAsia" w:ascii="仿宋_GB2312" w:eastAsia="仿宋_GB2312"/>
          <w:color w:val="000000"/>
          <w:sz w:val="28"/>
          <w:szCs w:val="28"/>
        </w:rPr>
        <w:t>批次，</w:t>
      </w:r>
      <w:r>
        <w:rPr>
          <w:rFonts w:ascii="仿宋_GB2312" w:eastAsia="仿宋_GB2312"/>
          <w:color w:val="000000"/>
          <w:sz w:val="28"/>
          <w:szCs w:val="28"/>
        </w:rPr>
        <w:t>14</w:t>
      </w:r>
      <w:r>
        <w:rPr>
          <w:rFonts w:hint="eastAsia" w:ascii="仿宋_GB2312" w:eastAsia="仿宋_GB2312"/>
          <w:color w:val="000000"/>
          <w:sz w:val="28"/>
          <w:szCs w:val="28"/>
        </w:rPr>
        <w:t>人次（不包括陪同人员），共计支出</w:t>
      </w:r>
      <w:r>
        <w:rPr>
          <w:rFonts w:ascii="仿宋_GB2312" w:eastAsia="仿宋_GB2312"/>
          <w:color w:val="000000"/>
          <w:sz w:val="28"/>
          <w:szCs w:val="28"/>
        </w:rPr>
        <w:t>0.14</w:t>
      </w:r>
      <w:r>
        <w:rPr>
          <w:rFonts w:hint="eastAsia" w:ascii="仿宋_GB2312" w:eastAsia="仿宋_GB2312"/>
          <w:color w:val="000000"/>
          <w:sz w:val="28"/>
          <w:szCs w:val="28"/>
        </w:rPr>
        <w:t>万元，具体内容包括：交叉检查用餐费。其中：</w:t>
      </w:r>
    </w:p>
    <w:p>
      <w:pPr>
        <w:spacing w:line="600" w:lineRule="exact"/>
        <w:ind w:firstLine="562" w:firstLineChars="200"/>
        <w:rPr>
          <w:rFonts w:ascii="仿宋_GB2312" w:eastAsia="仿宋_GB2312"/>
          <w:color w:val="000000" w:themeColor="text1"/>
          <w:sz w:val="28"/>
          <w:szCs w:val="28"/>
          <w14:textFill>
            <w14:solidFill>
              <w14:schemeClr w14:val="tx1"/>
            </w14:solidFill>
          </w14:textFill>
        </w:rPr>
      </w:pPr>
      <w:r>
        <w:rPr>
          <w:rFonts w:hint="eastAsia" w:ascii="仿宋" w:hAnsi="仿宋" w:eastAsia="仿宋"/>
          <w:b/>
          <w:color w:val="000000"/>
          <w:sz w:val="28"/>
          <w:szCs w:val="28"/>
        </w:rPr>
        <w:t>外事接待支出</w:t>
      </w:r>
      <w:r>
        <w:rPr>
          <w:rFonts w:ascii="仿宋" w:hAnsi="仿宋" w:eastAsia="仿宋"/>
          <w:color w:val="000000"/>
          <w:sz w:val="28"/>
          <w:szCs w:val="28"/>
        </w:rPr>
        <w:t>0</w:t>
      </w:r>
      <w:r>
        <w:rPr>
          <w:rFonts w:hint="eastAsia" w:ascii="仿宋_GB2312" w:eastAsia="仿宋_GB2312"/>
          <w:color w:val="000000"/>
          <w:sz w:val="28"/>
          <w:szCs w:val="28"/>
        </w:rPr>
        <w:t>万元</w:t>
      </w:r>
      <w:r>
        <w:rPr>
          <w:rFonts w:hint="eastAsia" w:ascii="仿宋_GB2312" w:eastAsia="仿宋_GB2312"/>
          <w:color w:val="000000" w:themeColor="text1"/>
          <w:sz w:val="28"/>
          <w:szCs w:val="28"/>
          <w14:textFill>
            <w14:solidFill>
              <w14:schemeClr w14:val="tx1"/>
            </w14:solidFill>
          </w14:textFill>
        </w:rPr>
        <w:t>，外事接待</w:t>
      </w:r>
      <w:r>
        <w:rPr>
          <w:rFonts w:ascii="仿宋_GB2312" w:eastAsia="仿宋_GB2312"/>
          <w:color w:val="000000" w:themeColor="text1"/>
          <w:sz w:val="28"/>
          <w:szCs w:val="28"/>
          <w14:textFill>
            <w14:solidFill>
              <w14:schemeClr w14:val="tx1"/>
            </w14:solidFill>
          </w14:textFill>
        </w:rPr>
        <w:t>0</w:t>
      </w:r>
      <w:r>
        <w:rPr>
          <w:rFonts w:hint="eastAsia" w:ascii="仿宋_GB2312" w:eastAsia="仿宋_GB2312"/>
          <w:color w:val="000000" w:themeColor="text1"/>
          <w:sz w:val="28"/>
          <w:szCs w:val="28"/>
          <w14:textFill>
            <w14:solidFill>
              <w14:schemeClr w14:val="tx1"/>
            </w14:solidFill>
          </w14:textFill>
        </w:rPr>
        <w:t>批次，</w:t>
      </w:r>
      <w:r>
        <w:rPr>
          <w:rFonts w:ascii="仿宋_GB2312" w:eastAsia="仿宋_GB2312"/>
          <w:color w:val="000000" w:themeColor="text1"/>
          <w:sz w:val="28"/>
          <w:szCs w:val="28"/>
          <w14:textFill>
            <w14:solidFill>
              <w14:schemeClr w14:val="tx1"/>
            </w14:solidFill>
          </w14:textFill>
        </w:rPr>
        <w:t>0</w:t>
      </w:r>
      <w:r>
        <w:rPr>
          <w:rFonts w:hint="eastAsia" w:ascii="仿宋_GB2312" w:eastAsia="仿宋_GB2312"/>
          <w:color w:val="000000" w:themeColor="text1"/>
          <w:sz w:val="28"/>
          <w:szCs w:val="28"/>
          <w14:textFill>
            <w14:solidFill>
              <w14:schemeClr w14:val="tx1"/>
            </w14:solidFill>
          </w14:textFill>
        </w:rPr>
        <w:t>人，共计支出</w:t>
      </w:r>
      <w:r>
        <w:rPr>
          <w:rFonts w:ascii="仿宋_GB2312" w:eastAsia="仿宋_GB2312"/>
          <w:color w:val="000000" w:themeColor="text1"/>
          <w:sz w:val="28"/>
          <w:szCs w:val="28"/>
          <w14:textFill>
            <w14:solidFill>
              <w14:schemeClr w14:val="tx1"/>
            </w14:solidFill>
          </w14:textFill>
        </w:rPr>
        <w:t>0</w:t>
      </w:r>
      <w:r>
        <w:rPr>
          <w:rFonts w:hint="eastAsia" w:ascii="仿宋_GB2312" w:eastAsia="仿宋_GB2312"/>
          <w:color w:val="000000" w:themeColor="text1"/>
          <w:sz w:val="28"/>
          <w:szCs w:val="28"/>
          <w14:textFill>
            <w14:solidFill>
              <w14:schemeClr w14:val="tx1"/>
            </w14:solidFill>
          </w14:textFill>
        </w:rPr>
        <w:t>万元。</w:t>
      </w:r>
    </w:p>
    <w:p>
      <w:pPr>
        <w:spacing w:line="600" w:lineRule="exact"/>
        <w:ind w:firstLine="640"/>
        <w:rPr>
          <w:rFonts w:ascii="仿宋_GB2312" w:eastAsia="仿宋_GB2312"/>
          <w:color w:val="000000"/>
          <w:sz w:val="28"/>
          <w:szCs w:val="28"/>
        </w:rPr>
      </w:pPr>
      <w:r>
        <w:rPr>
          <w:rFonts w:hint="eastAsia" w:ascii="仿宋" w:hAnsi="仿宋" w:eastAsia="仿宋"/>
          <w:b/>
          <w:color w:val="000000"/>
          <w:sz w:val="28"/>
          <w:szCs w:val="28"/>
        </w:rPr>
        <w:t>其他国内公务接待支出</w:t>
      </w:r>
      <w:r>
        <w:rPr>
          <w:rFonts w:ascii="仿宋" w:hAnsi="仿宋" w:eastAsia="仿宋"/>
          <w:color w:val="000000"/>
          <w:sz w:val="28"/>
          <w:szCs w:val="28"/>
        </w:rPr>
        <w:t>0</w:t>
      </w:r>
      <w:r>
        <w:rPr>
          <w:rFonts w:hint="eastAsia" w:ascii="仿宋_GB2312" w:eastAsia="仿宋_GB2312"/>
          <w:color w:val="000000"/>
          <w:sz w:val="28"/>
          <w:szCs w:val="28"/>
        </w:rPr>
        <w:t>万元。</w:t>
      </w:r>
    </w:p>
    <w:p>
      <w:pPr>
        <w:spacing w:line="600" w:lineRule="exact"/>
        <w:ind w:firstLine="560" w:firstLineChars="200"/>
        <w:outlineLvl w:val="1"/>
        <w:rPr>
          <w:rStyle w:val="25"/>
          <w:rFonts w:ascii="黑体" w:hAnsi="黑体" w:eastAsia="黑体"/>
          <w:sz w:val="28"/>
          <w:szCs w:val="28"/>
        </w:rPr>
      </w:pPr>
      <w:bookmarkStart w:id="44" w:name="_Toc15396610"/>
      <w:bookmarkStart w:id="45" w:name="_Toc15377218"/>
      <w:r>
        <w:rPr>
          <w:rFonts w:hint="eastAsia" w:ascii="黑体" w:eastAsia="黑体"/>
          <w:color w:val="000000"/>
          <w:sz w:val="28"/>
          <w:szCs w:val="28"/>
        </w:rPr>
        <w:t>八、</w:t>
      </w:r>
      <w:r>
        <w:rPr>
          <w:rStyle w:val="25"/>
          <w:rFonts w:hint="eastAsia" w:ascii="黑体" w:hAnsi="黑体" w:eastAsia="黑体"/>
          <w:b w:val="0"/>
          <w:sz w:val="28"/>
          <w:szCs w:val="28"/>
        </w:rPr>
        <w:t>政府性基金预算支出决算情况说明</w:t>
      </w:r>
      <w:bookmarkEnd w:id="44"/>
      <w:bookmarkEnd w:id="45"/>
    </w:p>
    <w:p>
      <w:pPr>
        <w:spacing w:line="600" w:lineRule="exact"/>
        <w:ind w:firstLine="640"/>
        <w:rPr>
          <w:rFonts w:ascii="仿宋_GB2312" w:eastAsia="仿宋_GB2312"/>
          <w:color w:val="000000"/>
          <w:sz w:val="28"/>
          <w:szCs w:val="28"/>
        </w:rPr>
      </w:pPr>
      <w:r>
        <w:rPr>
          <w:rFonts w:ascii="仿宋_GB2312" w:eastAsia="仿宋_GB2312"/>
          <w:color w:val="000000"/>
          <w:sz w:val="28"/>
          <w:szCs w:val="28"/>
        </w:rPr>
        <w:t>201</w:t>
      </w:r>
      <w:r>
        <w:rPr>
          <w:rFonts w:hint="eastAsia" w:ascii="仿宋_GB2312" w:eastAsia="仿宋_GB2312"/>
          <w:color w:val="000000"/>
          <w:sz w:val="28"/>
          <w:szCs w:val="28"/>
        </w:rPr>
        <w:t>8年政府性基金预算拨款支出</w:t>
      </w:r>
      <w:r>
        <w:rPr>
          <w:rFonts w:ascii="仿宋_GB2312" w:eastAsia="仿宋_GB2312"/>
          <w:color w:val="000000"/>
          <w:sz w:val="28"/>
          <w:szCs w:val="28"/>
        </w:rPr>
        <w:t>0</w:t>
      </w:r>
      <w:r>
        <w:rPr>
          <w:rFonts w:hint="eastAsia" w:ascii="仿宋_GB2312" w:eastAsia="仿宋_GB2312"/>
          <w:color w:val="000000"/>
          <w:sz w:val="28"/>
          <w:szCs w:val="28"/>
        </w:rPr>
        <w:t>万元。</w:t>
      </w:r>
    </w:p>
    <w:p>
      <w:pPr>
        <w:numPr>
          <w:ilvl w:val="0"/>
          <w:numId w:val="2"/>
        </w:numPr>
        <w:spacing w:line="600" w:lineRule="exact"/>
        <w:ind w:firstLine="640"/>
        <w:outlineLvl w:val="1"/>
        <w:rPr>
          <w:rStyle w:val="25"/>
          <w:rFonts w:ascii="黑体" w:hAnsi="黑体" w:eastAsia="黑体"/>
          <w:b w:val="0"/>
          <w:sz w:val="28"/>
          <w:szCs w:val="28"/>
        </w:rPr>
      </w:pPr>
      <w:bookmarkStart w:id="46" w:name="_Toc15377219"/>
      <w:bookmarkStart w:id="47" w:name="_Toc15396611"/>
      <w:r>
        <w:rPr>
          <w:rStyle w:val="25"/>
          <w:rFonts w:hint="eastAsia" w:ascii="黑体" w:hAnsi="黑体" w:eastAsia="黑体"/>
          <w:b w:val="0"/>
          <w:sz w:val="28"/>
          <w:szCs w:val="28"/>
        </w:rPr>
        <w:t>国有资本经营预算支出决算情况说明</w:t>
      </w:r>
      <w:bookmarkEnd w:id="46"/>
      <w:bookmarkEnd w:id="47"/>
    </w:p>
    <w:p>
      <w:pPr>
        <w:spacing w:line="600" w:lineRule="exact"/>
        <w:ind w:firstLine="640"/>
        <w:rPr>
          <w:rFonts w:ascii="仿宋_GB2312" w:eastAsia="仿宋_GB2312"/>
          <w:color w:val="000000"/>
          <w:sz w:val="28"/>
          <w:szCs w:val="28"/>
        </w:rPr>
      </w:pPr>
      <w:r>
        <w:rPr>
          <w:rFonts w:ascii="仿宋_GB2312" w:eastAsia="仿宋_GB2312"/>
          <w:color w:val="000000"/>
          <w:sz w:val="28"/>
          <w:szCs w:val="28"/>
        </w:rPr>
        <w:t>201</w:t>
      </w:r>
      <w:r>
        <w:rPr>
          <w:rFonts w:hint="eastAsia" w:ascii="仿宋_GB2312" w:eastAsia="仿宋_GB2312"/>
          <w:color w:val="000000"/>
          <w:sz w:val="28"/>
          <w:szCs w:val="28"/>
        </w:rPr>
        <w:t>8年国有资本经营预算拨款支出</w:t>
      </w:r>
      <w:r>
        <w:rPr>
          <w:rFonts w:ascii="仿宋_GB2312" w:eastAsia="仿宋_GB2312"/>
          <w:color w:val="000000"/>
          <w:sz w:val="28"/>
          <w:szCs w:val="28"/>
        </w:rPr>
        <w:t>0</w:t>
      </w:r>
      <w:r>
        <w:rPr>
          <w:rFonts w:hint="eastAsia" w:ascii="仿宋_GB2312" w:eastAsia="仿宋_GB2312"/>
          <w:color w:val="000000"/>
          <w:sz w:val="28"/>
          <w:szCs w:val="28"/>
        </w:rPr>
        <w:t>万元。</w:t>
      </w:r>
    </w:p>
    <w:p>
      <w:pPr>
        <w:pStyle w:val="23"/>
        <w:numPr>
          <w:ilvl w:val="0"/>
          <w:numId w:val="3"/>
        </w:numPr>
        <w:spacing w:line="580" w:lineRule="exact"/>
        <w:ind w:firstLineChars="0"/>
        <w:rPr>
          <w:rStyle w:val="25"/>
          <w:rFonts w:ascii="黑体" w:hAnsi="黑体" w:eastAsia="黑体"/>
          <w:b w:val="0"/>
          <w:sz w:val="28"/>
          <w:szCs w:val="28"/>
        </w:rPr>
      </w:pPr>
      <w:r>
        <w:rPr>
          <w:rStyle w:val="25"/>
          <w:rFonts w:hint="eastAsia" w:ascii="黑体" w:hAnsi="黑体" w:eastAsia="黑体"/>
          <w:b w:val="0"/>
          <w:sz w:val="28"/>
          <w:szCs w:val="28"/>
        </w:rPr>
        <w:t>预算绩效情况说明</w:t>
      </w:r>
    </w:p>
    <w:p>
      <w:pPr>
        <w:numPr>
          <w:ilvl w:val="0"/>
          <w:numId w:val="4"/>
        </w:numPr>
        <w:spacing w:line="580" w:lineRule="exact"/>
        <w:ind w:firstLine="562" w:firstLineChars="200"/>
        <w:rPr>
          <w:rFonts w:ascii="仿宋" w:hAnsi="仿宋" w:eastAsia="仿宋" w:cs="楷体_GB2312"/>
          <w:b/>
          <w:bCs/>
          <w:sz w:val="28"/>
          <w:szCs w:val="28"/>
        </w:rPr>
      </w:pPr>
      <w:r>
        <w:rPr>
          <w:rFonts w:hint="eastAsia" w:ascii="仿宋" w:hAnsi="仿宋" w:eastAsia="仿宋" w:cs="楷体_GB2312"/>
          <w:b/>
          <w:bCs/>
          <w:sz w:val="28"/>
          <w:szCs w:val="28"/>
        </w:rPr>
        <w:t>预算绩效管理工作开展情况。</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根据预算绩效管理要求，本单位在年初预算编制阶段，组织对城镇职工、居民医保住院核查及本、异地住院监督费等项目开展了预算事前绩效评估，对</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个项目编制了绩效目标，涉及财政资金8</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万元，覆盖率达1</w:t>
      </w:r>
      <w:r>
        <w:rPr>
          <w:rFonts w:ascii="仿宋_GB2312" w:hAnsi="仿宋_GB2312" w:eastAsia="仿宋_GB2312" w:cs="仿宋_GB2312"/>
          <w:sz w:val="28"/>
          <w:szCs w:val="28"/>
        </w:rPr>
        <w:t>00</w:t>
      </w:r>
      <w:r>
        <w:rPr>
          <w:rFonts w:hint="eastAsia" w:ascii="仿宋_GB2312" w:hAnsi="仿宋_GB2312" w:eastAsia="仿宋_GB2312" w:cs="仿宋_GB2312"/>
          <w:sz w:val="28"/>
          <w:szCs w:val="28"/>
        </w:rPr>
        <w:t>%。预算执行过程中，选取</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个项目开展绩效监控，年终执行完毕后，对</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个项目开展了绩效目标完成情况梳理填报。</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本单位按要求对2018年部门整体支出开展绩效自评，从评价情况来看2</w:t>
      </w:r>
      <w:r>
        <w:rPr>
          <w:rFonts w:ascii="仿宋_GB2312" w:hAnsi="仿宋_GB2312" w:eastAsia="仿宋_GB2312" w:cs="仿宋_GB2312"/>
          <w:sz w:val="28"/>
          <w:szCs w:val="28"/>
        </w:rPr>
        <w:t>018</w:t>
      </w:r>
      <w:r>
        <w:rPr>
          <w:rFonts w:hint="eastAsia" w:ascii="仿宋_GB2312" w:hAnsi="仿宋_GB2312" w:eastAsia="仿宋_GB2312" w:cs="仿宋_GB2312"/>
          <w:sz w:val="28"/>
          <w:szCs w:val="28"/>
        </w:rPr>
        <w:t>年我单位积极履职，强化管理，较好的完成了年度工作目标。通过加强预算收支管理，不断健全内部控制管理制度，梳理内部管理流程，部门整体支出管理水平得到提升。本部门还自行组织了</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个项目绩效评价，从评价情况来看进一步加大医保政策宣传力度，提高群众参保意愿，同时加强了对定点医疗机构的日常监管。</w:t>
      </w:r>
    </w:p>
    <w:p>
      <w:pPr>
        <w:numPr>
          <w:ilvl w:val="0"/>
          <w:numId w:val="5"/>
        </w:numPr>
        <w:tabs>
          <w:tab w:val="clear" w:pos="312"/>
        </w:tabs>
        <w:spacing w:line="580" w:lineRule="exact"/>
        <w:ind w:firstLine="562" w:firstLineChars="200"/>
        <w:jc w:val="left"/>
        <w:rPr>
          <w:rFonts w:ascii="仿宋_GB2312" w:hAnsi="仿宋_GB2312" w:eastAsia="仿宋_GB2312" w:cs="仿宋_GB2312"/>
          <w:sz w:val="28"/>
          <w:szCs w:val="28"/>
        </w:rPr>
      </w:pPr>
      <w:r>
        <w:rPr>
          <w:rFonts w:hint="eastAsia" w:ascii="仿宋" w:hAnsi="仿宋" w:eastAsia="仿宋" w:cs="楷体_GB2312"/>
          <w:b/>
          <w:bCs/>
          <w:sz w:val="28"/>
          <w:szCs w:val="28"/>
        </w:rPr>
        <w:t>项目绩效目标完成情况。</w:t>
      </w:r>
      <w:r>
        <w:rPr>
          <w:rFonts w:hint="eastAsia" w:ascii="楷体_GB2312" w:hAnsi="楷体_GB2312" w:eastAsia="楷体_GB2312" w:cs="楷体_GB2312"/>
          <w:b/>
          <w:bCs/>
          <w:sz w:val="28"/>
          <w:szCs w:val="28"/>
        </w:rPr>
        <w:br w:type="textWrapping"/>
      </w:r>
      <w:r>
        <w:rPr>
          <w:rFonts w:hint="eastAsia" w:ascii="仿宋_GB2312" w:hAnsi="仿宋_GB2312" w:eastAsia="仿宋_GB2312" w:cs="仿宋_GB2312"/>
          <w:sz w:val="28"/>
          <w:szCs w:val="28"/>
        </w:rPr>
        <w:t xml:space="preserve">    本部门在2018年度部门决算中反映“党建工作经费</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“医疗保险网络维护费”“城镇职工、居民医保住院核查及本、异地住院监督费”“城乡居民保险档案资料整理”“城乡居民医疗保险政策宣传”等</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 xml:space="preserve">个项目绩效目标实际完成情况。 </w:t>
      </w:r>
      <w:r>
        <w:rPr>
          <w:rFonts w:ascii="仿宋_GB2312" w:hAnsi="仿宋_GB2312" w:eastAsia="仿宋_GB2312" w:cs="仿宋_GB2312"/>
          <w:sz w:val="28"/>
          <w:szCs w:val="28"/>
        </w:rPr>
        <w:t xml:space="preserve">        </w:t>
      </w:r>
    </w:p>
    <w:p>
      <w:pPr>
        <w:spacing w:line="580" w:lineRule="exact"/>
        <w:ind w:firstLine="560" w:firstLineChars="200"/>
        <w:jc w:val="left"/>
        <w:rPr>
          <w:rFonts w:ascii="仿宋_GB2312" w:hAnsi="仿宋_GB2312" w:eastAsia="仿宋_GB2312" w:cs="仿宋_GB2312"/>
          <w:sz w:val="28"/>
          <w:szCs w:val="28"/>
        </w:rPr>
      </w:pPr>
      <w:r>
        <w:rPr>
          <w:rFonts w:hint="eastAsia" w:ascii="仿宋" w:hAnsi="仿宋" w:eastAsia="仿宋" w:cs="楷体_GB2312"/>
          <w:sz w:val="28"/>
          <w:szCs w:val="28"/>
        </w:rPr>
        <w:t>党建工作经费</w:t>
      </w:r>
      <w:r>
        <w:rPr>
          <w:rFonts w:hint="eastAsia" w:ascii="仿宋_GB2312" w:hAnsi="仿宋_GB2312" w:eastAsia="仿宋_GB2312" w:cs="仿宋_GB2312"/>
          <w:sz w:val="28"/>
          <w:szCs w:val="28"/>
        </w:rPr>
        <w:t>项目绩效目标完成情况综述。项目全年预算数</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万元，执行数为</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万元，完成预算的</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%。通过项目实施，保障了我局党建工作的正常开展。</w:t>
      </w:r>
    </w:p>
    <w:p>
      <w:pPr>
        <w:spacing w:line="580" w:lineRule="exact"/>
        <w:ind w:firstLine="560" w:firstLineChars="200"/>
        <w:jc w:val="left"/>
        <w:rPr>
          <w:rFonts w:ascii="仿宋_GB2312" w:hAnsi="仿宋_GB2312" w:eastAsia="仿宋_GB2312" w:cs="仿宋_GB2312"/>
          <w:sz w:val="28"/>
          <w:szCs w:val="28"/>
        </w:rPr>
      </w:pPr>
      <w:bookmarkStart w:id="48" w:name="_Hlk19371023"/>
      <w:r>
        <w:rPr>
          <w:rFonts w:hint="eastAsia" w:ascii="仿宋_GB2312" w:hAnsi="仿宋_GB2312" w:eastAsia="仿宋_GB2312" w:cs="仿宋_GB2312"/>
          <w:sz w:val="28"/>
          <w:szCs w:val="28"/>
        </w:rPr>
        <w:t>医疗保险网络维护项目绩效目标完成情况综述。项目全年预算数</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万元，执行数为</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万元，完成预算的</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%。通过项目实施，保障了医疗保险网络高效运行。发现的主要问题：医疗保险网络运行还不能完全满足职工需求。下一步改进措施：进一步加大对人员的网络操作培训，积极与软件研发公司沟通交流。</w:t>
      </w:r>
    </w:p>
    <w:bookmarkEnd w:id="48"/>
    <w:p>
      <w:pPr>
        <w:tabs>
          <w:tab w:val="left" w:pos="312"/>
        </w:tabs>
        <w:spacing w:line="580" w:lineRule="exact"/>
        <w:ind w:firstLine="560" w:firstLineChars="200"/>
        <w:rPr>
          <w:rFonts w:ascii="仿宋_GB2312" w:hAnsi="仿宋_GB2312" w:eastAsia="仿宋_GB2312" w:cs="仿宋_GB2312"/>
          <w:sz w:val="28"/>
          <w:szCs w:val="28"/>
        </w:rPr>
      </w:pPr>
      <w:bookmarkStart w:id="49" w:name="_Hlk19398575"/>
      <w:r>
        <w:rPr>
          <w:rFonts w:hint="eastAsia" w:ascii="仿宋_GB2312" w:hAnsi="仿宋_GB2312" w:eastAsia="仿宋_GB2312" w:cs="仿宋_GB2312"/>
          <w:sz w:val="28"/>
          <w:szCs w:val="28"/>
        </w:rPr>
        <w:t>城镇职工、居民医保住院核查及本、异地住院监督项目绩效目标完成情况综述。项目全年预算数</w:t>
      </w:r>
      <w:r>
        <w:rPr>
          <w:rFonts w:ascii="仿宋_GB2312" w:hAnsi="仿宋_GB2312" w:eastAsia="仿宋_GB2312" w:cs="仿宋_GB2312"/>
          <w:sz w:val="28"/>
          <w:szCs w:val="28"/>
        </w:rPr>
        <w:t>45</w:t>
      </w:r>
      <w:r>
        <w:rPr>
          <w:rFonts w:hint="eastAsia" w:ascii="仿宋_GB2312" w:hAnsi="仿宋_GB2312" w:eastAsia="仿宋_GB2312" w:cs="仿宋_GB2312"/>
          <w:sz w:val="28"/>
          <w:szCs w:val="28"/>
        </w:rPr>
        <w:t>万元，执行数为</w:t>
      </w:r>
      <w:r>
        <w:rPr>
          <w:rFonts w:ascii="仿宋_GB2312" w:hAnsi="仿宋_GB2312" w:eastAsia="仿宋_GB2312" w:cs="仿宋_GB2312"/>
          <w:sz w:val="28"/>
          <w:szCs w:val="28"/>
        </w:rPr>
        <w:t>45</w:t>
      </w:r>
      <w:r>
        <w:rPr>
          <w:rFonts w:hint="eastAsia" w:ascii="仿宋_GB2312" w:hAnsi="仿宋_GB2312" w:eastAsia="仿宋_GB2312" w:cs="仿宋_GB2312"/>
          <w:sz w:val="28"/>
          <w:szCs w:val="28"/>
        </w:rPr>
        <w:t>万元，完成预算的</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%。通过项目实施，保障了医疗保险基金安全运行，减少了不合理医疗费用支出</w:t>
      </w:r>
      <w:bookmarkEnd w:id="49"/>
      <w:r>
        <w:rPr>
          <w:rFonts w:hint="eastAsia" w:ascii="仿宋_GB2312" w:hAnsi="仿宋_GB2312" w:eastAsia="仿宋_GB2312" w:cs="仿宋_GB2312"/>
          <w:sz w:val="28"/>
          <w:szCs w:val="28"/>
        </w:rPr>
        <w:t>。发现的主要问题：定点医疗机构不合理治疗现象仍然存在。下一步改进措施：加强对各定点医疗机构的日常监管，创新监督手段，加大对违规现象惩处力度。</w:t>
      </w:r>
    </w:p>
    <w:p>
      <w:pPr>
        <w:spacing w:line="580" w:lineRule="exact"/>
        <w:ind w:firstLine="560" w:firstLineChars="200"/>
        <w:jc w:val="left"/>
        <w:rPr>
          <w:rFonts w:ascii="仿宋_GB2312" w:hAnsi="仿宋_GB2312" w:eastAsia="仿宋_GB2312" w:cs="仿宋_GB2312"/>
          <w:sz w:val="28"/>
          <w:szCs w:val="28"/>
        </w:rPr>
      </w:pPr>
      <w:bookmarkStart w:id="50" w:name="_Hlk19398701"/>
      <w:r>
        <w:rPr>
          <w:rFonts w:hint="eastAsia" w:ascii="仿宋_GB2312" w:hAnsi="仿宋_GB2312" w:eastAsia="仿宋_GB2312" w:cs="仿宋_GB2312"/>
          <w:sz w:val="28"/>
          <w:szCs w:val="28"/>
        </w:rPr>
        <w:t>城乡居民保险档案资料整理项目绩效目标完成情况综述。项目全年预算数</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万元，执行数为</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万元，完成预算的</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%。通过项目实施，保障了城乡居民报账资料的归档存储。</w:t>
      </w:r>
      <w:bookmarkEnd w:id="50"/>
      <w:r>
        <w:rPr>
          <w:rFonts w:hint="eastAsia" w:ascii="仿宋_GB2312" w:hAnsi="仿宋_GB2312" w:eastAsia="仿宋_GB2312" w:cs="仿宋_GB2312"/>
          <w:sz w:val="28"/>
          <w:szCs w:val="28"/>
        </w:rPr>
        <w:t>发现的主要问题：由于城乡居民参保群众上百万，需要归档的报账资料过多，档案整理流程还不够完善，存储空间不够。下一步改进措施：制定明确的档案整理制度，加大管理力度，提升工作效率。</w:t>
      </w:r>
    </w:p>
    <w:p>
      <w:pPr>
        <w:spacing w:line="580" w:lineRule="exact"/>
        <w:ind w:firstLine="560" w:firstLineChars="200"/>
        <w:jc w:val="left"/>
        <w:rPr>
          <w:rFonts w:ascii="仿宋_GB2312" w:hAnsi="仿宋_GB2312" w:eastAsia="仿宋_GB2312" w:cs="仿宋_GB2312"/>
          <w:sz w:val="28"/>
          <w:szCs w:val="28"/>
        </w:rPr>
      </w:pPr>
      <w:bookmarkStart w:id="51" w:name="_Hlk19398790"/>
      <w:r>
        <w:rPr>
          <w:rFonts w:hint="eastAsia" w:ascii="仿宋_GB2312" w:hAnsi="仿宋_GB2312" w:eastAsia="仿宋_GB2312" w:cs="仿宋_GB2312"/>
          <w:sz w:val="28"/>
          <w:szCs w:val="28"/>
        </w:rPr>
        <w:t>城乡居民医疗保险政策宣传绩效目标完成情况综述。项目全年预算数</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万元，执行数为</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万元，完成预算的</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%。通过项目实施，提升了居民参保意愿和对医疗保险政策的知晓度。</w:t>
      </w:r>
      <w:bookmarkEnd w:id="51"/>
      <w:r>
        <w:rPr>
          <w:rFonts w:hint="eastAsia" w:ascii="仿宋_GB2312" w:hAnsi="仿宋_GB2312" w:eastAsia="仿宋_GB2312" w:cs="仿宋_GB2312"/>
          <w:sz w:val="28"/>
          <w:szCs w:val="28"/>
        </w:rPr>
        <w:t>发现的主要问题：极少数居民对医保相关政策还不够了解。下一步改进措施：拓宽医保政策宣传渠道，积极听取群众意见和建议，提升服务水平。</w:t>
      </w:r>
      <w:r>
        <w:rPr>
          <w:rFonts w:ascii="仿宋_GB2312" w:hAnsi="仿宋_GB2312" w:eastAsia="仿宋_GB2312" w:cs="仿宋_GB2312"/>
          <w:sz w:val="28"/>
          <w:szCs w:val="28"/>
        </w:rPr>
        <w:t xml:space="preserve"> </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615"/>
        <w:gridCol w:w="1142"/>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3857" w:leftChars="1310" w:hanging="1106" w:hangingChars="395"/>
              <w:textAlignment w:val="center"/>
              <w:rPr>
                <w:rFonts w:ascii="宋体" w:hAnsi="宋体" w:cs="宋体"/>
                <w:color w:val="000000"/>
                <w:sz w:val="28"/>
                <w:szCs w:val="28"/>
              </w:rPr>
            </w:pPr>
            <w:r>
              <w:rPr>
                <w:rFonts w:hint="eastAsia" w:ascii="黑体" w:hAnsi="黑体" w:eastAsia="黑体" w:cs="宋体"/>
                <w:bCs/>
                <w:color w:val="000000"/>
                <w:kern w:val="0"/>
                <w:sz w:val="28"/>
                <w:szCs w:val="28"/>
                <w:lang w:bidi="ar"/>
              </w:rPr>
              <w:t>项目支出绩效目标完成情况表</w:t>
            </w:r>
            <w:r>
              <w:rPr>
                <w:rFonts w:hint="eastAsia" w:ascii="宋体" w:hAnsi="宋体" w:cs="宋体"/>
                <w:b/>
                <w:bCs/>
                <w:color w:val="000000"/>
                <w:kern w:val="0"/>
                <w:sz w:val="28"/>
                <w:szCs w:val="28"/>
                <w:lang w:bidi="ar"/>
              </w:rPr>
              <w:br w:type="textWrapping"/>
            </w:r>
            <w:r>
              <w:rPr>
                <w:rFonts w:hint="eastAsia" w:ascii="宋体" w:hAnsi="宋体" w:cs="宋体"/>
                <w:color w:val="000000"/>
                <w:kern w:val="0"/>
                <w:sz w:val="28"/>
                <w:szCs w:val="28"/>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仿宋" w:hAnsi="仿宋" w:eastAsia="仿宋" w:cs="仿宋"/>
                <w:sz w:val="28"/>
                <w:szCs w:val="28"/>
              </w:rPr>
              <w:t>党建工作经费、医疗保险网络维护费、城镇职工、居民医保住院核查及本、异地住院监督费、城乡居民保险档案资料整理、城乡居民医疗保险政策宣传</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达川区医疗保险管理局</w:t>
            </w:r>
          </w:p>
        </w:tc>
      </w:tr>
      <w:tr>
        <w:tblPrEx>
          <w:tblCellMar>
            <w:top w:w="0" w:type="dxa"/>
            <w:left w:w="0" w:type="dxa"/>
            <w:bottom w:w="0" w:type="dxa"/>
            <w:right w:w="0" w:type="dxa"/>
          </w:tblCellMar>
        </w:tblPrEx>
        <w:trPr>
          <w:trHeight w:val="276" w:hRule="atLeast"/>
        </w:trPr>
        <w:tc>
          <w:tcPr>
            <w:tcW w:w="61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预算执行情况(万元)</w:t>
            </w:r>
          </w:p>
        </w:tc>
        <w:tc>
          <w:tcPr>
            <w:tcW w:w="21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8</w:t>
            </w:r>
            <w:r>
              <w:rPr>
                <w:rFonts w:ascii="宋体" w:hAnsi="宋体" w:cs="宋体"/>
                <w:color w:val="000000"/>
                <w:sz w:val="28"/>
                <w:szCs w:val="28"/>
              </w:rPr>
              <w:t>8</w:t>
            </w:r>
            <w:r>
              <w:rPr>
                <w:rFonts w:hint="eastAsia" w:ascii="宋体" w:hAnsi="宋体" w:cs="宋体"/>
                <w:color w:val="000000"/>
                <w:sz w:val="28"/>
                <w:szCs w:val="28"/>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8</w:t>
            </w:r>
            <w:r>
              <w:rPr>
                <w:rFonts w:ascii="宋体" w:hAnsi="宋体" w:cs="宋体"/>
                <w:color w:val="000000"/>
                <w:sz w:val="28"/>
                <w:szCs w:val="28"/>
              </w:rPr>
              <w:t>8</w:t>
            </w:r>
            <w:r>
              <w:rPr>
                <w:rFonts w:hint="eastAsia" w:ascii="宋体" w:hAnsi="宋体" w:cs="宋体"/>
                <w:color w:val="000000"/>
                <w:sz w:val="28"/>
                <w:szCs w:val="28"/>
              </w:rPr>
              <w:t>万</w:t>
            </w:r>
          </w:p>
        </w:tc>
      </w:tr>
      <w:tr>
        <w:tblPrEx>
          <w:tblCellMar>
            <w:top w:w="0" w:type="dxa"/>
            <w:left w:w="0" w:type="dxa"/>
            <w:bottom w:w="0" w:type="dxa"/>
            <w:right w:w="0" w:type="dxa"/>
          </w:tblCellMar>
        </w:tblPrEx>
        <w:trPr>
          <w:trHeight w:val="276"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8"/>
                <w:szCs w:val="28"/>
              </w:rPr>
            </w:pPr>
          </w:p>
        </w:tc>
        <w:tc>
          <w:tcPr>
            <w:tcW w:w="21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8</w:t>
            </w:r>
            <w:r>
              <w:rPr>
                <w:rFonts w:ascii="宋体" w:hAnsi="宋体" w:cs="宋体"/>
                <w:color w:val="000000"/>
                <w:sz w:val="28"/>
                <w:szCs w:val="28"/>
              </w:rPr>
              <w:t>8</w:t>
            </w:r>
            <w:r>
              <w:rPr>
                <w:rFonts w:hint="eastAsia" w:ascii="宋体" w:hAnsi="宋体" w:cs="宋体"/>
                <w:color w:val="000000"/>
                <w:sz w:val="28"/>
                <w:szCs w:val="28"/>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8</w:t>
            </w:r>
            <w:r>
              <w:rPr>
                <w:rFonts w:ascii="宋体" w:hAnsi="宋体" w:cs="宋体"/>
                <w:color w:val="000000"/>
                <w:sz w:val="28"/>
                <w:szCs w:val="28"/>
              </w:rPr>
              <w:t>8</w:t>
            </w:r>
            <w:r>
              <w:rPr>
                <w:rFonts w:hint="eastAsia" w:ascii="宋体" w:hAnsi="宋体" w:cs="宋体"/>
                <w:color w:val="000000"/>
                <w:sz w:val="28"/>
                <w:szCs w:val="28"/>
              </w:rPr>
              <w:t>万</w:t>
            </w: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8"/>
                <w:szCs w:val="28"/>
              </w:rPr>
            </w:pPr>
          </w:p>
        </w:tc>
        <w:tc>
          <w:tcPr>
            <w:tcW w:w="21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8"/>
                <w:szCs w:val="28"/>
              </w:rPr>
            </w:pPr>
          </w:p>
        </w:tc>
      </w:tr>
      <w:tr>
        <w:tblPrEx>
          <w:tblCellMar>
            <w:top w:w="0" w:type="dxa"/>
            <w:left w:w="0" w:type="dxa"/>
            <w:bottom w:w="0" w:type="dxa"/>
            <w:right w:w="0" w:type="dxa"/>
          </w:tblCellMar>
        </w:tblPrEx>
        <w:trPr>
          <w:trHeight w:val="276" w:hRule="atLeast"/>
        </w:trPr>
        <w:tc>
          <w:tcPr>
            <w:tcW w:w="61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年度目标完成情况</w:t>
            </w:r>
          </w:p>
        </w:tc>
        <w:tc>
          <w:tcPr>
            <w:tcW w:w="45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实际完成目标</w:t>
            </w:r>
          </w:p>
        </w:tc>
      </w:tr>
      <w:tr>
        <w:tblPrEx>
          <w:tblCellMar>
            <w:top w:w="0" w:type="dxa"/>
            <w:left w:w="0" w:type="dxa"/>
            <w:bottom w:w="0" w:type="dxa"/>
            <w:right w:w="0" w:type="dxa"/>
          </w:tblCellMar>
        </w:tblPrEx>
        <w:trPr>
          <w:trHeight w:val="581"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8"/>
                <w:szCs w:val="28"/>
              </w:rPr>
            </w:pPr>
          </w:p>
        </w:tc>
        <w:tc>
          <w:tcPr>
            <w:tcW w:w="45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仿宋" w:hAnsi="仿宋" w:eastAsia="仿宋" w:cs="仿宋"/>
                <w:sz w:val="28"/>
                <w:szCs w:val="28"/>
              </w:rPr>
            </w:pPr>
            <w:r>
              <w:rPr>
                <w:rFonts w:hint="eastAsia" w:ascii="仿宋" w:hAnsi="仿宋" w:eastAsia="仿宋" w:cs="仿宋"/>
                <w:sz w:val="28"/>
                <w:szCs w:val="28"/>
              </w:rPr>
              <w:t>1、强化审核支付，确保参保人员待遇落实。2、强化监督稽核，确保医保基金运行安全。3、强化门诊保障，切实减轻患者就医负担。4、推进即时结算，确保参保人员异地就医待遇落实。5、强化健康扶贫，助推打赢脱贫攻坚战。6、切实开展培训，规范定点医疗机构服务行为。7、抓好党建和党风廉政建设，树立风清气正医保人形象。8、狠抓宣传发动，全面展示和提升医保工作形象。</w:t>
            </w:r>
          </w:p>
          <w:p>
            <w:pPr>
              <w:widowControl/>
              <w:jc w:val="center"/>
              <w:textAlignment w:val="center"/>
              <w:rPr>
                <w:rFonts w:hint="eastAsia" w:ascii="仿宋" w:hAnsi="仿宋" w:eastAsia="仿宋" w:cs="仿宋"/>
                <w:color w:val="000000"/>
                <w:sz w:val="28"/>
                <w:szCs w:val="28"/>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圆满完成党风廉政建设工作、健康扶贫“一站式”结算服务、网上审核支付参保群众待遇工作、对定点医疗机构的日常监督稽核工作、参保群众报账资料归档储存工作、医保政策宣传活动。</w:t>
            </w:r>
          </w:p>
        </w:tc>
      </w:tr>
      <w:tr>
        <w:tblPrEx>
          <w:tblCellMar>
            <w:top w:w="0" w:type="dxa"/>
            <w:left w:w="0" w:type="dxa"/>
            <w:bottom w:w="0" w:type="dxa"/>
            <w:right w:w="0" w:type="dxa"/>
          </w:tblCellMar>
        </w:tblPrEx>
        <w:trPr>
          <w:trHeight w:val="1042" w:hRule="atLeast"/>
        </w:trPr>
        <w:tc>
          <w:tcPr>
            <w:tcW w:w="61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绩效指标完成情况</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预期指标值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实际完成指标值</w:t>
            </w:r>
          </w:p>
        </w:tc>
      </w:tr>
      <w:tr>
        <w:tblPrEx>
          <w:tblCellMar>
            <w:top w:w="0" w:type="dxa"/>
            <w:left w:w="0" w:type="dxa"/>
            <w:bottom w:w="0" w:type="dxa"/>
            <w:right w:w="0" w:type="dxa"/>
          </w:tblCellMar>
        </w:tblPrEx>
        <w:trPr>
          <w:trHeight w:val="953"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健全党组织工作机制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确保党组织活动有序开展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定期召开党员大会、支部委员会、党小组会等</w:t>
            </w:r>
          </w:p>
        </w:tc>
      </w:tr>
      <w:tr>
        <w:tblPrEx>
          <w:tblCellMar>
            <w:top w:w="0" w:type="dxa"/>
            <w:left w:w="0" w:type="dxa"/>
            <w:bottom w:w="0" w:type="dxa"/>
            <w:right w:w="0" w:type="dxa"/>
          </w:tblCellMar>
        </w:tblPrEx>
        <w:trPr>
          <w:trHeight w:val="1297"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保障医疗保险网络高效运行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确保网络运行满足工作所需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网络运行基本满足需求</w:t>
            </w:r>
          </w:p>
        </w:tc>
      </w:tr>
      <w:tr>
        <w:tblPrEx>
          <w:tblCellMar>
            <w:top w:w="0" w:type="dxa"/>
            <w:left w:w="0" w:type="dxa"/>
            <w:bottom w:w="0" w:type="dxa"/>
            <w:right w:w="0" w:type="dxa"/>
          </w:tblCellMar>
        </w:tblPrEx>
        <w:trPr>
          <w:trHeight w:val="1042"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保障医保基金安全运行，减少不合理支出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有效杜绝医疗机构医保违规行为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医疗机构医保违规行为不断减少</w:t>
            </w:r>
          </w:p>
        </w:tc>
      </w:tr>
      <w:tr>
        <w:tblPrEx>
          <w:tblCellMar>
            <w:top w:w="0" w:type="dxa"/>
            <w:left w:w="0" w:type="dxa"/>
            <w:bottom w:w="0" w:type="dxa"/>
            <w:right w:w="0" w:type="dxa"/>
          </w:tblCellMar>
        </w:tblPrEx>
        <w:trPr>
          <w:trHeight w:val="1042"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color w:val="000000"/>
                <w:kern w:val="0"/>
                <w:sz w:val="28"/>
                <w:szCs w:val="2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年度目标任务完成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确保参保群众报账资料完整保存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2018年参保群众报账资料已有序归档</w:t>
            </w: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完成医保政策宣传工作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确保全区医保参保率达90%以上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2018年我区城乡居民参保人数达103.11万人，城镇职工参保人数达4.5万人</w:t>
            </w:r>
          </w:p>
        </w:tc>
      </w:tr>
      <w:tr>
        <w:tblPrEx>
          <w:tblCellMar>
            <w:top w:w="0" w:type="dxa"/>
            <w:left w:w="0" w:type="dxa"/>
            <w:bottom w:w="0" w:type="dxa"/>
            <w:right w:w="0" w:type="dxa"/>
          </w:tblCellMar>
        </w:tblPrEx>
        <w:trPr>
          <w:trHeight w:val="673"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完成党风廉政建设工作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积极开展“三会一课”等活动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定期召开党员大会、支部委员会、党小组会等</w:t>
            </w:r>
          </w:p>
        </w:tc>
      </w:tr>
      <w:tr>
        <w:tblPrEx>
          <w:tblCellMar>
            <w:top w:w="0" w:type="dxa"/>
            <w:left w:w="0" w:type="dxa"/>
            <w:bottom w:w="0" w:type="dxa"/>
            <w:right w:w="0" w:type="dxa"/>
          </w:tblCellMar>
        </w:tblPrEx>
        <w:trPr>
          <w:trHeight w:val="1042"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定期对“金保工程”进行软硬件建设、维护和管理。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保障医保网络可持续运行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“金保工程”运行通畅。</w:t>
            </w:r>
          </w:p>
        </w:tc>
      </w:tr>
      <w:tr>
        <w:tblPrEx>
          <w:tblCellMar>
            <w:top w:w="0" w:type="dxa"/>
            <w:left w:w="0" w:type="dxa"/>
            <w:bottom w:w="0" w:type="dxa"/>
            <w:right w:w="0" w:type="dxa"/>
          </w:tblCellMar>
        </w:tblPrEx>
        <w:trPr>
          <w:trHeight w:val="1297"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保障医保基金安全运行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确保医保基金良性运行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总的来看，医保基金运行平稳</w:t>
            </w:r>
          </w:p>
        </w:tc>
      </w:tr>
      <w:tr>
        <w:tblPrEx>
          <w:tblCellMar>
            <w:top w:w="0" w:type="dxa"/>
            <w:left w:w="0" w:type="dxa"/>
            <w:bottom w:w="0" w:type="dxa"/>
            <w:right w:w="0" w:type="dxa"/>
          </w:tblCellMar>
        </w:tblPrEx>
        <w:trPr>
          <w:trHeight w:val="1297"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color w:val="000000"/>
                <w:kern w:val="0"/>
                <w:sz w:val="28"/>
                <w:szCs w:val="28"/>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完成参保群众报账资料的完整归档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保障档案整理工作有序开展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档案整理覆盖率达100%</w:t>
            </w:r>
          </w:p>
        </w:tc>
      </w:tr>
      <w:tr>
        <w:tblPrEx>
          <w:tblCellMar>
            <w:top w:w="0" w:type="dxa"/>
            <w:left w:w="0" w:type="dxa"/>
            <w:bottom w:w="0" w:type="dxa"/>
            <w:right w:w="0" w:type="dxa"/>
          </w:tblCellMar>
        </w:tblPrEx>
        <w:trPr>
          <w:trHeight w:val="1297"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color w:val="000000"/>
                <w:kern w:val="0"/>
                <w:sz w:val="28"/>
                <w:szCs w:val="28"/>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提升群众医疗保障获得感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全面落实医保惠民政策，扎实推进全民参保</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医疗保障水平逐步提高</w:t>
            </w:r>
          </w:p>
        </w:tc>
      </w:tr>
      <w:tr>
        <w:tblPrEx>
          <w:tblCellMar>
            <w:top w:w="0" w:type="dxa"/>
            <w:left w:w="0" w:type="dxa"/>
            <w:bottom w:w="0" w:type="dxa"/>
            <w:right w:w="0" w:type="dxa"/>
          </w:tblCellMar>
        </w:tblPrEx>
        <w:trPr>
          <w:trHeight w:val="390"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公众满意度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≥90%</w:t>
            </w:r>
          </w:p>
        </w:tc>
      </w:tr>
    </w:tbl>
    <w:p>
      <w:pPr>
        <w:spacing w:line="580" w:lineRule="exact"/>
        <w:rPr>
          <w:rFonts w:hint="eastAsia" w:ascii="仿宋" w:hAnsi="仿宋" w:eastAsia="仿宋" w:cs="仿宋"/>
          <w:sz w:val="28"/>
          <w:szCs w:val="28"/>
        </w:rPr>
      </w:pPr>
    </w:p>
    <w:p>
      <w:pPr>
        <w:numPr>
          <w:ilvl w:val="0"/>
          <w:numId w:val="4"/>
        </w:numPr>
        <w:spacing w:line="580" w:lineRule="exact"/>
        <w:ind w:firstLine="562" w:firstLineChars="200"/>
        <w:rPr>
          <w:rFonts w:ascii="仿宋" w:hAnsi="仿宋" w:eastAsia="仿宋" w:cs="仿宋_GB2312"/>
          <w:sz w:val="28"/>
          <w:szCs w:val="28"/>
        </w:rPr>
      </w:pPr>
      <w:r>
        <w:rPr>
          <w:rFonts w:hint="eastAsia" w:ascii="仿宋" w:hAnsi="仿宋" w:eastAsia="仿宋" w:cs="楷体_GB2312"/>
          <w:b/>
          <w:bCs/>
          <w:sz w:val="28"/>
          <w:szCs w:val="28"/>
        </w:rPr>
        <w:t>部门开展绩效评价结果。</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本部门按要求对2018年部门整体支出绩效评价情况开展自评，《</w:t>
      </w:r>
      <w:bookmarkStart w:id="52" w:name="_Hlk19391147"/>
      <w:r>
        <w:rPr>
          <w:rFonts w:hint="eastAsia" w:ascii="仿宋_GB2312" w:hAnsi="仿宋_GB2312" w:eastAsia="仿宋_GB2312" w:cs="仿宋_GB2312"/>
          <w:sz w:val="28"/>
          <w:szCs w:val="28"/>
        </w:rPr>
        <w:t>达州市达川区医疗保险管理局</w:t>
      </w:r>
      <w:bookmarkEnd w:id="52"/>
      <w:r>
        <w:rPr>
          <w:rFonts w:hint="eastAsia" w:ascii="仿宋_GB2312" w:hAnsi="仿宋_GB2312" w:eastAsia="仿宋_GB2312" w:cs="仿宋_GB2312"/>
          <w:sz w:val="28"/>
          <w:szCs w:val="28"/>
        </w:rPr>
        <w:t>2018年部门整体支出绩效评价报告》见附件。</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本部门自行组织对项目支出开展了绩效评价，《达州市达川区医疗保险管理局2</w:t>
      </w:r>
      <w:r>
        <w:rPr>
          <w:rFonts w:ascii="仿宋_GB2312" w:hAnsi="仿宋_GB2312" w:eastAsia="仿宋_GB2312" w:cs="仿宋_GB2312"/>
          <w:sz w:val="28"/>
          <w:szCs w:val="28"/>
        </w:rPr>
        <w:t>018</w:t>
      </w:r>
      <w:r>
        <w:rPr>
          <w:rFonts w:hint="eastAsia" w:ascii="仿宋_GB2312" w:hAnsi="仿宋_GB2312" w:eastAsia="仿宋_GB2312" w:cs="仿宋_GB2312"/>
          <w:sz w:val="28"/>
          <w:szCs w:val="28"/>
        </w:rPr>
        <w:t>年项目支出绩效评价报告》见附件。</w:t>
      </w:r>
    </w:p>
    <w:p>
      <w:pPr>
        <w:spacing w:line="600" w:lineRule="exact"/>
        <w:ind w:firstLine="700" w:firstLineChars="250"/>
        <w:outlineLvl w:val="1"/>
        <w:rPr>
          <w:rStyle w:val="25"/>
          <w:rFonts w:ascii="黑体" w:hAnsi="黑体" w:eastAsia="黑体"/>
          <w:sz w:val="28"/>
          <w:szCs w:val="28"/>
        </w:rPr>
      </w:pPr>
      <w:bookmarkStart w:id="53" w:name="_Toc15377221"/>
      <w:bookmarkStart w:id="54" w:name="_Toc15396612"/>
      <w:r>
        <w:rPr>
          <w:rFonts w:hint="eastAsia" w:ascii="黑体" w:hAnsi="黑体" w:eastAsia="黑体"/>
          <w:color w:val="000000"/>
          <w:sz w:val="28"/>
          <w:szCs w:val="28"/>
        </w:rPr>
        <w:t>十</w:t>
      </w:r>
      <w:r>
        <w:rPr>
          <w:rStyle w:val="25"/>
          <w:rFonts w:hint="eastAsia" w:ascii="黑体" w:hAnsi="黑体" w:eastAsia="黑体"/>
          <w:sz w:val="28"/>
          <w:szCs w:val="28"/>
        </w:rPr>
        <w:t>一、</w:t>
      </w:r>
      <w:r>
        <w:rPr>
          <w:rStyle w:val="25"/>
          <w:rFonts w:hint="eastAsia" w:ascii="黑体" w:hAnsi="黑体" w:eastAsia="黑体"/>
          <w:b w:val="0"/>
          <w:sz w:val="28"/>
          <w:szCs w:val="28"/>
        </w:rPr>
        <w:t>其他重要事项的情况说明</w:t>
      </w:r>
      <w:bookmarkEnd w:id="53"/>
      <w:bookmarkEnd w:id="54"/>
    </w:p>
    <w:p>
      <w:pPr>
        <w:spacing w:line="600" w:lineRule="exact"/>
        <w:ind w:firstLine="562" w:firstLineChars="200"/>
        <w:outlineLvl w:val="2"/>
        <w:rPr>
          <w:rFonts w:ascii="仿宋" w:hAnsi="仿宋" w:eastAsia="仿宋"/>
          <w:color w:val="000000"/>
          <w:sz w:val="28"/>
          <w:szCs w:val="28"/>
        </w:rPr>
      </w:pPr>
      <w:bookmarkStart w:id="55" w:name="_Toc15377222"/>
      <w:r>
        <w:rPr>
          <w:rFonts w:hint="eastAsia" w:ascii="仿宋" w:hAnsi="仿宋" w:eastAsia="仿宋"/>
          <w:b/>
          <w:color w:val="000000"/>
          <w:sz w:val="28"/>
          <w:szCs w:val="28"/>
        </w:rPr>
        <w:t>（一）机关运行经费支出情况</w:t>
      </w:r>
      <w:bookmarkEnd w:id="55"/>
    </w:p>
    <w:p>
      <w:pPr>
        <w:spacing w:line="60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sz w:val="28"/>
          <w:szCs w:val="28"/>
        </w:rPr>
        <w:t>201</w:t>
      </w:r>
      <w:r>
        <w:rPr>
          <w:rFonts w:hint="eastAsia" w:ascii="仿宋_GB2312" w:eastAsia="仿宋_GB2312"/>
          <w:color w:val="000000"/>
          <w:sz w:val="28"/>
          <w:szCs w:val="28"/>
        </w:rPr>
        <w:t>8年，</w:t>
      </w:r>
      <w:r>
        <w:rPr>
          <w:rFonts w:hint="eastAsia" w:ascii="仿宋_GB2312" w:hAnsi="仿宋_GB2312" w:eastAsia="仿宋_GB2312" w:cs="仿宋_GB2312"/>
          <w:sz w:val="28"/>
          <w:szCs w:val="28"/>
        </w:rPr>
        <w:t>达州市达川区医疗保险管理局</w:t>
      </w:r>
      <w:r>
        <w:rPr>
          <w:rFonts w:hint="eastAsia" w:ascii="仿宋_GB2312" w:eastAsia="仿宋_GB2312"/>
          <w:color w:val="000000"/>
          <w:sz w:val="28"/>
          <w:szCs w:val="28"/>
        </w:rPr>
        <w:t>机关运行经费支出</w:t>
      </w:r>
      <w:r>
        <w:rPr>
          <w:rFonts w:ascii="仿宋_GB2312" w:eastAsia="仿宋_GB2312"/>
          <w:color w:val="000000"/>
          <w:sz w:val="28"/>
          <w:szCs w:val="28"/>
        </w:rPr>
        <w:t>38.86</w:t>
      </w:r>
      <w:r>
        <w:rPr>
          <w:rFonts w:hint="eastAsia" w:ascii="仿宋_GB2312" w:eastAsia="仿宋_GB2312"/>
          <w:color w:val="000000"/>
          <w:sz w:val="28"/>
          <w:szCs w:val="28"/>
        </w:rPr>
        <w:t>万元，比</w:t>
      </w:r>
      <w:r>
        <w:rPr>
          <w:rFonts w:ascii="仿宋_GB2312" w:eastAsia="仿宋_GB2312"/>
          <w:color w:val="000000"/>
          <w:sz w:val="28"/>
          <w:szCs w:val="28"/>
        </w:rPr>
        <w:t>201</w:t>
      </w:r>
      <w:r>
        <w:rPr>
          <w:rFonts w:hint="eastAsia" w:ascii="仿宋_GB2312" w:eastAsia="仿宋_GB2312"/>
          <w:color w:val="000000"/>
          <w:sz w:val="28"/>
          <w:szCs w:val="28"/>
        </w:rPr>
        <w:t>7年增加</w:t>
      </w:r>
      <w:r>
        <w:rPr>
          <w:rFonts w:ascii="仿宋_GB2312" w:eastAsia="仿宋_GB2312"/>
          <w:color w:val="000000"/>
          <w:sz w:val="28"/>
          <w:szCs w:val="28"/>
        </w:rPr>
        <w:t>34.39</w:t>
      </w:r>
      <w:r>
        <w:rPr>
          <w:rFonts w:hint="eastAsia" w:ascii="仿宋_GB2312" w:eastAsia="仿宋_GB2312"/>
          <w:color w:val="000000"/>
          <w:sz w:val="28"/>
          <w:szCs w:val="28"/>
        </w:rPr>
        <w:t>万元，增长</w:t>
      </w:r>
      <w:r>
        <w:rPr>
          <w:rFonts w:ascii="仿宋_GB2312" w:eastAsia="仿宋_GB2312"/>
          <w:color w:val="000000"/>
          <w:sz w:val="28"/>
          <w:szCs w:val="28"/>
        </w:rPr>
        <w:t>769.35%</w:t>
      </w:r>
      <w:r>
        <w:rPr>
          <w:rFonts w:hint="eastAsia" w:ascii="仿宋_GB2312" w:eastAsia="仿宋_GB2312"/>
          <w:color w:val="000000"/>
          <w:sz w:val="28"/>
          <w:szCs w:val="28"/>
        </w:rPr>
        <w:t>。</w:t>
      </w:r>
      <w:r>
        <w:rPr>
          <w:rFonts w:hint="eastAsia" w:ascii="仿宋_GB2312" w:eastAsia="仿宋_GB2312"/>
          <w:color w:val="000000" w:themeColor="text1"/>
          <w:sz w:val="28"/>
          <w:szCs w:val="28"/>
          <w14:textFill>
            <w14:solidFill>
              <w14:schemeClr w14:val="tx1"/>
            </w14:solidFill>
          </w14:textFill>
        </w:rPr>
        <w:t>主要原因是原新农合与城镇职工基本医疗保险局合并后，人员大大增加，增加了公务员的交通补贴，随着脱贫攻坚的深入开展，差旅费和租车费也明显增加。</w:t>
      </w:r>
    </w:p>
    <w:p>
      <w:pPr>
        <w:autoSpaceDE w:val="0"/>
        <w:autoSpaceDN w:val="0"/>
        <w:adjustRightInd w:val="0"/>
        <w:spacing w:line="600" w:lineRule="exact"/>
        <w:ind w:firstLine="562" w:firstLineChars="200"/>
        <w:jc w:val="left"/>
        <w:outlineLvl w:val="2"/>
        <w:rPr>
          <w:rFonts w:ascii="仿宋" w:hAnsi="仿宋" w:eastAsia="仿宋"/>
          <w:b/>
          <w:color w:val="000000"/>
          <w:sz w:val="28"/>
          <w:szCs w:val="28"/>
        </w:rPr>
      </w:pPr>
      <w:bookmarkStart w:id="56" w:name="_Toc15377223"/>
      <w:r>
        <w:rPr>
          <w:rFonts w:hint="eastAsia" w:ascii="仿宋" w:hAnsi="仿宋" w:eastAsia="仿宋"/>
          <w:b/>
          <w:color w:val="000000"/>
          <w:sz w:val="28"/>
          <w:szCs w:val="28"/>
        </w:rPr>
        <w:t>（二）政府采购支出情况</w:t>
      </w:r>
      <w:bookmarkEnd w:id="56"/>
    </w:p>
    <w:p>
      <w:pPr>
        <w:spacing w:line="600" w:lineRule="exact"/>
        <w:ind w:firstLine="560" w:firstLineChars="200"/>
        <w:rPr>
          <w:rFonts w:ascii="仿宋" w:hAnsi="仿宋" w:eastAsia="仿宋"/>
          <w:b/>
          <w:color w:val="000000"/>
          <w:sz w:val="28"/>
          <w:szCs w:val="28"/>
        </w:rPr>
      </w:pPr>
      <w:r>
        <w:rPr>
          <w:rFonts w:ascii="仿宋_GB2312" w:eastAsia="仿宋_GB2312"/>
          <w:color w:val="000000"/>
          <w:sz w:val="28"/>
          <w:szCs w:val="28"/>
        </w:rPr>
        <w:t>201</w:t>
      </w:r>
      <w:r>
        <w:rPr>
          <w:rFonts w:hint="eastAsia" w:ascii="仿宋_GB2312" w:eastAsia="仿宋_GB2312"/>
          <w:color w:val="000000"/>
          <w:sz w:val="28"/>
          <w:szCs w:val="28"/>
        </w:rPr>
        <w:t>8年，</w:t>
      </w:r>
      <w:r>
        <w:rPr>
          <w:rFonts w:hint="eastAsia" w:ascii="仿宋_GB2312" w:hAnsi="仿宋_GB2312" w:eastAsia="仿宋_GB2312" w:cs="仿宋_GB2312"/>
          <w:sz w:val="28"/>
          <w:szCs w:val="28"/>
        </w:rPr>
        <w:t>达州市达川区医疗保险管理局</w:t>
      </w:r>
      <w:r>
        <w:rPr>
          <w:rFonts w:hint="eastAsia" w:ascii="仿宋_GB2312" w:eastAsia="仿宋_GB2312"/>
          <w:color w:val="000000"/>
          <w:sz w:val="28"/>
          <w:szCs w:val="28"/>
        </w:rPr>
        <w:t>政府采购支出总额</w:t>
      </w:r>
      <w:r>
        <w:rPr>
          <w:rFonts w:ascii="仿宋_GB2312" w:eastAsia="仿宋_GB2312"/>
          <w:color w:val="000000"/>
          <w:sz w:val="28"/>
          <w:szCs w:val="28"/>
        </w:rPr>
        <w:t>0</w:t>
      </w:r>
      <w:r>
        <w:rPr>
          <w:rFonts w:hint="eastAsia" w:ascii="仿宋_GB2312" w:eastAsia="仿宋_GB2312"/>
          <w:color w:val="000000"/>
          <w:sz w:val="28"/>
          <w:szCs w:val="28"/>
        </w:rPr>
        <w:t>万元。</w:t>
      </w:r>
      <w:r>
        <w:rPr>
          <w:rFonts w:ascii="仿宋" w:hAnsi="仿宋" w:eastAsia="仿宋"/>
          <w:b/>
          <w:color w:val="000000"/>
          <w:sz w:val="28"/>
          <w:szCs w:val="28"/>
        </w:rPr>
        <w:t xml:space="preserve"> </w:t>
      </w:r>
    </w:p>
    <w:p>
      <w:pPr>
        <w:autoSpaceDE w:val="0"/>
        <w:autoSpaceDN w:val="0"/>
        <w:adjustRightInd w:val="0"/>
        <w:spacing w:line="600" w:lineRule="exact"/>
        <w:ind w:firstLine="562" w:firstLineChars="200"/>
        <w:jc w:val="left"/>
        <w:outlineLvl w:val="2"/>
        <w:rPr>
          <w:rFonts w:ascii="仿宋" w:hAnsi="仿宋" w:eastAsia="仿宋"/>
          <w:b/>
          <w:color w:val="000000"/>
          <w:sz w:val="28"/>
          <w:szCs w:val="28"/>
        </w:rPr>
      </w:pPr>
      <w:bookmarkStart w:id="57" w:name="_Toc15377224"/>
      <w:r>
        <w:rPr>
          <w:rFonts w:hint="eastAsia" w:ascii="仿宋" w:hAnsi="仿宋" w:eastAsia="仿宋"/>
          <w:b/>
          <w:color w:val="000000"/>
          <w:sz w:val="28"/>
          <w:szCs w:val="28"/>
        </w:rPr>
        <w:t>（三）国有资产占有使用情况</w:t>
      </w:r>
      <w:bookmarkEnd w:id="57"/>
    </w:p>
    <w:p>
      <w:pPr>
        <w:autoSpaceDE w:val="0"/>
        <w:autoSpaceDN w:val="0"/>
        <w:adjustRightInd w:val="0"/>
        <w:spacing w:line="600" w:lineRule="exact"/>
        <w:ind w:firstLine="560" w:firstLineChars="200"/>
        <w:jc w:val="left"/>
        <w:rPr>
          <w:rFonts w:ascii="仿宋_GB2312" w:eastAsia="仿宋_GB2312"/>
          <w:b/>
          <w:color w:val="000000"/>
          <w:sz w:val="28"/>
          <w:szCs w:val="28"/>
        </w:rPr>
      </w:pPr>
      <w:r>
        <w:rPr>
          <w:rFonts w:hint="eastAsia" w:ascii="仿宋_GB2312" w:eastAsia="仿宋_GB2312"/>
          <w:color w:val="000000"/>
          <w:sz w:val="28"/>
          <w:szCs w:val="28"/>
        </w:rPr>
        <w:t>截至</w:t>
      </w:r>
      <w:r>
        <w:rPr>
          <w:rFonts w:ascii="仿宋_GB2312" w:eastAsia="仿宋_GB2312"/>
          <w:color w:val="000000"/>
          <w:sz w:val="28"/>
          <w:szCs w:val="28"/>
        </w:rPr>
        <w:t>201</w:t>
      </w:r>
      <w:r>
        <w:rPr>
          <w:rFonts w:hint="eastAsia" w:ascii="仿宋_GB2312" w:eastAsia="仿宋_GB2312"/>
          <w:color w:val="000000"/>
          <w:sz w:val="28"/>
          <w:szCs w:val="28"/>
        </w:rPr>
        <w:t>8年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31</w:t>
      </w:r>
      <w:r>
        <w:rPr>
          <w:rFonts w:hint="eastAsia" w:ascii="仿宋_GB2312" w:eastAsia="仿宋_GB2312"/>
          <w:color w:val="000000"/>
          <w:sz w:val="28"/>
          <w:szCs w:val="28"/>
        </w:rPr>
        <w:t>日，</w:t>
      </w:r>
      <w:r>
        <w:rPr>
          <w:rFonts w:hint="eastAsia" w:ascii="仿宋_GB2312" w:hAnsi="仿宋_GB2312" w:eastAsia="仿宋_GB2312" w:cs="仿宋_GB2312"/>
          <w:sz w:val="28"/>
          <w:szCs w:val="28"/>
        </w:rPr>
        <w:t>达州市达川区医疗保险管理局</w:t>
      </w:r>
      <w:r>
        <w:rPr>
          <w:rFonts w:hint="eastAsia" w:ascii="仿宋_GB2312" w:eastAsia="仿宋_GB2312"/>
          <w:color w:val="000000"/>
          <w:sz w:val="28"/>
          <w:szCs w:val="28"/>
        </w:rPr>
        <w:t>共有车辆</w:t>
      </w:r>
      <w:r>
        <w:rPr>
          <w:rFonts w:ascii="仿宋_GB2312" w:eastAsia="仿宋_GB2312"/>
          <w:color w:val="000000"/>
          <w:sz w:val="28"/>
          <w:szCs w:val="28"/>
        </w:rPr>
        <w:t>1</w:t>
      </w:r>
      <w:r>
        <w:rPr>
          <w:rFonts w:hint="eastAsia" w:ascii="仿宋_GB2312" w:eastAsia="仿宋_GB2312"/>
          <w:color w:val="000000"/>
          <w:sz w:val="28"/>
          <w:szCs w:val="28"/>
        </w:rPr>
        <w:t>辆，其中：部级领导干部用车</w:t>
      </w:r>
      <w:r>
        <w:rPr>
          <w:rFonts w:ascii="仿宋_GB2312" w:eastAsia="仿宋_GB2312"/>
          <w:color w:val="000000"/>
          <w:sz w:val="28"/>
          <w:szCs w:val="28"/>
        </w:rPr>
        <w:t>0</w:t>
      </w:r>
      <w:r>
        <w:rPr>
          <w:rFonts w:hint="eastAsia" w:ascii="仿宋_GB2312" w:eastAsia="仿宋_GB2312"/>
          <w:color w:val="000000"/>
          <w:sz w:val="28"/>
          <w:szCs w:val="28"/>
        </w:rPr>
        <w:t>辆、一般公务用车</w:t>
      </w:r>
      <w:r>
        <w:rPr>
          <w:rFonts w:ascii="仿宋_GB2312" w:eastAsia="仿宋_GB2312"/>
          <w:color w:val="000000"/>
          <w:sz w:val="28"/>
          <w:szCs w:val="28"/>
        </w:rPr>
        <w:t>1</w:t>
      </w:r>
      <w:r>
        <w:rPr>
          <w:rFonts w:hint="eastAsia" w:ascii="仿宋_GB2312" w:eastAsia="仿宋_GB2312"/>
          <w:color w:val="000000"/>
          <w:sz w:val="28"/>
          <w:szCs w:val="28"/>
        </w:rPr>
        <w:t>辆。</w:t>
      </w:r>
    </w:p>
    <w:p>
      <w:pPr>
        <w:numPr>
          <w:ilvl w:val="0"/>
          <w:numId w:val="6"/>
        </w:numPr>
        <w:spacing w:line="600" w:lineRule="exact"/>
        <w:ind w:firstLine="662" w:firstLineChars="150"/>
        <w:jc w:val="center"/>
        <w:outlineLvl w:val="0"/>
        <w:rPr>
          <w:rStyle w:val="24"/>
          <w:rFonts w:ascii="黑体" w:hAnsi="黑体" w:eastAsia="黑体"/>
          <w:b w:val="0"/>
          <w:sz w:val="44"/>
          <w:szCs w:val="44"/>
        </w:rPr>
      </w:pPr>
      <w:bookmarkStart w:id="58" w:name="_Toc15377225"/>
      <w:bookmarkStart w:id="59" w:name="_Toc15396613"/>
      <w:r>
        <w:rPr>
          <w:rFonts w:hint="eastAsia" w:ascii="黑体" w:hAnsi="黑体" w:eastAsia="黑体"/>
          <w:b/>
          <w:color w:val="000000"/>
          <w:sz w:val="44"/>
          <w:szCs w:val="44"/>
        </w:rPr>
        <w:t>名</w:t>
      </w:r>
      <w:r>
        <w:rPr>
          <w:rStyle w:val="24"/>
          <w:rFonts w:hint="eastAsia" w:ascii="黑体" w:hAnsi="黑体" w:eastAsia="黑体"/>
          <w:b w:val="0"/>
          <w:sz w:val="44"/>
          <w:szCs w:val="44"/>
        </w:rPr>
        <w:t>词解释</w:t>
      </w:r>
      <w:bookmarkEnd w:id="58"/>
      <w:bookmarkEnd w:id="59"/>
    </w:p>
    <w:p>
      <w:pPr>
        <w:spacing w:line="600" w:lineRule="exact"/>
        <w:jc w:val="left"/>
        <w:rPr>
          <w:rFonts w:ascii="宋体"/>
          <w:b/>
          <w:color w:val="000000"/>
          <w:sz w:val="28"/>
          <w:szCs w:val="28"/>
        </w:rPr>
      </w:pPr>
    </w:p>
    <w:p>
      <w:pPr>
        <w:pStyle w:val="22"/>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财政拨款收入：指单位从同级财政部门取得的财政预算资金。</w:t>
      </w:r>
    </w:p>
    <w:p>
      <w:pPr>
        <w:pStyle w:val="22"/>
        <w:spacing w:line="560" w:lineRule="exact"/>
        <w:ind w:firstLine="560" w:firstLineChars="200"/>
        <w:rPr>
          <w:rFonts w:hint="eastAsia"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事业收入：指事业单位开展专业业务活动及辅助活动取得的收入。</w:t>
      </w:r>
    </w:p>
    <w:p>
      <w:pPr>
        <w:pStyle w:val="22"/>
        <w:spacing w:line="560" w:lineRule="exact"/>
        <w:ind w:firstLine="560" w:firstLineChars="20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经营收入：指事业单位在专业业务活动及其辅助活动之外开展非独立核算经营活动取得的收入。</w:t>
      </w:r>
    </w:p>
    <w:p>
      <w:pPr>
        <w:pStyle w:val="22"/>
        <w:spacing w:line="56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其他收入：指单位取得的除上述收入以外的各项收入。</w:t>
      </w:r>
    </w:p>
    <w:p>
      <w:pPr>
        <w:pStyle w:val="22"/>
        <w:spacing w:line="56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28"/>
          <w:szCs w:val="28"/>
        </w:rPr>
        <w:t xml:space="preserve"> </w:t>
      </w:r>
    </w:p>
    <w:p>
      <w:pPr>
        <w:pStyle w:val="22"/>
        <w:spacing w:line="56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年初结转和结余：指以前年度尚未完成、结转到本年按有关规定继续使用的资金。</w:t>
      </w:r>
      <w:r>
        <w:rPr>
          <w:rFonts w:ascii="仿宋_GB2312" w:eastAsia="仿宋_GB2312"/>
          <w:sz w:val="28"/>
          <w:szCs w:val="28"/>
        </w:rPr>
        <w:t xml:space="preserve"> </w:t>
      </w:r>
    </w:p>
    <w:p>
      <w:pPr>
        <w:pStyle w:val="22"/>
        <w:spacing w:line="560" w:lineRule="exact"/>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结余分配：指事业单位按照事业单位会计制度的规定从非财政补助结余中分配的事业基金和职工福利基金等。</w:t>
      </w:r>
    </w:p>
    <w:p>
      <w:pPr>
        <w:pStyle w:val="22"/>
        <w:spacing w:line="560" w:lineRule="exact"/>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、年末结转和结余：指单位按有关规定结转到下年或以后年度继续使用的资金。</w:t>
      </w:r>
    </w:p>
    <w:p>
      <w:pPr>
        <w:ind w:firstLine="560" w:firstLineChars="200"/>
        <w:rPr>
          <w:rFonts w:ascii="仿宋_GB2312" w:eastAsia="仿宋_GB2312"/>
          <w:color w:val="000000"/>
          <w:sz w:val="28"/>
          <w:szCs w:val="28"/>
        </w:rPr>
      </w:pPr>
      <w:r>
        <w:rPr>
          <w:rFonts w:ascii="仿宋_GB2312" w:eastAsia="仿宋_GB2312"/>
          <w:color w:val="000000"/>
          <w:sz w:val="28"/>
          <w:szCs w:val="28"/>
        </w:rPr>
        <w:t>9.</w:t>
      </w:r>
      <w:r>
        <w:rPr>
          <w:rFonts w:hint="eastAsia" w:ascii="仿宋_GB2312" w:eastAsia="仿宋_GB2312"/>
          <w:color w:val="000000"/>
          <w:sz w:val="28"/>
          <w:szCs w:val="28"/>
        </w:rPr>
        <w:t>一般公共服务（类）</w:t>
      </w:r>
      <w:r>
        <w:rPr>
          <w:rFonts w:hint="eastAsia" w:ascii="仿宋_GB2312" w:eastAsia="仿宋_GB2312"/>
          <w:color w:val="000000"/>
          <w:sz w:val="28"/>
          <w:szCs w:val="28"/>
          <w:lang w:eastAsia="zh-CN"/>
        </w:rPr>
        <w:t>人力资源事务</w:t>
      </w:r>
      <w:r>
        <w:rPr>
          <w:rFonts w:hint="eastAsia" w:ascii="仿宋_GB2312" w:eastAsia="仿宋_GB2312"/>
          <w:color w:val="000000"/>
          <w:sz w:val="28"/>
          <w:szCs w:val="28"/>
        </w:rPr>
        <w:t>（款）</w:t>
      </w:r>
      <w:r>
        <w:rPr>
          <w:rFonts w:hint="eastAsia" w:ascii="仿宋_GB2312" w:eastAsia="仿宋_GB2312"/>
          <w:color w:val="000000"/>
          <w:sz w:val="28"/>
          <w:szCs w:val="28"/>
          <w:lang w:eastAsia="zh-CN"/>
        </w:rPr>
        <w:t>军队转业干部安置</w:t>
      </w:r>
      <w:r>
        <w:rPr>
          <w:rFonts w:hint="eastAsia" w:ascii="仿宋_GB2312" w:eastAsia="仿宋_GB2312"/>
          <w:color w:val="000000"/>
          <w:sz w:val="28"/>
          <w:szCs w:val="28"/>
        </w:rPr>
        <w:t>（项）：指</w:t>
      </w:r>
      <w:r>
        <w:rPr>
          <w:rFonts w:hint="eastAsia" w:ascii="仿宋_GB2312" w:eastAsia="仿宋_GB2312"/>
          <w:color w:val="000000"/>
          <w:sz w:val="28"/>
          <w:szCs w:val="28"/>
          <w:lang w:eastAsia="zh-CN"/>
        </w:rPr>
        <w:t>军转干部安置、人员经费、自主择业退役金等方面的支出</w:t>
      </w:r>
      <w:r>
        <w:rPr>
          <w:rFonts w:hint="eastAsia" w:ascii="仿宋_GB2312" w:eastAsia="仿宋_GB2312"/>
          <w:color w:val="000000"/>
          <w:sz w:val="28"/>
          <w:szCs w:val="28"/>
        </w:rPr>
        <w:t>。</w:t>
      </w:r>
    </w:p>
    <w:p>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lang w:val="en-US" w:eastAsia="zh-CN"/>
        </w:rPr>
        <w:t>10</w:t>
      </w:r>
      <w:r>
        <w:rPr>
          <w:rFonts w:ascii="仿宋_GB2312" w:eastAsia="仿宋_GB2312"/>
          <w:color w:val="000000"/>
          <w:sz w:val="28"/>
          <w:szCs w:val="28"/>
        </w:rPr>
        <w:t>.</w:t>
      </w:r>
      <w:r>
        <w:rPr>
          <w:rFonts w:hint="eastAsia" w:ascii="仿宋_GB2312" w:eastAsia="仿宋_GB2312"/>
          <w:color w:val="000000"/>
          <w:sz w:val="28"/>
          <w:szCs w:val="28"/>
        </w:rPr>
        <w:t>社会保障和就业（类）</w:t>
      </w:r>
      <w:r>
        <w:rPr>
          <w:rFonts w:hint="eastAsia" w:ascii="仿宋_GB2312" w:eastAsia="仿宋_GB2312"/>
          <w:color w:val="000000"/>
          <w:sz w:val="28"/>
          <w:szCs w:val="28"/>
          <w:lang w:eastAsia="zh-CN"/>
        </w:rPr>
        <w:t>人力资源和社会保障管理事务</w:t>
      </w:r>
      <w:r>
        <w:rPr>
          <w:rFonts w:hint="eastAsia" w:ascii="仿宋_GB2312" w:eastAsia="仿宋_GB2312"/>
          <w:color w:val="000000"/>
          <w:sz w:val="28"/>
          <w:szCs w:val="28"/>
        </w:rPr>
        <w:t>（款）</w:t>
      </w:r>
      <w:r>
        <w:rPr>
          <w:rFonts w:hint="eastAsia" w:ascii="仿宋_GB2312" w:eastAsia="仿宋_GB2312"/>
          <w:color w:val="000000"/>
          <w:sz w:val="28"/>
          <w:szCs w:val="28"/>
          <w:lang w:eastAsia="zh-CN"/>
        </w:rPr>
        <w:t>行政运行</w:t>
      </w:r>
      <w:r>
        <w:rPr>
          <w:rFonts w:hint="eastAsia" w:ascii="仿宋_GB2312" w:eastAsia="仿宋_GB2312"/>
          <w:color w:val="000000"/>
          <w:sz w:val="28"/>
          <w:szCs w:val="28"/>
        </w:rPr>
        <w:t>（项）：指</w:t>
      </w:r>
      <w:r>
        <w:rPr>
          <w:rFonts w:hint="eastAsia" w:ascii="仿宋_GB2312" w:eastAsia="仿宋_GB2312"/>
          <w:color w:val="000000"/>
          <w:sz w:val="28"/>
          <w:szCs w:val="28"/>
          <w:lang w:eastAsia="zh-CN"/>
        </w:rPr>
        <w:t>反映行政单位的基本支出</w:t>
      </w:r>
      <w:r>
        <w:rPr>
          <w:rFonts w:hint="eastAsia" w:ascii="仿宋_GB2312" w:eastAsia="仿宋_GB2312"/>
          <w:color w:val="000000"/>
          <w:sz w:val="28"/>
          <w:szCs w:val="28"/>
        </w:rPr>
        <w:t>。</w:t>
      </w:r>
    </w:p>
    <w:p>
      <w:pPr>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11.</w:t>
      </w:r>
      <w:r>
        <w:rPr>
          <w:rFonts w:hint="eastAsia" w:ascii="仿宋_GB2312" w:eastAsia="仿宋_GB2312"/>
          <w:color w:val="000000"/>
          <w:sz w:val="28"/>
          <w:szCs w:val="28"/>
        </w:rPr>
        <w:t>社会保障和就业（类）</w:t>
      </w:r>
      <w:r>
        <w:rPr>
          <w:rFonts w:hint="eastAsia" w:ascii="仿宋_GB2312" w:eastAsia="仿宋_GB2312"/>
          <w:color w:val="000000"/>
          <w:sz w:val="28"/>
          <w:szCs w:val="28"/>
          <w:lang w:eastAsia="zh-CN"/>
        </w:rPr>
        <w:t>人力资源和社会保障管理事务</w:t>
      </w:r>
      <w:r>
        <w:rPr>
          <w:rFonts w:hint="eastAsia" w:ascii="仿宋_GB2312" w:eastAsia="仿宋_GB2312"/>
          <w:color w:val="000000"/>
          <w:sz w:val="28"/>
          <w:szCs w:val="28"/>
        </w:rPr>
        <w:t>（款）</w:t>
      </w:r>
      <w:r>
        <w:rPr>
          <w:rFonts w:hint="eastAsia" w:ascii="仿宋_GB2312" w:eastAsia="仿宋_GB2312"/>
          <w:color w:val="000000"/>
          <w:sz w:val="28"/>
          <w:szCs w:val="28"/>
          <w:lang w:eastAsia="zh-CN"/>
        </w:rPr>
        <w:t>一般行政管理事务</w:t>
      </w:r>
      <w:r>
        <w:rPr>
          <w:rFonts w:hint="eastAsia" w:ascii="仿宋_GB2312" w:eastAsia="仿宋_GB2312"/>
          <w:color w:val="000000"/>
          <w:sz w:val="28"/>
          <w:szCs w:val="28"/>
        </w:rPr>
        <w:t>（项）</w:t>
      </w:r>
      <w:r>
        <w:rPr>
          <w:rFonts w:hint="eastAsia" w:ascii="仿宋_GB2312" w:eastAsia="仿宋_GB2312"/>
          <w:color w:val="000000"/>
          <w:sz w:val="28"/>
          <w:szCs w:val="28"/>
          <w:lang w:eastAsia="zh-CN"/>
        </w:rPr>
        <w:t>：反映行政单位未单独设置项级科目的其他项目支出。</w:t>
      </w:r>
    </w:p>
    <w:p>
      <w:pPr>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12.</w:t>
      </w:r>
      <w:r>
        <w:rPr>
          <w:rFonts w:hint="eastAsia" w:ascii="仿宋_GB2312" w:eastAsia="仿宋_GB2312"/>
          <w:color w:val="000000"/>
          <w:sz w:val="28"/>
          <w:szCs w:val="28"/>
        </w:rPr>
        <w:t>社会保障和就业（类）</w:t>
      </w:r>
      <w:r>
        <w:rPr>
          <w:rFonts w:hint="eastAsia" w:ascii="仿宋_GB2312" w:eastAsia="仿宋_GB2312"/>
          <w:color w:val="000000"/>
          <w:sz w:val="28"/>
          <w:szCs w:val="28"/>
          <w:lang w:eastAsia="zh-CN"/>
        </w:rPr>
        <w:t>人力资源和社会保障管理事务</w:t>
      </w:r>
      <w:r>
        <w:rPr>
          <w:rFonts w:hint="eastAsia" w:ascii="仿宋_GB2312" w:eastAsia="仿宋_GB2312"/>
          <w:color w:val="000000"/>
          <w:sz w:val="28"/>
          <w:szCs w:val="28"/>
        </w:rPr>
        <w:t>（款）</w:t>
      </w:r>
      <w:r>
        <w:rPr>
          <w:rFonts w:hint="eastAsia" w:ascii="仿宋_GB2312" w:eastAsia="仿宋_GB2312"/>
          <w:color w:val="000000"/>
          <w:sz w:val="28"/>
          <w:szCs w:val="28"/>
          <w:lang w:eastAsia="zh-CN"/>
        </w:rPr>
        <w:t>社会保险经办机构</w:t>
      </w:r>
      <w:r>
        <w:rPr>
          <w:rFonts w:hint="eastAsia" w:ascii="仿宋_GB2312" w:eastAsia="仿宋_GB2312"/>
          <w:color w:val="000000"/>
          <w:sz w:val="28"/>
          <w:szCs w:val="28"/>
        </w:rPr>
        <w:t>（项）</w:t>
      </w:r>
      <w:r>
        <w:rPr>
          <w:rFonts w:hint="eastAsia" w:ascii="仿宋_GB2312" w:eastAsia="仿宋_GB2312"/>
          <w:color w:val="000000"/>
          <w:sz w:val="28"/>
          <w:szCs w:val="28"/>
          <w:lang w:eastAsia="zh-CN"/>
        </w:rPr>
        <w:t>：反映社会保险经办机构开展业务工作的支出。</w:t>
      </w:r>
    </w:p>
    <w:p>
      <w:pPr>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13.</w:t>
      </w:r>
      <w:r>
        <w:rPr>
          <w:rFonts w:hint="eastAsia" w:ascii="仿宋_GB2312" w:eastAsia="仿宋_GB2312"/>
          <w:color w:val="000000"/>
          <w:sz w:val="28"/>
          <w:szCs w:val="28"/>
        </w:rPr>
        <w:t>社会保障和就业（类）</w:t>
      </w:r>
      <w:r>
        <w:rPr>
          <w:rFonts w:hint="eastAsia" w:ascii="仿宋_GB2312" w:eastAsia="仿宋_GB2312"/>
          <w:color w:val="000000"/>
          <w:sz w:val="28"/>
          <w:szCs w:val="28"/>
          <w:lang w:eastAsia="zh-CN"/>
        </w:rPr>
        <w:t>行政事业单位离退休</w:t>
      </w:r>
      <w:r>
        <w:rPr>
          <w:rFonts w:hint="eastAsia" w:ascii="仿宋_GB2312" w:eastAsia="仿宋_GB2312"/>
          <w:color w:val="000000"/>
          <w:sz w:val="28"/>
          <w:szCs w:val="28"/>
        </w:rPr>
        <w:t>（款）</w:t>
      </w:r>
      <w:r>
        <w:rPr>
          <w:rFonts w:hint="eastAsia" w:ascii="仿宋_GB2312" w:eastAsia="仿宋_GB2312"/>
          <w:color w:val="000000"/>
          <w:sz w:val="28"/>
          <w:szCs w:val="28"/>
          <w:lang w:eastAsia="zh-CN"/>
        </w:rPr>
        <w:t>机关事业单位基本养老保险缴费支出</w:t>
      </w:r>
      <w:r>
        <w:rPr>
          <w:rFonts w:hint="eastAsia" w:ascii="仿宋_GB2312" w:eastAsia="仿宋_GB2312"/>
          <w:color w:val="000000"/>
          <w:sz w:val="28"/>
          <w:szCs w:val="28"/>
        </w:rPr>
        <w:t>（项）</w:t>
      </w:r>
      <w:r>
        <w:rPr>
          <w:rFonts w:hint="eastAsia" w:ascii="仿宋_GB2312" w:eastAsia="仿宋_GB2312"/>
          <w:color w:val="000000"/>
          <w:sz w:val="28"/>
          <w:szCs w:val="28"/>
          <w:lang w:eastAsia="zh-CN"/>
        </w:rPr>
        <w:t>：指机关事业单位实施养老保险制度由单位缴纳的基本养老保险费支出。</w:t>
      </w:r>
    </w:p>
    <w:p>
      <w:pPr>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14.</w:t>
      </w:r>
      <w:r>
        <w:rPr>
          <w:rFonts w:hint="eastAsia" w:ascii="仿宋_GB2312" w:eastAsia="仿宋_GB2312"/>
          <w:color w:val="000000"/>
          <w:sz w:val="28"/>
          <w:szCs w:val="28"/>
        </w:rPr>
        <w:t>社会保障和就业（类）</w:t>
      </w:r>
      <w:r>
        <w:rPr>
          <w:rFonts w:hint="eastAsia" w:ascii="仿宋_GB2312" w:eastAsia="仿宋_GB2312"/>
          <w:color w:val="000000"/>
          <w:sz w:val="28"/>
          <w:szCs w:val="28"/>
          <w:lang w:eastAsia="zh-CN"/>
        </w:rPr>
        <w:t>行政事业单位离退休</w:t>
      </w:r>
      <w:r>
        <w:rPr>
          <w:rFonts w:hint="eastAsia" w:ascii="仿宋_GB2312" w:eastAsia="仿宋_GB2312"/>
          <w:color w:val="000000"/>
          <w:sz w:val="28"/>
          <w:szCs w:val="28"/>
        </w:rPr>
        <w:t>（款）</w:t>
      </w:r>
      <w:r>
        <w:rPr>
          <w:rFonts w:hint="eastAsia" w:ascii="仿宋_GB2312" w:eastAsia="仿宋_GB2312"/>
          <w:color w:val="000000"/>
          <w:sz w:val="28"/>
          <w:szCs w:val="28"/>
          <w:lang w:eastAsia="zh-CN"/>
        </w:rPr>
        <w:t>机关事业单位职业年金缴费支出</w:t>
      </w:r>
      <w:r>
        <w:rPr>
          <w:rFonts w:hint="eastAsia" w:ascii="仿宋_GB2312" w:eastAsia="仿宋_GB2312"/>
          <w:color w:val="000000"/>
          <w:sz w:val="28"/>
          <w:szCs w:val="28"/>
        </w:rPr>
        <w:t>（项）</w:t>
      </w:r>
      <w:r>
        <w:rPr>
          <w:rFonts w:hint="eastAsia" w:ascii="仿宋_GB2312" w:eastAsia="仿宋_GB2312"/>
          <w:color w:val="000000"/>
          <w:sz w:val="28"/>
          <w:szCs w:val="28"/>
          <w:lang w:eastAsia="zh-CN"/>
        </w:rPr>
        <w:t>：指机关事业单位实施养老保险制度由单位缴纳的职业年金支出。</w:t>
      </w:r>
    </w:p>
    <w:p>
      <w:pPr>
        <w:ind w:firstLine="560" w:firstLineChars="200"/>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15.</w:t>
      </w:r>
      <w:r>
        <w:rPr>
          <w:rFonts w:hint="eastAsia" w:ascii="仿宋_GB2312" w:eastAsia="仿宋_GB2312"/>
          <w:color w:val="000000"/>
          <w:sz w:val="28"/>
          <w:szCs w:val="28"/>
          <w:lang w:eastAsia="zh-CN"/>
        </w:rPr>
        <w:t>医疗卫生与计划生育支出（类）医疗卫生与计划生育管理事务</w:t>
      </w:r>
      <w:r>
        <w:rPr>
          <w:rFonts w:hint="eastAsia" w:ascii="仿宋_GB2312" w:eastAsia="仿宋_GB2312"/>
          <w:color w:val="000000"/>
          <w:sz w:val="28"/>
          <w:szCs w:val="28"/>
          <w:lang w:val="en-US" w:eastAsia="zh-CN"/>
        </w:rPr>
        <w:t>(款)其他医疗卫生与计划生育管理事务支出（项）：指其他用于医疗卫生与计划生育管理事务方面的支出。</w:t>
      </w:r>
    </w:p>
    <w:p>
      <w:pPr>
        <w:ind w:firstLine="560" w:firstLineChars="200"/>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16.</w:t>
      </w:r>
      <w:r>
        <w:rPr>
          <w:rFonts w:hint="eastAsia" w:ascii="仿宋_GB2312" w:eastAsia="仿宋_GB2312"/>
          <w:color w:val="000000"/>
          <w:sz w:val="28"/>
          <w:szCs w:val="28"/>
          <w:lang w:eastAsia="zh-CN"/>
        </w:rPr>
        <w:t>医疗卫生与计划生育支出（类）行政事业单位医疗</w:t>
      </w:r>
      <w:r>
        <w:rPr>
          <w:rFonts w:hint="eastAsia" w:ascii="仿宋_GB2312" w:eastAsia="仿宋_GB2312"/>
          <w:color w:val="000000"/>
          <w:sz w:val="28"/>
          <w:szCs w:val="28"/>
          <w:lang w:val="en-US" w:eastAsia="zh-CN"/>
        </w:rPr>
        <w:t>(款)行政单位医疗（项）：指财政部门集中安排的行政单位基本医疗保险缴费经费。</w:t>
      </w:r>
    </w:p>
    <w:p>
      <w:pPr>
        <w:ind w:firstLine="560" w:firstLineChars="200"/>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17.住房保障支出（类）住房改革支出（款）住房公积金（项）：指行政事业单位按人力资源和社会保障部、财政部规定的基本工资和津贴补贴以及规定比例为职工缴纳的住房公积金。</w:t>
      </w:r>
    </w:p>
    <w:p>
      <w:pPr>
        <w:ind w:firstLine="560" w:firstLineChars="200"/>
        <w:rPr>
          <w:rFonts w:ascii="仿宋_GB2312" w:eastAsia="仿宋_GB2312"/>
          <w:color w:val="000000"/>
          <w:sz w:val="28"/>
          <w:szCs w:val="28"/>
        </w:rPr>
      </w:pPr>
      <w:r>
        <w:rPr>
          <w:rFonts w:hint="eastAsia" w:ascii="仿宋_GB2312" w:eastAsia="仿宋_GB2312"/>
          <w:color w:val="000000"/>
          <w:sz w:val="28"/>
          <w:szCs w:val="28"/>
          <w:lang w:val="en-US" w:eastAsia="zh-CN"/>
        </w:rPr>
        <w:t>18</w:t>
      </w:r>
      <w:r>
        <w:rPr>
          <w:rFonts w:ascii="仿宋_GB2312" w:eastAsia="仿宋_GB2312"/>
          <w:color w:val="000000"/>
          <w:sz w:val="28"/>
          <w:szCs w:val="28"/>
        </w:rPr>
        <w:t>.</w:t>
      </w:r>
      <w:r>
        <w:rPr>
          <w:rFonts w:hint="eastAsia" w:ascii="仿宋_GB2312" w:eastAsia="仿宋_GB2312"/>
          <w:color w:val="000000"/>
          <w:sz w:val="28"/>
          <w:szCs w:val="28"/>
        </w:rPr>
        <w:t>基本支出：指为保障机构正常运转、完成日常工作任务而发生的人员支出和公用支出。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lang w:val="en-US" w:eastAsia="zh-CN"/>
        </w:rPr>
        <w:t>19</w:t>
      </w:r>
      <w:r>
        <w:rPr>
          <w:rFonts w:ascii="仿宋_GB2312" w:eastAsia="仿宋_GB2312"/>
          <w:color w:val="000000"/>
          <w:sz w:val="28"/>
          <w:szCs w:val="28"/>
        </w:rPr>
        <w:t>.</w:t>
      </w:r>
      <w:r>
        <w:rPr>
          <w:rFonts w:hint="eastAsia" w:ascii="仿宋_GB2312" w:eastAsia="仿宋_GB2312"/>
          <w:color w:val="000000"/>
          <w:sz w:val="28"/>
          <w:szCs w:val="28"/>
        </w:rPr>
        <w:t>项目支出：指在基本支出之外为完成特定行政任务和事业发展目标所发生的支出。</w:t>
      </w:r>
      <w:r>
        <w:rPr>
          <w:rFonts w:ascii="仿宋_GB2312" w:eastAsia="仿宋_GB2312"/>
          <w:color w:val="000000"/>
          <w:sz w:val="28"/>
          <w:szCs w:val="28"/>
        </w:rPr>
        <w:t xml:space="preserve"> </w:t>
      </w:r>
    </w:p>
    <w:p>
      <w:pPr>
        <w:ind w:firstLine="560" w:firstLineChars="200"/>
        <w:rPr>
          <w:rFonts w:ascii="仿宋_GB2312" w:eastAsia="仿宋_GB2312"/>
          <w:color w:val="000000"/>
          <w:sz w:val="28"/>
          <w:szCs w:val="28"/>
        </w:rPr>
      </w:pPr>
      <w:r>
        <w:rPr>
          <w:rFonts w:hint="eastAsia" w:ascii="仿宋_GB2312" w:eastAsia="仿宋_GB2312"/>
          <w:color w:val="000000"/>
          <w:sz w:val="28"/>
          <w:szCs w:val="28"/>
          <w:lang w:val="en-US" w:eastAsia="zh-CN"/>
        </w:rPr>
        <w:t>20</w:t>
      </w:r>
      <w:r>
        <w:rPr>
          <w:rFonts w:ascii="仿宋_GB2312" w:eastAsia="仿宋_GB2312"/>
          <w:color w:val="000000"/>
          <w:sz w:val="28"/>
          <w:szCs w:val="28"/>
        </w:rPr>
        <w:t>.</w:t>
      </w:r>
      <w:r>
        <w:rPr>
          <w:rFonts w:hint="eastAsia" w:ascii="仿宋_GB2312" w:eastAsia="仿宋_GB2312"/>
          <w:color w:val="000000"/>
          <w:sz w:val="28"/>
          <w:szCs w:val="28"/>
        </w:rPr>
        <w:t>经营支出：指事业单位在专业业务活动及其辅助活动之外开展非独立核算经营活动发生的支出。</w:t>
      </w:r>
    </w:p>
    <w:p>
      <w:pPr>
        <w:pStyle w:val="22"/>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21</w:t>
      </w:r>
      <w:r>
        <w:rPr>
          <w:rFonts w:ascii="仿宋_GB2312" w:eastAsia="仿宋_GB2312"/>
          <w:sz w:val="28"/>
          <w:szCs w:val="28"/>
        </w:rPr>
        <w:t>.</w:t>
      </w:r>
      <w:r>
        <w:rPr>
          <w:rFonts w:hint="eastAsia" w:ascii="仿宋_GB2312" w:eastAsia="仿宋_GB2312"/>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22</w:t>
      </w:r>
      <w:r>
        <w:rPr>
          <w:rFonts w:ascii="仿宋_GB2312" w:eastAsia="仿宋_GB2312"/>
          <w:sz w:val="28"/>
          <w:szCs w:val="28"/>
        </w:rPr>
        <w:t>.</w:t>
      </w:r>
      <w:r>
        <w:rPr>
          <w:rFonts w:hint="eastAsia" w:ascii="仿宋_GB2312" w:eastAsia="仿宋_GB2312"/>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28"/>
          <w:szCs w:val="28"/>
        </w:rPr>
      </w:pPr>
      <w:bookmarkStart w:id="60" w:name="_Toc15396614"/>
      <w:bookmarkStart w:id="61" w:name="_Toc15377226"/>
    </w:p>
    <w:bookmarkEnd w:id="60"/>
    <w:p>
      <w:pPr>
        <w:spacing w:line="600" w:lineRule="exact"/>
        <w:jc w:val="center"/>
        <w:outlineLvl w:val="0"/>
        <w:rPr>
          <w:rStyle w:val="29"/>
          <w:rFonts w:ascii="黑体" w:hAnsi="黑体" w:eastAsia="黑体"/>
          <w:b w:val="0"/>
          <w:sz w:val="44"/>
          <w:szCs w:val="44"/>
        </w:rPr>
      </w:pPr>
      <w:bookmarkStart w:id="62" w:name="_Toc15396618"/>
      <w:r>
        <w:rPr>
          <w:rFonts w:hint="eastAsia" w:ascii="黑体" w:hAnsi="黑体" w:eastAsia="黑体"/>
          <w:color w:val="000000"/>
          <w:sz w:val="44"/>
          <w:szCs w:val="44"/>
        </w:rPr>
        <w:t>第</w:t>
      </w:r>
      <w:r>
        <w:rPr>
          <w:rStyle w:val="29"/>
          <w:rFonts w:hint="eastAsia" w:ascii="黑体" w:hAnsi="黑体" w:eastAsia="黑体"/>
          <w:b w:val="0"/>
          <w:sz w:val="44"/>
          <w:szCs w:val="44"/>
        </w:rPr>
        <w:t>四部分 附件</w:t>
      </w:r>
    </w:p>
    <w:p>
      <w:pPr>
        <w:spacing w:line="600" w:lineRule="exact"/>
        <w:jc w:val="center"/>
        <w:outlineLvl w:val="0"/>
        <w:rPr>
          <w:rStyle w:val="29"/>
          <w:sz w:val="28"/>
          <w:szCs w:val="28"/>
        </w:rPr>
      </w:pPr>
    </w:p>
    <w:p>
      <w:pPr>
        <w:pStyle w:val="3"/>
        <w:rPr>
          <w:rStyle w:val="29"/>
          <w:rFonts w:ascii="仿宋" w:hAnsi="仿宋" w:eastAsia="仿宋"/>
          <w:b w:val="0"/>
          <w:bCs w:val="0"/>
          <w:sz w:val="28"/>
          <w:szCs w:val="28"/>
        </w:rPr>
      </w:pPr>
      <w:bookmarkStart w:id="63" w:name="_Toc15396615"/>
      <w:r>
        <w:rPr>
          <w:rStyle w:val="29"/>
          <w:rFonts w:hint="eastAsia" w:ascii="仿宋" w:hAnsi="仿宋" w:eastAsia="仿宋"/>
          <w:b w:val="0"/>
          <w:bCs w:val="0"/>
          <w:sz w:val="28"/>
          <w:szCs w:val="28"/>
        </w:rPr>
        <w:t>附件1</w:t>
      </w:r>
      <w:bookmarkEnd w:id="63"/>
    </w:p>
    <w:p>
      <w:pPr>
        <w:spacing w:line="600" w:lineRule="exact"/>
        <w:jc w:val="center"/>
        <w:outlineLvl w:val="0"/>
        <w:rPr>
          <w:rFonts w:ascii="黑体" w:hAnsi="黑体" w:eastAsia="黑体" w:cs="方正小标宋简体"/>
          <w:sz w:val="32"/>
          <w:szCs w:val="32"/>
        </w:rPr>
      </w:pPr>
      <w:bookmarkStart w:id="64" w:name="_Toc15396616"/>
      <w:r>
        <w:rPr>
          <w:rFonts w:hint="eastAsia" w:ascii="黑体" w:hAnsi="黑体" w:eastAsia="黑体" w:cs="仿宋_GB2312"/>
          <w:sz w:val="32"/>
          <w:szCs w:val="32"/>
        </w:rPr>
        <w:t>达州市达川区医疗保险管理局</w:t>
      </w:r>
    </w:p>
    <w:p>
      <w:pPr>
        <w:spacing w:line="600" w:lineRule="exact"/>
        <w:jc w:val="center"/>
        <w:outlineLvl w:val="0"/>
        <w:rPr>
          <w:rFonts w:ascii="黑体" w:hAnsi="黑体" w:eastAsia="黑体" w:cs="方正小标宋简体"/>
          <w:sz w:val="32"/>
          <w:szCs w:val="32"/>
        </w:rPr>
      </w:pPr>
      <w:r>
        <w:rPr>
          <w:rFonts w:ascii="黑体" w:hAnsi="黑体" w:eastAsia="黑体" w:cs="方正小标宋简体"/>
          <w:sz w:val="32"/>
          <w:szCs w:val="32"/>
        </w:rPr>
        <w:t>2</w:t>
      </w:r>
      <w:r>
        <w:rPr>
          <w:rFonts w:hint="eastAsia" w:ascii="黑体" w:hAnsi="黑体" w:eastAsia="黑体" w:cs="方正小标宋简体"/>
          <w:sz w:val="32"/>
          <w:szCs w:val="32"/>
        </w:rPr>
        <w:t>018年部门整体支出绩效评价报告</w:t>
      </w:r>
      <w:bookmarkEnd w:id="64"/>
    </w:p>
    <w:p>
      <w:pPr>
        <w:spacing w:line="580" w:lineRule="exact"/>
        <w:ind w:firstLine="560" w:firstLineChars="200"/>
        <w:rPr>
          <w:rFonts w:ascii="黑体" w:hAnsi="黑体" w:eastAsia="黑体" w:cs="黑体"/>
          <w:sz w:val="28"/>
          <w:szCs w:val="28"/>
        </w:rPr>
      </w:pPr>
    </w:p>
    <w:p>
      <w:pPr>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一、部门（单位）概况</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（一）机构组成。</w:t>
      </w:r>
    </w:p>
    <w:p>
      <w:pPr>
        <w:widowControl/>
        <w:spacing w:line="5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我单位属于财政全额拨款的参公管理事业单位。</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（二）机构职能。</w:t>
      </w:r>
    </w:p>
    <w:p>
      <w:pPr>
        <w:spacing w:line="580" w:lineRule="exact"/>
        <w:ind w:firstLine="840" w:firstLineChars="300"/>
        <w:rPr>
          <w:rFonts w:ascii="华文仿宋" w:hAnsi="华文仿宋" w:eastAsia="华文仿宋"/>
          <w:sz w:val="28"/>
          <w:szCs w:val="28"/>
        </w:rPr>
      </w:pPr>
      <w:r>
        <w:rPr>
          <w:rFonts w:hint="eastAsia" w:ascii="华文仿宋" w:hAnsi="华文仿宋" w:eastAsia="华文仿宋"/>
          <w:sz w:val="28"/>
          <w:szCs w:val="28"/>
        </w:rPr>
        <w:t>1、协助人力资源和社会保障行政部门贯彻执行国家</w:t>
      </w:r>
      <w:r>
        <w:rPr>
          <w:rFonts w:ascii="华文仿宋" w:hAnsi="华文仿宋" w:eastAsia="华文仿宋"/>
          <w:sz w:val="28"/>
          <w:szCs w:val="28"/>
        </w:rPr>
        <w:t>、</w:t>
      </w:r>
      <w:r>
        <w:rPr>
          <w:rFonts w:hint="eastAsia" w:ascii="华文仿宋" w:hAnsi="华文仿宋" w:eastAsia="华文仿宋"/>
          <w:sz w:val="28"/>
          <w:szCs w:val="28"/>
        </w:rPr>
        <w:t>省、市制定的医疗保险法律、法规、规章和政策。</w:t>
      </w:r>
    </w:p>
    <w:p>
      <w:pPr>
        <w:spacing w:line="580" w:lineRule="exact"/>
        <w:ind w:firstLine="840" w:firstLineChars="300"/>
        <w:rPr>
          <w:rFonts w:ascii="华文仿宋" w:hAnsi="华文仿宋" w:eastAsia="华文仿宋"/>
          <w:sz w:val="28"/>
          <w:szCs w:val="28"/>
        </w:rPr>
      </w:pPr>
      <w:r>
        <w:rPr>
          <w:rFonts w:hint="eastAsia" w:ascii="华文仿宋" w:hAnsi="华文仿宋" w:eastAsia="华文仿宋"/>
          <w:sz w:val="28"/>
          <w:szCs w:val="28"/>
        </w:rPr>
        <w:t>2、协助人力资源和社会保障行政部门编制全区医疗保险、生育保险事业发展规划、计划，制定全区医疗保险、生育保险相关业务规范、管理制度及措施，并组织实施和监督检查。</w:t>
      </w:r>
    </w:p>
    <w:p>
      <w:pPr>
        <w:spacing w:line="580" w:lineRule="exact"/>
        <w:ind w:firstLine="840" w:firstLineChars="3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负责城镇职工医疗保险、城镇灵活就业人员医疗保险、城乡居民医疗保险、生育保险待遇审核支付、基金管理经办工作；协助开展城镇职工补充医疗保险和城乡居民大病保险经办工作；承担公务员医疗补助经办工作。</w:t>
      </w:r>
    </w:p>
    <w:p>
      <w:pPr>
        <w:spacing w:line="580" w:lineRule="exact"/>
        <w:ind w:firstLine="840" w:firstLineChars="300"/>
        <w:rPr>
          <w:rFonts w:ascii="华文仿宋" w:hAnsi="华文仿宋" w:eastAsia="华文仿宋"/>
          <w:sz w:val="28"/>
          <w:szCs w:val="28"/>
        </w:rPr>
      </w:pPr>
      <w:r>
        <w:rPr>
          <w:rFonts w:hint="eastAsia" w:ascii="华文仿宋" w:hAnsi="华文仿宋" w:eastAsia="华文仿宋"/>
          <w:sz w:val="28"/>
          <w:szCs w:val="28"/>
        </w:rPr>
        <w:t>4、负责离休人员、解放前参加革命工作的老工人等特殊人员的医疗管理工作。</w:t>
      </w:r>
    </w:p>
    <w:p>
      <w:pPr>
        <w:spacing w:line="580" w:lineRule="exact"/>
        <w:ind w:firstLine="840" w:firstLineChars="300"/>
        <w:rPr>
          <w:rFonts w:ascii="华文仿宋" w:hAnsi="华文仿宋" w:eastAsia="华文仿宋"/>
          <w:sz w:val="28"/>
          <w:szCs w:val="28"/>
        </w:rPr>
      </w:pPr>
      <w:r>
        <w:rPr>
          <w:rFonts w:hint="eastAsia" w:ascii="华文仿宋" w:hAnsi="华文仿宋" w:eastAsia="华文仿宋"/>
          <w:sz w:val="28"/>
          <w:szCs w:val="28"/>
        </w:rPr>
        <w:t>5、负责医疗、生育保险协议管理医疗机构、零售药店资格认定和服务协议签订工作，并对协议管理医疗机构和零售药店履行医疗服务协议情况实施监督管理。</w:t>
      </w:r>
    </w:p>
    <w:p>
      <w:pPr>
        <w:spacing w:line="580" w:lineRule="exact"/>
        <w:ind w:firstLine="840" w:firstLineChars="300"/>
        <w:rPr>
          <w:rFonts w:hint="eastAsia" w:ascii="仿宋" w:hAnsi="仿宋" w:eastAsia="仿宋" w:cs="仿宋_GB2312"/>
          <w:sz w:val="28"/>
          <w:szCs w:val="28"/>
        </w:rPr>
      </w:pPr>
      <w:r>
        <w:rPr>
          <w:rFonts w:hint="eastAsia" w:ascii="华文仿宋" w:hAnsi="华文仿宋" w:eastAsia="华文仿宋"/>
          <w:sz w:val="28"/>
          <w:szCs w:val="28"/>
        </w:rPr>
        <w:t>6、负责医疗保险的政策宣传工作。</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（三）人员概况。</w:t>
      </w:r>
    </w:p>
    <w:p>
      <w:pPr>
        <w:snapToGrid w:val="0"/>
        <w:spacing w:line="52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我单位参公管理事业编制39人，年末在职职工39人，较上年增加2人，本年公招新增2人。</w:t>
      </w:r>
    </w:p>
    <w:p>
      <w:pPr>
        <w:snapToGrid w:val="0"/>
        <w:spacing w:line="520" w:lineRule="exact"/>
        <w:ind w:firstLine="560" w:firstLineChars="200"/>
        <w:rPr>
          <w:rFonts w:ascii="华文仿宋" w:hAnsi="华文仿宋" w:eastAsia="华文仿宋"/>
          <w:sz w:val="28"/>
          <w:szCs w:val="28"/>
        </w:rPr>
      </w:pPr>
      <w:r>
        <w:rPr>
          <w:rFonts w:ascii="黑体" w:hAnsi="黑体" w:eastAsia="黑体" w:cs="黑体"/>
          <w:sz w:val="28"/>
          <w:szCs w:val="28"/>
        </w:rPr>
        <w:t>二、部门财政资金收支情况</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（一）部门财政资金收入情况。</w:t>
      </w:r>
    </w:p>
    <w:p>
      <w:pPr>
        <w:spacing w:line="600" w:lineRule="exact"/>
        <w:ind w:firstLine="560" w:firstLineChars="200"/>
        <w:outlineLvl w:val="1"/>
        <w:rPr>
          <w:rFonts w:ascii="仿宋_GB2312" w:eastAsia="仿宋_GB2312"/>
          <w:color w:val="FF0000"/>
          <w:sz w:val="28"/>
          <w:szCs w:val="28"/>
        </w:rPr>
      </w:pPr>
      <w:r>
        <w:rPr>
          <w:rFonts w:ascii="仿宋" w:hAnsi="仿宋" w:eastAsia="仿宋"/>
          <w:color w:val="000000"/>
          <w:sz w:val="28"/>
          <w:szCs w:val="28"/>
        </w:rPr>
        <w:t>201</w:t>
      </w:r>
      <w:r>
        <w:rPr>
          <w:rFonts w:hint="eastAsia" w:ascii="仿宋" w:hAnsi="仿宋" w:eastAsia="仿宋"/>
          <w:color w:val="000000"/>
          <w:sz w:val="28"/>
          <w:szCs w:val="28"/>
        </w:rPr>
        <w:t>8年本年收入合计</w:t>
      </w:r>
      <w:r>
        <w:rPr>
          <w:rFonts w:hint="eastAsia" w:ascii="华文仿宋" w:hAnsi="华文仿宋" w:eastAsia="华文仿宋"/>
          <w:sz w:val="28"/>
          <w:szCs w:val="28"/>
        </w:rPr>
        <w:t>569.38</w:t>
      </w:r>
      <w:r>
        <w:rPr>
          <w:rFonts w:hint="eastAsia" w:ascii="仿宋" w:hAnsi="仿宋" w:eastAsia="仿宋"/>
          <w:color w:val="000000"/>
          <w:sz w:val="28"/>
          <w:szCs w:val="28"/>
        </w:rPr>
        <w:t>万元，其中：一般公共预算财政拨款收入</w:t>
      </w:r>
      <w:r>
        <w:rPr>
          <w:rFonts w:hint="eastAsia" w:ascii="华文仿宋" w:hAnsi="华文仿宋" w:eastAsia="华文仿宋"/>
          <w:sz w:val="28"/>
          <w:szCs w:val="28"/>
        </w:rPr>
        <w:t>569.38</w:t>
      </w:r>
      <w:r>
        <w:rPr>
          <w:rFonts w:hint="eastAsia" w:ascii="仿宋" w:hAnsi="仿宋" w:eastAsia="仿宋"/>
          <w:color w:val="000000"/>
          <w:sz w:val="28"/>
          <w:szCs w:val="28"/>
        </w:rPr>
        <w:t>万元，占100</w:t>
      </w:r>
      <w:r>
        <w:rPr>
          <w:rFonts w:ascii="仿宋" w:hAnsi="仿宋" w:eastAsia="仿宋"/>
          <w:color w:val="000000"/>
          <w:sz w:val="28"/>
          <w:szCs w:val="28"/>
        </w:rPr>
        <w:t>%</w:t>
      </w:r>
      <w:r>
        <w:rPr>
          <w:rFonts w:hint="eastAsia" w:ascii="仿宋" w:hAnsi="仿宋" w:eastAsia="仿宋"/>
          <w:color w:val="000000"/>
          <w:sz w:val="28"/>
          <w:szCs w:val="28"/>
        </w:rPr>
        <w:t>。</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（二）部门财政资金支出情况。</w:t>
      </w:r>
    </w:p>
    <w:p>
      <w:pPr>
        <w:spacing w:line="600" w:lineRule="exact"/>
        <w:ind w:firstLine="640"/>
        <w:rPr>
          <w:rFonts w:ascii="仿宋" w:hAnsi="仿宋" w:eastAsia="仿宋"/>
          <w:color w:val="000000"/>
          <w:sz w:val="28"/>
          <w:szCs w:val="28"/>
          <w:shd w:val="pct10" w:color="auto" w:fill="FFFFFF"/>
        </w:rPr>
      </w:pPr>
      <w:r>
        <w:rPr>
          <w:rFonts w:ascii="仿宋" w:hAnsi="仿宋" w:eastAsia="仿宋"/>
          <w:color w:val="000000"/>
          <w:sz w:val="28"/>
          <w:szCs w:val="28"/>
        </w:rPr>
        <w:t>201</w:t>
      </w:r>
      <w:r>
        <w:rPr>
          <w:rFonts w:hint="eastAsia" w:ascii="仿宋" w:hAnsi="仿宋" w:eastAsia="仿宋"/>
          <w:color w:val="000000"/>
          <w:sz w:val="28"/>
          <w:szCs w:val="28"/>
        </w:rPr>
        <w:t>8年本年支出合计</w:t>
      </w:r>
      <w:r>
        <w:rPr>
          <w:rFonts w:hint="eastAsia" w:ascii="华文仿宋" w:hAnsi="华文仿宋" w:eastAsia="华文仿宋"/>
          <w:sz w:val="28"/>
          <w:szCs w:val="28"/>
        </w:rPr>
        <w:t>543.3</w:t>
      </w:r>
      <w:r>
        <w:rPr>
          <w:rFonts w:ascii="华文仿宋" w:hAnsi="华文仿宋" w:eastAsia="华文仿宋"/>
          <w:sz w:val="28"/>
          <w:szCs w:val="28"/>
        </w:rPr>
        <w:t>7</w:t>
      </w:r>
      <w:r>
        <w:rPr>
          <w:rFonts w:hint="eastAsia" w:ascii="仿宋" w:hAnsi="仿宋" w:eastAsia="仿宋"/>
          <w:color w:val="000000"/>
          <w:sz w:val="28"/>
          <w:szCs w:val="28"/>
        </w:rPr>
        <w:t>万元，其中：基本支出</w:t>
      </w:r>
      <w:r>
        <w:rPr>
          <w:rFonts w:ascii="华文仿宋" w:hAnsi="华文仿宋" w:eastAsia="华文仿宋"/>
          <w:sz w:val="28"/>
          <w:szCs w:val="28"/>
        </w:rPr>
        <w:t>473.52</w:t>
      </w:r>
      <w:r>
        <w:rPr>
          <w:rFonts w:hint="eastAsia" w:ascii="仿宋" w:hAnsi="仿宋" w:eastAsia="仿宋"/>
          <w:color w:val="000000"/>
          <w:sz w:val="28"/>
          <w:szCs w:val="28"/>
        </w:rPr>
        <w:t>万元，占</w:t>
      </w:r>
      <w:r>
        <w:rPr>
          <w:rFonts w:hint="eastAsia" w:ascii="华文仿宋" w:hAnsi="华文仿宋" w:eastAsia="华文仿宋"/>
          <w:sz w:val="28"/>
          <w:szCs w:val="28"/>
        </w:rPr>
        <w:t>87.15</w:t>
      </w:r>
      <w:r>
        <w:rPr>
          <w:rFonts w:ascii="仿宋" w:hAnsi="仿宋" w:eastAsia="仿宋"/>
          <w:color w:val="000000"/>
          <w:sz w:val="28"/>
          <w:szCs w:val="28"/>
        </w:rPr>
        <w:t>%</w:t>
      </w:r>
      <w:r>
        <w:rPr>
          <w:rFonts w:hint="eastAsia" w:ascii="仿宋" w:hAnsi="仿宋" w:eastAsia="仿宋"/>
          <w:color w:val="000000"/>
          <w:sz w:val="28"/>
          <w:szCs w:val="28"/>
        </w:rPr>
        <w:t>；项目支出</w:t>
      </w:r>
      <w:r>
        <w:rPr>
          <w:rFonts w:hint="eastAsia" w:ascii="华文仿宋" w:hAnsi="华文仿宋" w:eastAsia="华文仿宋"/>
          <w:sz w:val="28"/>
          <w:szCs w:val="28"/>
        </w:rPr>
        <w:t>69.8</w:t>
      </w:r>
      <w:r>
        <w:rPr>
          <w:rFonts w:ascii="华文仿宋" w:hAnsi="华文仿宋" w:eastAsia="华文仿宋"/>
          <w:sz w:val="28"/>
          <w:szCs w:val="28"/>
        </w:rPr>
        <w:t>5</w:t>
      </w:r>
      <w:r>
        <w:rPr>
          <w:rFonts w:hint="eastAsia" w:ascii="仿宋" w:hAnsi="仿宋" w:eastAsia="仿宋"/>
          <w:color w:val="000000"/>
          <w:sz w:val="28"/>
          <w:szCs w:val="28"/>
        </w:rPr>
        <w:t>万元，占</w:t>
      </w:r>
      <w:r>
        <w:rPr>
          <w:rFonts w:hint="eastAsia" w:ascii="华文仿宋" w:hAnsi="华文仿宋" w:eastAsia="华文仿宋"/>
          <w:sz w:val="28"/>
          <w:szCs w:val="28"/>
        </w:rPr>
        <w:t>12.85</w:t>
      </w:r>
      <w:r>
        <w:rPr>
          <w:rFonts w:ascii="仿宋" w:hAnsi="仿宋" w:eastAsia="仿宋"/>
          <w:color w:val="000000"/>
          <w:sz w:val="28"/>
          <w:szCs w:val="28"/>
        </w:rPr>
        <w:t>%</w:t>
      </w:r>
      <w:r>
        <w:rPr>
          <w:rFonts w:hint="eastAsia" w:ascii="仿宋" w:hAnsi="仿宋" w:eastAsia="仿宋"/>
          <w:color w:val="000000"/>
          <w:sz w:val="28"/>
          <w:szCs w:val="28"/>
        </w:rPr>
        <w:t>。</w:t>
      </w:r>
    </w:p>
    <w:p>
      <w:pPr>
        <w:spacing w:line="580" w:lineRule="exact"/>
        <w:ind w:firstLine="560" w:firstLineChars="200"/>
        <w:rPr>
          <w:rFonts w:ascii="黑体" w:hAnsi="黑体" w:eastAsia="黑体" w:cs="黑体"/>
          <w:sz w:val="28"/>
          <w:szCs w:val="28"/>
        </w:rPr>
      </w:pPr>
      <w:r>
        <w:rPr>
          <w:rFonts w:ascii="黑体" w:hAnsi="黑体" w:eastAsia="黑体" w:cs="黑体"/>
          <w:sz w:val="28"/>
          <w:szCs w:val="28"/>
        </w:rPr>
        <w:t>三、部门整体预算绩效管理情况</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（一）部门预算管理。</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部门预算</w:t>
      </w:r>
      <w:r>
        <w:rPr>
          <w:rFonts w:ascii="仿宋" w:hAnsi="仿宋" w:eastAsia="仿宋" w:cs="仿宋_GB2312"/>
          <w:sz w:val="28"/>
          <w:szCs w:val="28"/>
        </w:rPr>
        <w:t>包括</w:t>
      </w:r>
      <w:r>
        <w:rPr>
          <w:rFonts w:hint="eastAsia" w:ascii="仿宋" w:hAnsi="仿宋" w:eastAsia="仿宋" w:cs="仿宋_GB2312"/>
          <w:sz w:val="28"/>
          <w:szCs w:val="28"/>
        </w:rPr>
        <w:t>了</w:t>
      </w:r>
      <w:r>
        <w:rPr>
          <w:rFonts w:ascii="仿宋" w:hAnsi="仿宋" w:eastAsia="仿宋" w:cs="仿宋_GB2312"/>
          <w:sz w:val="28"/>
          <w:szCs w:val="28"/>
        </w:rPr>
        <w:t>部门绩效目标制定、目标完成、预算编制准确、支出控制、预算动态调整、执行进度、预算完成情况和违规记录等情况。</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（二）专项预算管理。</w:t>
      </w:r>
    </w:p>
    <w:p>
      <w:pPr>
        <w:spacing w:line="580" w:lineRule="exact"/>
        <w:ind w:firstLine="560" w:firstLineChars="200"/>
        <w:rPr>
          <w:rFonts w:ascii="仿宋" w:hAnsi="仿宋" w:eastAsia="仿宋" w:cs="仿宋_GB2312"/>
          <w:sz w:val="28"/>
          <w:szCs w:val="28"/>
        </w:rPr>
      </w:pPr>
      <w:bookmarkStart w:id="65" w:name="_Hlk19399415"/>
      <w:r>
        <w:rPr>
          <w:rFonts w:hint="eastAsia" w:ascii="仿宋" w:hAnsi="仿宋" w:eastAsia="仿宋" w:cs="仿宋_GB2312"/>
          <w:sz w:val="28"/>
          <w:szCs w:val="28"/>
        </w:rPr>
        <w:t>医保局5个项目经过了合理规划，严密预算，科学分配，同时制定了详细的日常管理制度。5个项目均为常年运行项目，立项依据年初财政预算8</w:t>
      </w:r>
      <w:r>
        <w:rPr>
          <w:rFonts w:ascii="仿宋" w:hAnsi="仿宋" w:eastAsia="仿宋" w:cs="仿宋_GB2312"/>
          <w:sz w:val="28"/>
          <w:szCs w:val="28"/>
        </w:rPr>
        <w:t>8</w:t>
      </w:r>
      <w:r>
        <w:rPr>
          <w:rFonts w:hint="eastAsia" w:ascii="仿宋" w:hAnsi="仿宋" w:eastAsia="仿宋" w:cs="仿宋_GB2312"/>
          <w:sz w:val="28"/>
          <w:szCs w:val="28"/>
        </w:rPr>
        <w:t>万元，按项目实施进度合理的进行国库集中支付，确保阶段性的达到预算效果。定期将预估效果与实际情况进行对比分析，确保最终目标的实现</w:t>
      </w:r>
      <w:r>
        <w:rPr>
          <w:rFonts w:ascii="仿宋" w:hAnsi="仿宋" w:eastAsia="仿宋" w:cs="仿宋_GB2312"/>
          <w:sz w:val="28"/>
          <w:szCs w:val="28"/>
        </w:rPr>
        <w:t>。</w:t>
      </w:r>
    </w:p>
    <w:bookmarkEnd w:id="65"/>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（三）结果应用情况。</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预决算在财政部门批复二十日内向社会公开本部门决算（含所有财政资金安排的“三公”经费、机关运行经费的安排、使用情况等）。按要求公开部门整体支出绩效自评报告及其他按要求应公开的绩效信息。绩效管理。按照要求对所有预算单位开展整体绩效评价，按要求向财政部门报送自评报告等相关绩效信息。依法接受财政监督情况。按照财政部门相关要求，开展了2018年度财政监督检查的自查自纠工作，并报送了自查自纠报告及报表。</w:t>
      </w:r>
    </w:p>
    <w:p>
      <w:pPr>
        <w:spacing w:line="580" w:lineRule="exact"/>
        <w:ind w:firstLine="560" w:firstLineChars="200"/>
        <w:rPr>
          <w:rFonts w:ascii="黑体" w:hAnsi="黑体" w:eastAsia="黑体" w:cs="黑体"/>
          <w:sz w:val="28"/>
          <w:szCs w:val="28"/>
        </w:rPr>
      </w:pPr>
      <w:r>
        <w:rPr>
          <w:rFonts w:ascii="黑体" w:hAnsi="黑体" w:eastAsia="黑体" w:cs="黑体"/>
          <w:sz w:val="28"/>
          <w:szCs w:val="28"/>
        </w:rPr>
        <w:t>四、评价结论及建议</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（一）评价结论。</w:t>
      </w:r>
    </w:p>
    <w:p>
      <w:pPr>
        <w:spacing w:line="580" w:lineRule="exact"/>
        <w:ind w:firstLine="840" w:firstLineChars="300"/>
        <w:rPr>
          <w:rFonts w:hint="eastAsia" w:ascii="仿宋" w:hAnsi="仿宋" w:eastAsia="仿宋" w:cs="仿宋_GB2312"/>
          <w:sz w:val="28"/>
          <w:szCs w:val="28"/>
        </w:rPr>
      </w:pPr>
      <w:r>
        <w:rPr>
          <w:rFonts w:hint="eastAsia" w:ascii="仿宋" w:hAnsi="仿宋" w:eastAsia="仿宋" w:cs="仿宋_GB2312"/>
          <w:sz w:val="28"/>
          <w:szCs w:val="28"/>
        </w:rPr>
        <w:t>总的来看，基本支出预算保障了单位日常正常运转，项目支出预算使单位履行好部门职能职责，充分发挥项目资金的作用，支出管理较为规范，部门整体绩效较好。部门支出绩效自评得分9</w:t>
      </w:r>
      <w:r>
        <w:rPr>
          <w:rFonts w:ascii="仿宋" w:hAnsi="仿宋" w:eastAsia="仿宋" w:cs="仿宋_GB2312"/>
          <w:sz w:val="28"/>
          <w:szCs w:val="28"/>
        </w:rPr>
        <w:t>3</w:t>
      </w:r>
      <w:r>
        <w:rPr>
          <w:rFonts w:hint="eastAsia" w:ascii="仿宋" w:hAnsi="仿宋" w:eastAsia="仿宋" w:cs="仿宋_GB2312"/>
          <w:sz w:val="28"/>
          <w:szCs w:val="28"/>
        </w:rPr>
        <w:t>分。</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（二）存在问题。</w:t>
      </w:r>
    </w:p>
    <w:p>
      <w:pPr>
        <w:spacing w:line="5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w:t>
      </w:r>
      <w:r>
        <w:rPr>
          <w:rFonts w:hint="eastAsia" w:ascii="仿宋" w:hAnsi="仿宋" w:eastAsia="仿宋" w:cs="仿宋_GB2312"/>
          <w:sz w:val="28"/>
          <w:szCs w:val="28"/>
        </w:rPr>
        <w:t>项目的增设缺少预见性。</w:t>
      </w:r>
    </w:p>
    <w:p>
      <w:pPr>
        <w:spacing w:line="580" w:lineRule="exact"/>
        <w:ind w:firstLine="560" w:firstLineChars="200"/>
        <w:rPr>
          <w:rFonts w:hint="eastAsia"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财务制度需进一步细化，会计核算需更加规范。</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（三）改进建议。</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做好预算前期工作，提高预算编制质量。</w:t>
      </w:r>
      <w:r>
        <w:rPr>
          <w:rFonts w:ascii="仿宋_GB2312" w:hAnsi="仿宋_GB2312" w:eastAsia="仿宋_GB2312" w:cs="仿宋_GB2312"/>
          <w:sz w:val="28"/>
          <w:szCs w:val="28"/>
        </w:rPr>
        <w:t xml:space="preserve"> </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加大人员培训力度，提升工作效率。</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3.</w:t>
      </w:r>
      <w:r>
        <w:rPr>
          <w:rFonts w:hint="eastAsia" w:ascii="仿宋_GB2312" w:hAnsi="仿宋_GB2312" w:eastAsia="仿宋_GB2312" w:cs="仿宋_GB2312"/>
          <w:sz w:val="28"/>
          <w:szCs w:val="28"/>
        </w:rPr>
        <w:t>强化资金财务管理，严把资金支付审核关。</w:t>
      </w:r>
    </w:p>
    <w:p>
      <w:pPr>
        <w:widowControl/>
        <w:jc w:val="left"/>
        <w:rPr>
          <w:rStyle w:val="29"/>
          <w:rFonts w:hint="eastAsia" w:ascii="仿宋" w:hAnsi="仿宋" w:eastAsia="仿宋"/>
          <w:b w:val="0"/>
          <w:bCs w:val="0"/>
          <w:sz w:val="28"/>
          <w:szCs w:val="28"/>
        </w:rPr>
      </w:pPr>
      <w:bookmarkStart w:id="66" w:name="_Toc15396617"/>
    </w:p>
    <w:p>
      <w:pPr>
        <w:widowControl/>
        <w:jc w:val="left"/>
        <w:rPr>
          <w:rStyle w:val="29"/>
          <w:rFonts w:ascii="仿宋" w:hAnsi="仿宋" w:eastAsia="仿宋"/>
          <w:b w:val="0"/>
          <w:bCs w:val="0"/>
          <w:sz w:val="28"/>
          <w:szCs w:val="28"/>
        </w:rPr>
      </w:pPr>
      <w:r>
        <w:rPr>
          <w:rStyle w:val="29"/>
          <w:rFonts w:hint="eastAsia" w:ascii="仿宋" w:hAnsi="仿宋" w:eastAsia="仿宋"/>
          <w:b w:val="0"/>
          <w:bCs w:val="0"/>
          <w:sz w:val="28"/>
          <w:szCs w:val="28"/>
        </w:rPr>
        <w:t>附件2</w:t>
      </w:r>
      <w:bookmarkEnd w:id="66"/>
    </w:p>
    <w:p>
      <w:pPr>
        <w:spacing w:line="580" w:lineRule="exact"/>
        <w:rPr>
          <w:rFonts w:hint="eastAsia" w:ascii="黑体" w:hAnsi="黑体" w:eastAsia="黑体" w:cs="方正小标宋简体"/>
          <w:sz w:val="32"/>
          <w:szCs w:val="32"/>
        </w:rPr>
      </w:pPr>
      <w:r>
        <w:rPr>
          <w:rFonts w:ascii="仿宋_GB2312" w:hAnsi="仿宋_GB2312" w:eastAsia="仿宋_GB2312" w:cs="仿宋_GB2312"/>
          <w:sz w:val="28"/>
          <w:szCs w:val="28"/>
        </w:rPr>
        <w:t xml:space="preserve">  </w:t>
      </w:r>
      <w:r>
        <w:rPr>
          <w:rFonts w:ascii="黑体" w:hAnsi="黑体" w:eastAsia="黑体" w:cs="仿宋_GB2312"/>
          <w:sz w:val="28"/>
          <w:szCs w:val="28"/>
        </w:rPr>
        <w:t xml:space="preserve"> </w:t>
      </w:r>
      <w:r>
        <w:rPr>
          <w:rFonts w:hint="eastAsia" w:ascii="黑体" w:hAnsi="黑体" w:eastAsia="黑体" w:cs="仿宋_GB2312"/>
          <w:sz w:val="28"/>
          <w:szCs w:val="28"/>
          <w:lang w:val="en-US" w:eastAsia="zh-CN"/>
        </w:rPr>
        <w:t xml:space="preserve">            </w:t>
      </w:r>
      <w:r>
        <w:rPr>
          <w:rFonts w:hint="eastAsia" w:ascii="黑体" w:hAnsi="黑体" w:eastAsia="黑体" w:cs="仿宋_GB2312"/>
          <w:sz w:val="32"/>
          <w:szCs w:val="32"/>
        </w:rPr>
        <w:t>达州市达川区医疗保险管理局</w:t>
      </w:r>
    </w:p>
    <w:p>
      <w:pPr>
        <w:spacing w:line="580" w:lineRule="exact"/>
        <w:jc w:val="center"/>
        <w:rPr>
          <w:rFonts w:ascii="黑体" w:hAnsi="黑体" w:eastAsia="黑体" w:cs="方正小标宋简体"/>
          <w:sz w:val="32"/>
          <w:szCs w:val="32"/>
        </w:rPr>
      </w:pPr>
      <w:r>
        <w:rPr>
          <w:rFonts w:ascii="黑体" w:hAnsi="黑体" w:eastAsia="黑体" w:cs="方正小标宋简体"/>
          <w:sz w:val="32"/>
          <w:szCs w:val="32"/>
        </w:rPr>
        <w:t xml:space="preserve"> 2018</w:t>
      </w:r>
      <w:r>
        <w:rPr>
          <w:rFonts w:hint="eastAsia" w:ascii="黑体" w:hAnsi="黑体" w:eastAsia="黑体" w:cs="方正小标宋简体"/>
          <w:sz w:val="32"/>
          <w:szCs w:val="32"/>
        </w:rPr>
        <w:t>年项目支出绩效评价报告</w:t>
      </w:r>
    </w:p>
    <w:p>
      <w:pPr>
        <w:spacing w:line="580" w:lineRule="exact"/>
        <w:ind w:firstLine="560" w:firstLineChars="200"/>
        <w:rPr>
          <w:rFonts w:ascii="仿宋_GB2312" w:hAnsi="仿宋_GB2312" w:eastAsia="仿宋_GB2312" w:cs="仿宋_GB2312"/>
          <w:sz w:val="28"/>
          <w:szCs w:val="28"/>
        </w:rPr>
      </w:pP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w:t>
      </w:r>
      <w:r>
        <w:rPr>
          <w:rFonts w:ascii="仿宋" w:hAnsi="仿宋" w:eastAsia="仿宋" w:cs="仿宋_GB2312"/>
          <w:sz w:val="28"/>
          <w:szCs w:val="28"/>
        </w:rPr>
        <w:t>、评价工作开展及项目情况</w:t>
      </w:r>
    </w:p>
    <w:p>
      <w:pPr>
        <w:widowControl/>
        <w:ind w:firstLine="560" w:firstLineChars="200"/>
        <w:jc w:val="left"/>
        <w:rPr>
          <w:rFonts w:ascii="仿宋" w:hAnsi="仿宋" w:eastAsia="仿宋" w:cs="宋体"/>
          <w:kern w:val="0"/>
          <w:sz w:val="28"/>
          <w:szCs w:val="28"/>
        </w:rPr>
      </w:pPr>
      <w:r>
        <w:rPr>
          <w:rFonts w:ascii="仿宋" w:hAnsi="仿宋" w:eastAsia="仿宋" w:cs="宋体"/>
          <w:kern w:val="0"/>
          <w:sz w:val="28"/>
          <w:szCs w:val="28"/>
        </w:rPr>
        <w:t>根据当年区财政预算安排，</w:t>
      </w:r>
      <w:r>
        <w:rPr>
          <w:rFonts w:hint="eastAsia" w:ascii="仿宋" w:hAnsi="仿宋" w:eastAsia="仿宋" w:cs="宋体"/>
          <w:kern w:val="0"/>
          <w:sz w:val="28"/>
          <w:szCs w:val="28"/>
        </w:rPr>
        <w:t>医保</w:t>
      </w:r>
      <w:r>
        <w:rPr>
          <w:rFonts w:ascii="仿宋" w:hAnsi="仿宋" w:eastAsia="仿宋" w:cs="宋体"/>
          <w:kern w:val="0"/>
          <w:sz w:val="28"/>
          <w:szCs w:val="28"/>
        </w:rPr>
        <w:t>局项目预算资金为88万元，实际到位88万元。计划实现的具体绩效目标达到100%，项目实施进度计划达到100%，评价符合资金管理办法等相关规定。</w:t>
      </w:r>
    </w:p>
    <w:p>
      <w:pPr>
        <w:widowControl/>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1</w:t>
      </w:r>
      <w:r>
        <w:rPr>
          <w:rFonts w:ascii="仿宋" w:hAnsi="仿宋" w:eastAsia="仿宋" w:cs="宋体"/>
          <w:kern w:val="0"/>
          <w:sz w:val="28"/>
          <w:szCs w:val="28"/>
        </w:rPr>
        <w:t>.</w:t>
      </w:r>
      <w:r>
        <w:rPr>
          <w:rFonts w:hint="eastAsia" w:ascii="仿宋" w:hAnsi="仿宋" w:eastAsia="仿宋" w:cs="楷体_GB2312"/>
          <w:sz w:val="28"/>
          <w:szCs w:val="28"/>
        </w:rPr>
        <w:t xml:space="preserve"> 党建工作经费</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万元，主要用于我局党建和脱贫攻坚工作，</w:t>
      </w:r>
      <w:r>
        <w:rPr>
          <w:rFonts w:hint="eastAsia" w:ascii="仿宋" w:hAnsi="仿宋" w:eastAsia="仿宋" w:cs="宋体"/>
          <w:kern w:val="0"/>
          <w:sz w:val="28"/>
          <w:szCs w:val="28"/>
        </w:rPr>
        <w:t>在2018年已全部完成，资金来源为财政资金，资金管理制度健全。</w:t>
      </w:r>
    </w:p>
    <w:p>
      <w:pPr>
        <w:widowControl/>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w:t>
      </w:r>
      <w:r>
        <w:rPr>
          <w:rFonts w:hint="eastAsia" w:ascii="仿宋_GB2312" w:hAnsi="仿宋_GB2312" w:eastAsia="仿宋_GB2312" w:cs="仿宋_GB2312"/>
          <w:sz w:val="28"/>
          <w:szCs w:val="28"/>
        </w:rPr>
        <w:t xml:space="preserve"> 医疗保险网络维护工作经费</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万元，用于保障医疗保险网络高效运行，</w:t>
      </w:r>
      <w:r>
        <w:rPr>
          <w:rFonts w:hint="eastAsia" w:ascii="仿宋" w:hAnsi="仿宋" w:eastAsia="仿宋" w:cs="宋体"/>
          <w:kern w:val="0"/>
          <w:sz w:val="28"/>
          <w:szCs w:val="28"/>
        </w:rPr>
        <w:t>在2018年已全部完成，资金来源为财政资金，资金管理制度健全。</w:t>
      </w:r>
    </w:p>
    <w:p>
      <w:pPr>
        <w:widowControl/>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3</w:t>
      </w:r>
      <w:r>
        <w:rPr>
          <w:rFonts w:ascii="仿宋" w:hAnsi="仿宋" w:eastAsia="仿宋" w:cs="宋体"/>
          <w:kern w:val="0"/>
          <w:sz w:val="28"/>
          <w:szCs w:val="28"/>
        </w:rPr>
        <w:t>.</w:t>
      </w:r>
      <w:r>
        <w:rPr>
          <w:rFonts w:hint="eastAsia" w:ascii="仿宋_GB2312" w:hAnsi="仿宋_GB2312" w:eastAsia="仿宋_GB2312" w:cs="仿宋_GB2312"/>
          <w:sz w:val="28"/>
          <w:szCs w:val="28"/>
        </w:rPr>
        <w:t xml:space="preserve"> 城镇职工、居民医保住院核查及本、异地住院监督工作经费</w:t>
      </w:r>
      <w:r>
        <w:rPr>
          <w:rFonts w:ascii="仿宋_GB2312" w:hAnsi="仿宋_GB2312" w:eastAsia="仿宋_GB2312" w:cs="仿宋_GB2312"/>
          <w:sz w:val="28"/>
          <w:szCs w:val="28"/>
        </w:rPr>
        <w:t>45</w:t>
      </w:r>
      <w:r>
        <w:rPr>
          <w:rFonts w:hint="eastAsia" w:ascii="仿宋_GB2312" w:hAnsi="仿宋_GB2312" w:eastAsia="仿宋_GB2312" w:cs="仿宋_GB2312"/>
          <w:sz w:val="28"/>
          <w:szCs w:val="28"/>
        </w:rPr>
        <w:t>万元，主要用于日常对定点医疗机构的监督稽核工作</w:t>
      </w:r>
      <w:r>
        <w:rPr>
          <w:rFonts w:hint="eastAsia" w:ascii="仿宋" w:hAnsi="仿宋" w:eastAsia="仿宋" w:cs="宋体"/>
          <w:kern w:val="0"/>
          <w:sz w:val="28"/>
          <w:szCs w:val="28"/>
        </w:rPr>
        <w:t>，在2018年已全部完成，资金来源为财政资金，资金管理制度健全。</w:t>
      </w:r>
    </w:p>
    <w:p>
      <w:pPr>
        <w:widowControl/>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w:t>
      </w:r>
      <w:r>
        <w:rPr>
          <w:rFonts w:hint="eastAsia" w:ascii="仿宋_GB2312" w:hAnsi="仿宋_GB2312" w:eastAsia="仿宋_GB2312" w:cs="仿宋_GB2312"/>
          <w:sz w:val="28"/>
          <w:szCs w:val="28"/>
        </w:rPr>
        <w:t xml:space="preserve"> 城乡居民保险档案资料整理工作经费，用于城乡居民报账资料的整理、归档，</w:t>
      </w:r>
      <w:r>
        <w:rPr>
          <w:rFonts w:hint="eastAsia" w:ascii="仿宋" w:hAnsi="仿宋" w:eastAsia="仿宋" w:cs="宋体"/>
          <w:kern w:val="0"/>
          <w:sz w:val="28"/>
          <w:szCs w:val="28"/>
        </w:rPr>
        <w:t>在2018年已全部完成，资金来源为财政资金，资金管理制度健全。</w:t>
      </w:r>
    </w:p>
    <w:p>
      <w:pPr>
        <w:widowControl/>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5</w:t>
      </w:r>
      <w:r>
        <w:rPr>
          <w:rFonts w:ascii="仿宋" w:hAnsi="仿宋" w:eastAsia="仿宋" w:cs="宋体"/>
          <w:kern w:val="0"/>
          <w:sz w:val="28"/>
          <w:szCs w:val="28"/>
        </w:rPr>
        <w:t>.</w:t>
      </w:r>
      <w:r>
        <w:rPr>
          <w:rFonts w:hint="eastAsia" w:ascii="仿宋_GB2312" w:hAnsi="仿宋_GB2312" w:eastAsia="仿宋_GB2312" w:cs="仿宋_GB2312"/>
          <w:sz w:val="28"/>
          <w:szCs w:val="28"/>
        </w:rPr>
        <w:t xml:space="preserve"> 城乡居民医疗保险政策宣传工作经费</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万元，主要用于多渠道对医疗保险政策的宣传工作，</w:t>
      </w:r>
      <w:r>
        <w:rPr>
          <w:rFonts w:hint="eastAsia" w:ascii="仿宋" w:hAnsi="仿宋" w:eastAsia="仿宋" w:cs="宋体"/>
          <w:kern w:val="0"/>
          <w:sz w:val="28"/>
          <w:szCs w:val="28"/>
        </w:rPr>
        <w:t>在2018年已全部完成，资金来源为财政资金，资金管理制度健全。</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二</w:t>
      </w:r>
      <w:r>
        <w:rPr>
          <w:rFonts w:ascii="仿宋" w:hAnsi="仿宋" w:eastAsia="仿宋" w:cs="仿宋_GB2312"/>
          <w:sz w:val="28"/>
          <w:szCs w:val="28"/>
        </w:rPr>
        <w:t>、评价结论及绩效分析</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（一）评价结论</w:t>
      </w:r>
    </w:p>
    <w:p>
      <w:pPr>
        <w:spacing w:line="580" w:lineRule="exact"/>
        <w:ind w:firstLine="840" w:firstLineChars="300"/>
        <w:rPr>
          <w:rFonts w:hint="eastAsia" w:ascii="仿宋" w:hAnsi="仿宋" w:eastAsia="仿宋" w:cs="仿宋_GB2312"/>
          <w:sz w:val="28"/>
          <w:szCs w:val="28"/>
        </w:rPr>
      </w:pPr>
      <w:r>
        <w:rPr>
          <w:rFonts w:hint="eastAsia" w:ascii="仿宋" w:hAnsi="仿宋" w:eastAsia="仿宋" w:cs="仿宋_GB2312"/>
          <w:sz w:val="28"/>
          <w:szCs w:val="28"/>
        </w:rPr>
        <w:t>总的来看，基本支出预算保障了单位日常正常运转，项目支出预算使单位履行好部门职能职责，充分发挥项目资金的作用，支出管理较为规范，部门整体绩效较好。部门支出绩效自评得分9</w:t>
      </w:r>
      <w:r>
        <w:rPr>
          <w:rFonts w:ascii="仿宋" w:hAnsi="仿宋" w:eastAsia="仿宋" w:cs="仿宋_GB2312"/>
          <w:sz w:val="28"/>
          <w:szCs w:val="28"/>
        </w:rPr>
        <w:t>3</w:t>
      </w:r>
      <w:r>
        <w:rPr>
          <w:rFonts w:hint="eastAsia" w:ascii="仿宋" w:hAnsi="仿宋" w:eastAsia="仿宋" w:cs="仿宋_GB2312"/>
          <w:sz w:val="28"/>
          <w:szCs w:val="28"/>
        </w:rPr>
        <w:t>分。</w:t>
      </w:r>
    </w:p>
    <w:tbl>
      <w:tblPr>
        <w:tblStyle w:val="12"/>
        <w:tblW w:w="8880" w:type="dxa"/>
        <w:tblInd w:w="0" w:type="dxa"/>
        <w:tblLayout w:type="fixed"/>
        <w:tblCellMar>
          <w:top w:w="0" w:type="dxa"/>
          <w:left w:w="108" w:type="dxa"/>
          <w:bottom w:w="0" w:type="dxa"/>
          <w:right w:w="108" w:type="dxa"/>
        </w:tblCellMar>
      </w:tblPr>
      <w:tblGrid>
        <w:gridCol w:w="1320"/>
        <w:gridCol w:w="1720"/>
        <w:gridCol w:w="1720"/>
        <w:gridCol w:w="1720"/>
        <w:gridCol w:w="1720"/>
        <w:gridCol w:w="680"/>
      </w:tblGrid>
      <w:tr>
        <w:tblPrEx>
          <w:tblCellMar>
            <w:top w:w="0" w:type="dxa"/>
            <w:left w:w="108" w:type="dxa"/>
            <w:bottom w:w="0" w:type="dxa"/>
            <w:right w:w="108" w:type="dxa"/>
          </w:tblCellMar>
        </w:tblPrEx>
        <w:trPr>
          <w:trHeight w:val="1200" w:hRule="atLeast"/>
        </w:trPr>
        <w:tc>
          <w:tcPr>
            <w:tcW w:w="8200" w:type="dxa"/>
            <w:gridSpan w:val="5"/>
            <w:tcBorders>
              <w:top w:val="nil"/>
              <w:left w:val="nil"/>
              <w:bottom w:val="nil"/>
              <w:right w:val="nil"/>
            </w:tcBorders>
            <w:vAlign w:val="center"/>
          </w:tcPr>
          <w:p>
            <w:pPr>
              <w:widowControl/>
              <w:jc w:val="center"/>
              <w:rPr>
                <w:rFonts w:ascii="方正小标宋简体" w:hAnsi="宋体" w:eastAsia="方正小标宋简体" w:cs="宋体"/>
                <w:kern w:val="0"/>
                <w:sz w:val="28"/>
                <w:szCs w:val="28"/>
              </w:rPr>
            </w:pPr>
            <w:r>
              <w:rPr>
                <w:rFonts w:hint="eastAsia" w:ascii="方正小标宋简体" w:hAnsi="宋体" w:eastAsia="方正小标宋简体" w:cs="宋体"/>
                <w:kern w:val="0"/>
                <w:sz w:val="28"/>
                <w:szCs w:val="28"/>
              </w:rPr>
              <w:t>达川区医保局单位整体支出绩效评价得分表</w:t>
            </w:r>
          </w:p>
        </w:tc>
        <w:tc>
          <w:tcPr>
            <w:tcW w:w="680" w:type="dxa"/>
            <w:tcBorders>
              <w:top w:val="nil"/>
              <w:left w:val="nil"/>
              <w:bottom w:val="nil"/>
              <w:right w:val="nil"/>
            </w:tcBorders>
            <w:vAlign w:val="center"/>
          </w:tcPr>
          <w:p>
            <w:pPr>
              <w:widowControl/>
              <w:jc w:val="center"/>
              <w:rPr>
                <w:rFonts w:hint="eastAsia" w:ascii="方正小标宋简体" w:hAnsi="宋体" w:eastAsia="方正小标宋简体" w:cs="宋体"/>
                <w:kern w:val="0"/>
                <w:sz w:val="20"/>
                <w:szCs w:val="20"/>
              </w:rPr>
            </w:pPr>
          </w:p>
        </w:tc>
      </w:tr>
      <w:tr>
        <w:tblPrEx>
          <w:tblCellMar>
            <w:top w:w="0" w:type="dxa"/>
            <w:left w:w="108" w:type="dxa"/>
            <w:bottom w:w="0" w:type="dxa"/>
            <w:right w:w="108" w:type="dxa"/>
          </w:tblCellMar>
        </w:tblPrEx>
        <w:trPr>
          <w:trHeight w:val="1300" w:hRule="atLeast"/>
        </w:trPr>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一级指标</w:t>
            </w:r>
          </w:p>
        </w:tc>
        <w:tc>
          <w:tcPr>
            <w:tcW w:w="17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二级指标</w:t>
            </w:r>
          </w:p>
        </w:tc>
        <w:tc>
          <w:tcPr>
            <w:tcW w:w="17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17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17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计分标准（备注）</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自评得分</w:t>
            </w:r>
          </w:p>
        </w:tc>
      </w:tr>
      <w:tr>
        <w:tblPrEx>
          <w:tblCellMar>
            <w:top w:w="0" w:type="dxa"/>
            <w:left w:w="108" w:type="dxa"/>
            <w:bottom w:w="0" w:type="dxa"/>
            <w:right w:w="108" w:type="dxa"/>
          </w:tblCellMar>
        </w:tblPrEx>
        <w:trPr>
          <w:trHeight w:val="1300" w:hRule="atLeast"/>
        </w:trPr>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预算编制（</w:t>
            </w:r>
            <w:r>
              <w:rPr>
                <w:rFonts w:eastAsia="仿宋_GB2312"/>
                <w:kern w:val="0"/>
                <w:sz w:val="20"/>
                <w:szCs w:val="20"/>
              </w:rPr>
              <w:t>16</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报送时效　　（</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基础信息更新　　（</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各单位是否按照部门预算编制通知和有关要求，按时完成基础库、项目库报送工作</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超过规定</w:t>
            </w:r>
            <w:r>
              <w:rPr>
                <w:rFonts w:eastAsia="仿宋_GB2312"/>
                <w:kern w:val="0"/>
                <w:sz w:val="20"/>
                <w:szCs w:val="20"/>
              </w:rPr>
              <w:t>5</w:t>
            </w:r>
            <w:r>
              <w:rPr>
                <w:rFonts w:hint="eastAsia" w:ascii="仿宋_GB2312" w:hAnsi="宋体" w:eastAsia="仿宋_GB2312" w:cs="宋体"/>
                <w:kern w:val="0"/>
                <w:sz w:val="20"/>
                <w:szCs w:val="20"/>
              </w:rPr>
              <w:t>个工作日扣</w:t>
            </w:r>
            <w:r>
              <w:rPr>
                <w:rFonts w:eastAsia="仿宋_GB2312"/>
                <w:kern w:val="0"/>
                <w:sz w:val="20"/>
                <w:szCs w:val="20"/>
              </w:rPr>
              <w:t>0.5</w:t>
            </w:r>
            <w:r>
              <w:rPr>
                <w:rFonts w:hint="eastAsia" w:ascii="仿宋_GB2312" w:hAnsi="宋体" w:eastAsia="仿宋_GB2312" w:cs="宋体"/>
                <w:kern w:val="0"/>
                <w:sz w:val="20"/>
                <w:szCs w:val="20"/>
              </w:rPr>
              <w:t>分，</w:t>
            </w:r>
            <w:r>
              <w:rPr>
                <w:rFonts w:eastAsia="仿宋_GB2312"/>
                <w:kern w:val="0"/>
                <w:sz w:val="20"/>
                <w:szCs w:val="20"/>
              </w:rPr>
              <w:t>10</w:t>
            </w:r>
            <w:r>
              <w:rPr>
                <w:rFonts w:hint="eastAsia" w:ascii="仿宋_GB2312" w:hAnsi="宋体" w:eastAsia="仿宋_GB2312" w:cs="宋体"/>
                <w:kern w:val="0"/>
                <w:sz w:val="20"/>
                <w:szCs w:val="20"/>
              </w:rPr>
              <w:t>个工作日扣</w:t>
            </w:r>
            <w:r>
              <w:rPr>
                <w:rFonts w:eastAsia="仿宋_GB2312"/>
                <w:kern w:val="0"/>
                <w:sz w:val="20"/>
                <w:szCs w:val="20"/>
              </w:rPr>
              <w:t>1</w:t>
            </w:r>
            <w:r>
              <w:rPr>
                <w:rFonts w:hint="eastAsia" w:ascii="仿宋_GB2312" w:hAnsi="宋体" w:eastAsia="仿宋_GB2312" w:cs="宋体"/>
                <w:kern w:val="0"/>
                <w:sz w:val="20"/>
                <w:szCs w:val="20"/>
              </w:rPr>
              <w:t>分，以此类推，直至扣完</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b/>
                <w:bCs/>
                <w:kern w:val="0"/>
                <w:sz w:val="20"/>
                <w:szCs w:val="20"/>
              </w:rPr>
            </w:pPr>
            <w:r>
              <w:rPr>
                <w:rFonts w:hint="eastAsia" w:ascii="宋体" w:hAnsi="宋体" w:cs="宋体"/>
                <w:b/>
                <w:bCs/>
                <w:kern w:val="0"/>
                <w:sz w:val="20"/>
                <w:szCs w:val="20"/>
              </w:rPr>
              <w:t>2</w:t>
            </w:r>
          </w:p>
        </w:tc>
      </w:tr>
      <w:tr>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编制质量　　（</w:t>
            </w:r>
            <w:r>
              <w:rPr>
                <w:rFonts w:eastAsia="仿宋_GB2312"/>
                <w:kern w:val="0"/>
                <w:sz w:val="20"/>
                <w:szCs w:val="20"/>
              </w:rPr>
              <w:t>6</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预算编制准确　　（</w:t>
            </w:r>
            <w:r>
              <w:rPr>
                <w:rFonts w:eastAsia="仿宋_GB2312"/>
                <w:kern w:val="0"/>
                <w:sz w:val="20"/>
                <w:szCs w:val="20"/>
              </w:rPr>
              <w:t>4</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考核预算项目资金性质变动情况</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项目资金性质变动控制在</w:t>
            </w:r>
            <w:r>
              <w:rPr>
                <w:rFonts w:eastAsia="仿宋_GB2312"/>
                <w:kern w:val="0"/>
                <w:sz w:val="20"/>
                <w:szCs w:val="20"/>
              </w:rPr>
              <w:t>1</w:t>
            </w:r>
            <w:r>
              <w:rPr>
                <w:rFonts w:hint="eastAsia" w:ascii="仿宋_GB2312" w:hAnsi="宋体" w:eastAsia="仿宋_GB2312" w:cs="宋体"/>
                <w:kern w:val="0"/>
                <w:sz w:val="20"/>
                <w:szCs w:val="20"/>
              </w:rPr>
              <w:t>个内，得分；</w:t>
            </w:r>
            <w:r>
              <w:rPr>
                <w:rFonts w:eastAsia="仿宋_GB2312"/>
                <w:kern w:val="0"/>
                <w:sz w:val="20"/>
                <w:szCs w:val="20"/>
              </w:rPr>
              <w:t>2-3</w:t>
            </w:r>
            <w:r>
              <w:rPr>
                <w:rFonts w:hint="eastAsia" w:ascii="仿宋_GB2312" w:hAnsi="宋体" w:eastAsia="仿宋_GB2312" w:cs="宋体"/>
                <w:kern w:val="0"/>
                <w:sz w:val="20"/>
                <w:szCs w:val="20"/>
              </w:rPr>
              <w:t>个得</w:t>
            </w:r>
            <w:r>
              <w:rPr>
                <w:rFonts w:eastAsia="仿宋_GB2312"/>
                <w:kern w:val="0"/>
                <w:sz w:val="20"/>
                <w:szCs w:val="20"/>
              </w:rPr>
              <w:t>1</w:t>
            </w:r>
            <w:r>
              <w:rPr>
                <w:rFonts w:hint="eastAsia" w:ascii="仿宋_GB2312" w:hAnsi="宋体" w:eastAsia="仿宋_GB2312" w:cs="宋体"/>
                <w:kern w:val="0"/>
                <w:sz w:val="20"/>
                <w:szCs w:val="20"/>
              </w:rPr>
              <w:t>分；超过</w:t>
            </w:r>
            <w:r>
              <w:rPr>
                <w:rFonts w:eastAsia="仿宋_GB2312"/>
                <w:kern w:val="0"/>
                <w:sz w:val="20"/>
                <w:szCs w:val="20"/>
              </w:rPr>
              <w:t>3</w:t>
            </w:r>
            <w:r>
              <w:rPr>
                <w:rFonts w:hint="eastAsia" w:ascii="仿宋_GB2312" w:hAnsi="宋体" w:eastAsia="仿宋_GB2312" w:cs="宋体"/>
                <w:kern w:val="0"/>
                <w:sz w:val="20"/>
                <w:szCs w:val="20"/>
              </w:rPr>
              <w:t>个以上，不得分。（注：按照上级及区委区政府批准的项目资金性质变动如财政资金整合等情况不计入考核）</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部门预算审查　　（</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根据部门集体审查、区人大对预算草案审查结果进行考核</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无部门集体审查的不得分；被人大预算审查后提出并确需修改的错误，每个问题扣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目标明确　　（</w:t>
            </w:r>
            <w:r>
              <w:rPr>
                <w:rFonts w:eastAsia="仿宋_GB2312"/>
                <w:kern w:val="0"/>
                <w:sz w:val="20"/>
                <w:szCs w:val="20"/>
              </w:rPr>
              <w:t>8</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部门整体目标　　（</w:t>
            </w:r>
            <w:r>
              <w:rPr>
                <w:rFonts w:eastAsia="仿宋_GB2312"/>
                <w:kern w:val="0"/>
                <w:sz w:val="20"/>
                <w:szCs w:val="20"/>
              </w:rPr>
              <w:t>5</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部门全年整体工作目标编制完整、合理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有完整、明确、合理的部门整体工作方案得分，否则不得分</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重点项目目标　　（</w:t>
            </w:r>
            <w:r>
              <w:rPr>
                <w:rFonts w:eastAsia="仿宋_GB2312"/>
                <w:kern w:val="0"/>
                <w:sz w:val="20"/>
                <w:szCs w:val="20"/>
              </w:rPr>
              <w:t>3</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重大项目实施方案明确、量化、可操作</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有完整、明确、合理</w:t>
            </w:r>
            <w:r>
              <w:rPr>
                <w:rFonts w:hint="default" w:ascii="仿宋_GB2312" w:hAnsi="宋体" w:eastAsia="仿宋_GB2312" w:cs="宋体"/>
                <w:kern w:val="0"/>
                <w:sz w:val="20"/>
                <w:szCs w:val="20"/>
                <w:lang w:val="en-US"/>
              </w:rPr>
              <w:t>的</w:t>
            </w:r>
            <w:r>
              <w:rPr>
                <w:rFonts w:hint="eastAsia" w:ascii="仿宋_GB2312" w:hAnsi="宋体" w:eastAsia="仿宋_GB2312" w:cs="宋体"/>
                <w:kern w:val="0"/>
                <w:sz w:val="20"/>
                <w:szCs w:val="20"/>
              </w:rPr>
              <w:t>重点项目工作方案得分，否则不得分</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3</w:t>
            </w:r>
          </w:p>
        </w:tc>
      </w:tr>
      <w:tr>
        <w:trPr>
          <w:trHeight w:val="1300" w:hRule="atLeast"/>
        </w:trPr>
        <w:tc>
          <w:tcPr>
            <w:tcW w:w="132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r>
              <w:rPr>
                <w:rFonts w:eastAsia="仿宋_GB2312"/>
                <w:kern w:val="0"/>
                <w:sz w:val="20"/>
                <w:szCs w:val="20"/>
              </w:rPr>
              <w:t>24</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资金调度　　（</w:t>
            </w:r>
            <w:r>
              <w:rPr>
                <w:rFonts w:eastAsia="仿宋_GB2312"/>
                <w:kern w:val="0"/>
                <w:sz w:val="20"/>
                <w:szCs w:val="20"/>
              </w:rPr>
              <w:t>5</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支付进度控制率</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用以反映和考核部门（单位）预算执行的及时性和均衡性程度。</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支付进度率</w:t>
            </w:r>
            <w:r>
              <w:rPr>
                <w:rFonts w:eastAsia="仿宋_GB2312"/>
                <w:kern w:val="0"/>
                <w:sz w:val="20"/>
                <w:szCs w:val="20"/>
              </w:rPr>
              <w:t>=</w:t>
            </w:r>
            <w:r>
              <w:rPr>
                <w:rFonts w:hint="eastAsia" w:ascii="仿宋_GB2312" w:hAnsi="宋体" w:eastAsia="仿宋_GB2312" w:cs="宋体"/>
                <w:kern w:val="0"/>
                <w:sz w:val="20"/>
                <w:szCs w:val="20"/>
              </w:rPr>
              <w:t>（部门支付进度</w:t>
            </w:r>
            <w:r>
              <w:rPr>
                <w:rFonts w:eastAsia="仿宋_GB2312"/>
                <w:kern w:val="0"/>
                <w:sz w:val="20"/>
                <w:szCs w:val="20"/>
              </w:rPr>
              <w:t>/</w:t>
            </w:r>
            <w:r>
              <w:rPr>
                <w:rFonts w:hint="eastAsia" w:ascii="仿宋_GB2312" w:hAnsi="宋体" w:eastAsia="仿宋_GB2312" w:cs="宋体"/>
                <w:kern w:val="0"/>
                <w:sz w:val="20"/>
                <w:szCs w:val="20"/>
              </w:rPr>
              <w:t>区级平均支付进度）</w:t>
            </w:r>
            <w:r>
              <w:rPr>
                <w:rFonts w:eastAsia="仿宋_GB2312"/>
                <w:kern w:val="0"/>
                <w:sz w:val="20"/>
                <w:szCs w:val="20"/>
              </w:rPr>
              <w:t>×100%</w:t>
            </w:r>
            <w:r>
              <w:rPr>
                <w:rFonts w:hint="eastAsia" w:ascii="仿宋_GB2312" w:hAnsi="宋体" w:eastAsia="仿宋_GB2312" w:cs="宋体"/>
                <w:kern w:val="0"/>
                <w:sz w:val="20"/>
                <w:szCs w:val="20"/>
              </w:rPr>
              <w:t>，支付进度率控制在</w:t>
            </w:r>
            <w:r>
              <w:rPr>
                <w:rFonts w:eastAsia="仿宋_GB2312"/>
                <w:kern w:val="0"/>
                <w:sz w:val="20"/>
                <w:szCs w:val="20"/>
              </w:rPr>
              <w:t>90%—110%</w:t>
            </w:r>
            <w:r>
              <w:rPr>
                <w:rFonts w:hint="eastAsia" w:ascii="仿宋_GB2312" w:hAnsi="宋体" w:eastAsia="仿宋_GB2312" w:cs="宋体"/>
                <w:kern w:val="0"/>
                <w:sz w:val="20"/>
                <w:szCs w:val="20"/>
              </w:rPr>
              <w:t>间。</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部门支付进度：部门（单位）在某一时点的支出预算执行总数与年度支出预算数的比率。</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区级平均支付进度：在某时点上，本级财政的支付进度率，以序时进度代替。</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nil"/>
              <w:right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财政预算执行（</w:t>
            </w:r>
            <w:r>
              <w:rPr>
                <w:rFonts w:eastAsia="仿宋_GB2312"/>
                <w:kern w:val="0"/>
                <w:sz w:val="20"/>
                <w:szCs w:val="20"/>
              </w:rPr>
              <w:t>5</w:t>
            </w:r>
            <w:r>
              <w:rPr>
                <w:rFonts w:hint="eastAsia" w:ascii="仿宋_GB2312" w:hAnsi="宋体" w:eastAsia="仿宋_GB2312" w:cs="宋体"/>
                <w:kern w:val="0"/>
                <w:sz w:val="20"/>
                <w:szCs w:val="20"/>
              </w:rPr>
              <w:t>分）</w:t>
            </w:r>
          </w:p>
        </w:tc>
        <w:tc>
          <w:tcPr>
            <w:tcW w:w="1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部门（单位）本年度预算执行数与预算数的比率，用以反映和考核部门（单位）预算完成程度。</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w:t>
            </w:r>
            <w:r>
              <w:rPr>
                <w:rFonts w:eastAsia="仿宋_GB2312"/>
                <w:kern w:val="0"/>
                <w:sz w:val="20"/>
                <w:szCs w:val="20"/>
              </w:rPr>
              <w:t>=</w:t>
            </w:r>
            <w:r>
              <w:rPr>
                <w:rFonts w:hint="eastAsia" w:ascii="仿宋_GB2312" w:hAnsi="宋体" w:eastAsia="仿宋_GB2312" w:cs="宋体"/>
                <w:kern w:val="0"/>
                <w:sz w:val="20"/>
                <w:szCs w:val="20"/>
              </w:rPr>
              <w:t>（预算执行数</w:t>
            </w:r>
            <w:r>
              <w:rPr>
                <w:rFonts w:eastAsia="仿宋_GB2312"/>
                <w:kern w:val="0"/>
                <w:sz w:val="20"/>
                <w:szCs w:val="20"/>
              </w:rPr>
              <w:t>/</w:t>
            </w:r>
            <w:r>
              <w:rPr>
                <w:rFonts w:hint="eastAsia" w:ascii="仿宋_GB2312" w:hAnsi="宋体" w:eastAsia="仿宋_GB2312" w:cs="宋体"/>
                <w:kern w:val="0"/>
                <w:sz w:val="20"/>
                <w:szCs w:val="20"/>
              </w:rPr>
              <w:t>预算数）</w:t>
            </w:r>
            <w:r>
              <w:rPr>
                <w:rFonts w:eastAsia="仿宋_GB2312"/>
                <w:kern w:val="0"/>
                <w:sz w:val="20"/>
                <w:szCs w:val="20"/>
              </w:rPr>
              <w:t>×100%</w:t>
            </w:r>
            <w:r>
              <w:rPr>
                <w:rFonts w:hint="eastAsia" w:ascii="仿宋_GB2312" w:hAnsi="宋体" w:eastAsia="仿宋_GB2312" w:cs="宋体"/>
                <w:kern w:val="0"/>
                <w:sz w:val="20"/>
                <w:szCs w:val="20"/>
              </w:rPr>
              <w:t>。</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预算执行数：部门（单位）本年度实际完成的预算数，扣除结余数。</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预算数：财政部门批复的本年度部门（单位）预算数，含财政追加。</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预算刚性　　（</w:t>
            </w:r>
            <w:r>
              <w:rPr>
                <w:rFonts w:eastAsia="仿宋_GB2312"/>
                <w:kern w:val="0"/>
                <w:sz w:val="20"/>
                <w:szCs w:val="20"/>
              </w:rPr>
              <w:t>4</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　　（</w:t>
            </w:r>
            <w:r>
              <w:rPr>
                <w:rFonts w:eastAsia="仿宋_GB2312"/>
                <w:kern w:val="0"/>
                <w:sz w:val="20"/>
                <w:szCs w:val="20"/>
              </w:rPr>
              <w:t>4</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部门（单位）本年度预算调整数与预算数的比率，用以反映和考核部门（单位）预算的调整程度。</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w:t>
            </w:r>
            <w:r>
              <w:rPr>
                <w:rFonts w:eastAsia="仿宋_GB2312"/>
                <w:kern w:val="0"/>
                <w:sz w:val="20"/>
                <w:szCs w:val="20"/>
              </w:rPr>
              <w:t>=</w:t>
            </w:r>
            <w:r>
              <w:rPr>
                <w:rFonts w:hint="eastAsia" w:ascii="仿宋_GB2312" w:hAnsi="宋体" w:eastAsia="仿宋_GB2312" w:cs="宋体"/>
                <w:kern w:val="0"/>
                <w:sz w:val="20"/>
                <w:szCs w:val="20"/>
              </w:rPr>
              <w:t>（预算调整数</w:t>
            </w:r>
            <w:r>
              <w:rPr>
                <w:rFonts w:eastAsia="仿宋_GB2312"/>
                <w:kern w:val="0"/>
                <w:sz w:val="20"/>
                <w:szCs w:val="20"/>
              </w:rPr>
              <w:t>/</w:t>
            </w:r>
            <w:r>
              <w:rPr>
                <w:rFonts w:hint="eastAsia" w:ascii="仿宋_GB2312" w:hAnsi="宋体" w:eastAsia="仿宋_GB2312" w:cs="宋体"/>
                <w:kern w:val="0"/>
                <w:sz w:val="20"/>
                <w:szCs w:val="20"/>
              </w:rPr>
              <w:t>预算数）</w:t>
            </w:r>
            <w:r>
              <w:rPr>
                <w:rFonts w:eastAsia="仿宋_GB2312"/>
                <w:kern w:val="0"/>
                <w:sz w:val="20"/>
                <w:szCs w:val="20"/>
              </w:rPr>
              <w:t>×100%</w:t>
            </w:r>
            <w:r>
              <w:rPr>
                <w:rFonts w:hint="eastAsia" w:ascii="仿宋_GB2312" w:hAnsi="宋体" w:eastAsia="仿宋_GB2312" w:cs="宋体"/>
                <w:kern w:val="0"/>
                <w:sz w:val="20"/>
                <w:szCs w:val="20"/>
              </w:rPr>
              <w:t>，控制在</w:t>
            </w:r>
            <w:r>
              <w:rPr>
                <w:rFonts w:eastAsia="仿宋_GB2312"/>
                <w:kern w:val="0"/>
                <w:sz w:val="20"/>
                <w:szCs w:val="20"/>
              </w:rPr>
              <w:t>20%</w:t>
            </w:r>
            <w:r>
              <w:rPr>
                <w:rFonts w:hint="eastAsia" w:ascii="仿宋_GB2312" w:hAnsi="宋体" w:eastAsia="仿宋_GB2312" w:cs="宋体"/>
                <w:kern w:val="0"/>
                <w:sz w:val="20"/>
                <w:szCs w:val="20"/>
              </w:rPr>
              <w:t>以内。</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预算调整数：部门（单位）在本年度内涉及预算的追加、追减或结构调整的资金总和（因落实国家政策、发生不可抗力、上级部门或本级党委政府临时交办而产生的调整除外）。</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行政成本（</w:t>
            </w:r>
            <w:r>
              <w:rPr>
                <w:rFonts w:eastAsia="仿宋_GB2312"/>
                <w:kern w:val="0"/>
                <w:sz w:val="20"/>
                <w:szCs w:val="20"/>
              </w:rPr>
              <w:t>10</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szCs w:val="20"/>
              </w:rPr>
              <w:t>3</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反映部门人力资源控制情况</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szCs w:val="20"/>
              </w:rPr>
              <w:t>=</w:t>
            </w:r>
            <w:r>
              <w:rPr>
                <w:rFonts w:hint="eastAsia" w:ascii="仿宋_GB2312" w:hAnsi="宋体" w:eastAsia="仿宋_GB2312" w:cs="宋体"/>
                <w:kern w:val="0"/>
                <w:sz w:val="20"/>
                <w:szCs w:val="20"/>
              </w:rPr>
              <w:t>实际员工</w:t>
            </w:r>
            <w:r>
              <w:rPr>
                <w:rFonts w:eastAsia="仿宋_GB2312"/>
                <w:kern w:val="0"/>
                <w:sz w:val="20"/>
                <w:szCs w:val="20"/>
              </w:rPr>
              <w:t>/</w:t>
            </w:r>
            <w:r>
              <w:rPr>
                <w:rFonts w:hint="eastAsia" w:ascii="仿宋_GB2312" w:hAnsi="宋体" w:eastAsia="仿宋_GB2312" w:cs="宋体"/>
                <w:kern w:val="0"/>
                <w:sz w:val="20"/>
                <w:szCs w:val="20"/>
              </w:rPr>
              <w:t>部门编制数</w:t>
            </w:r>
            <w:r>
              <w:rPr>
                <w:rFonts w:eastAsia="仿宋_GB2312"/>
                <w:kern w:val="0"/>
                <w:sz w:val="20"/>
                <w:szCs w:val="20"/>
              </w:rPr>
              <w:t>*100%</w:t>
            </w:r>
            <w:r>
              <w:rPr>
                <w:rFonts w:hint="eastAsia" w:ascii="仿宋_GB2312" w:hAnsi="宋体" w:eastAsia="仿宋_GB2312" w:cs="宋体"/>
                <w:kern w:val="0"/>
                <w:sz w:val="20"/>
                <w:szCs w:val="20"/>
              </w:rPr>
              <w:t>，不得超过</w:t>
            </w:r>
            <w:r>
              <w:rPr>
                <w:rFonts w:eastAsia="仿宋_GB2312"/>
                <w:kern w:val="0"/>
                <w:sz w:val="20"/>
                <w:szCs w:val="20"/>
              </w:rPr>
              <w:t>100%</w:t>
            </w:r>
            <w:r>
              <w:rPr>
                <w:rFonts w:hint="eastAsia" w:ascii="仿宋_GB2312" w:hAnsi="宋体" w:eastAsia="仿宋_GB2312" w:cs="宋体"/>
                <w:kern w:val="0"/>
                <w:sz w:val="20"/>
                <w:szCs w:val="20"/>
              </w:rPr>
              <w:t>。</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3</w:t>
            </w:r>
          </w:p>
        </w:tc>
      </w:tr>
      <w:tr>
        <w:trPr>
          <w:trHeight w:val="1300"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一般性支出增长率（</w:t>
            </w:r>
            <w:r>
              <w:rPr>
                <w:rFonts w:eastAsia="仿宋_GB2312"/>
                <w:kern w:val="0"/>
                <w:sz w:val="20"/>
                <w:szCs w:val="20"/>
              </w:rPr>
              <w:t>3</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反映执行财政非生产性支出预算控制</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w:t>
            </w:r>
            <w:r>
              <w:rPr>
                <w:rFonts w:eastAsia="仿宋_GB2312"/>
                <w:kern w:val="0"/>
                <w:sz w:val="20"/>
                <w:szCs w:val="20"/>
              </w:rPr>
              <w:t>“</w:t>
            </w:r>
            <w:r>
              <w:rPr>
                <w:rFonts w:hint="eastAsia" w:ascii="仿宋_GB2312" w:hAnsi="宋体" w:eastAsia="仿宋_GB2312" w:cs="宋体"/>
                <w:kern w:val="0"/>
                <w:sz w:val="20"/>
                <w:szCs w:val="20"/>
              </w:rPr>
              <w:t>一般性支出</w:t>
            </w:r>
            <w:r>
              <w:rPr>
                <w:rFonts w:eastAsia="仿宋_GB2312"/>
                <w:kern w:val="0"/>
                <w:sz w:val="20"/>
                <w:szCs w:val="20"/>
              </w:rPr>
              <w:t>”</w:t>
            </w:r>
            <w:r>
              <w:rPr>
                <w:rFonts w:hint="eastAsia" w:ascii="仿宋_GB2312" w:hAnsi="宋体" w:eastAsia="仿宋_GB2312" w:cs="宋体"/>
                <w:kern w:val="0"/>
                <w:sz w:val="20"/>
                <w:szCs w:val="20"/>
              </w:rPr>
              <w:t>严格按财政管理规定执行，未完成控制要求不得分。</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szCs w:val="20"/>
              </w:rPr>
              <w:t>4</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反映部门财政资源耗费控制情况</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szCs w:val="20"/>
              </w:rPr>
              <w:t>=</w:t>
            </w:r>
            <w:r>
              <w:rPr>
                <w:rFonts w:hint="eastAsia" w:ascii="仿宋_GB2312" w:hAnsi="宋体" w:eastAsia="仿宋_GB2312" w:cs="宋体"/>
                <w:kern w:val="0"/>
                <w:sz w:val="20"/>
                <w:szCs w:val="20"/>
              </w:rPr>
              <w:t>部门年度公用经费总额</w:t>
            </w:r>
            <w:r>
              <w:rPr>
                <w:rFonts w:eastAsia="仿宋_GB2312"/>
                <w:kern w:val="0"/>
                <w:sz w:val="20"/>
                <w:szCs w:val="20"/>
              </w:rPr>
              <w:t>÷</w:t>
            </w:r>
            <w:r>
              <w:rPr>
                <w:rFonts w:hint="eastAsia" w:ascii="仿宋_GB2312" w:hAnsi="宋体" w:eastAsia="仿宋_GB2312" w:cs="宋体"/>
                <w:kern w:val="0"/>
                <w:sz w:val="20"/>
                <w:szCs w:val="20"/>
              </w:rPr>
              <w:t>编制内员工数</w:t>
            </w:r>
            <w:r>
              <w:rPr>
                <w:rFonts w:eastAsia="仿宋_GB2312"/>
                <w:kern w:val="0"/>
                <w:sz w:val="20"/>
                <w:szCs w:val="20"/>
              </w:rPr>
              <w:t>÷</w:t>
            </w:r>
            <w:r>
              <w:rPr>
                <w:rFonts w:hint="eastAsia" w:ascii="仿宋_GB2312" w:hAnsi="宋体" w:eastAsia="仿宋_GB2312" w:cs="宋体"/>
                <w:kern w:val="0"/>
                <w:sz w:val="20"/>
                <w:szCs w:val="20"/>
              </w:rPr>
              <w:t>区级人均公用经费</w:t>
            </w:r>
            <w:r>
              <w:rPr>
                <w:rFonts w:eastAsia="仿宋_GB2312"/>
                <w:kern w:val="0"/>
                <w:sz w:val="20"/>
                <w:szCs w:val="20"/>
              </w:rPr>
              <w:t>×100%</w:t>
            </w:r>
            <w:r>
              <w:rPr>
                <w:rFonts w:hint="eastAsia" w:ascii="仿宋_GB2312" w:hAnsi="宋体" w:eastAsia="仿宋_GB2312" w:cs="宋体"/>
                <w:kern w:val="0"/>
                <w:sz w:val="20"/>
                <w:szCs w:val="20"/>
              </w:rPr>
              <w:t>。</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300" w:hRule="atLeast"/>
        </w:trPr>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综合管理（</w:t>
            </w:r>
            <w:r>
              <w:rPr>
                <w:rFonts w:eastAsia="仿宋_GB2312"/>
                <w:kern w:val="0"/>
                <w:sz w:val="20"/>
                <w:szCs w:val="20"/>
              </w:rPr>
              <w:t>40</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债务管理　（</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债务还本付息（</w:t>
            </w:r>
            <w:r>
              <w:rPr>
                <w:rFonts w:eastAsia="仿宋_GB2312"/>
                <w:kern w:val="0"/>
                <w:sz w:val="20"/>
                <w:szCs w:val="20"/>
              </w:rPr>
              <w:t>2</w:t>
            </w:r>
            <w:r>
              <w:rPr>
                <w:rFonts w:hint="eastAsia" w:ascii="仿宋_GB2312" w:hAnsi="宋体" w:eastAsia="仿宋_GB2312" w:cs="宋体"/>
                <w:kern w:val="0"/>
                <w:sz w:val="20"/>
                <w:szCs w:val="20"/>
              </w:rPr>
              <w:t>）</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按规定做好政府性债务还本付息工作</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实际还本付息金额</w:t>
            </w:r>
            <w:r>
              <w:rPr>
                <w:rFonts w:eastAsia="仿宋_GB2312"/>
                <w:kern w:val="0"/>
                <w:sz w:val="20"/>
                <w:szCs w:val="20"/>
              </w:rPr>
              <w:t>÷</w:t>
            </w:r>
            <w:r>
              <w:rPr>
                <w:rFonts w:hint="eastAsia" w:ascii="仿宋_GB2312" w:hAnsi="宋体" w:eastAsia="仿宋_GB2312" w:cs="宋体"/>
                <w:kern w:val="0"/>
                <w:sz w:val="20"/>
                <w:szCs w:val="20"/>
              </w:rPr>
              <w:t>应付金额</w:t>
            </w:r>
            <w:r>
              <w:rPr>
                <w:rFonts w:eastAsia="仿宋_GB2312"/>
                <w:kern w:val="0"/>
                <w:sz w:val="20"/>
                <w:szCs w:val="20"/>
              </w:rPr>
              <w:t>×</w:t>
            </w:r>
            <w:r>
              <w:rPr>
                <w:rFonts w:hint="eastAsia" w:ascii="仿宋_GB2312" w:hAnsi="宋体" w:eastAsia="仿宋_GB2312" w:cs="宋体"/>
                <w:kern w:val="0"/>
                <w:sz w:val="20"/>
                <w:szCs w:val="20"/>
              </w:rPr>
              <w:t>指标分值</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非税收入管理情况　　（</w:t>
            </w:r>
            <w:r>
              <w:rPr>
                <w:rFonts w:eastAsia="仿宋_GB2312"/>
                <w:kern w:val="0"/>
                <w:sz w:val="20"/>
                <w:szCs w:val="20"/>
              </w:rPr>
              <w:t>4</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非税收入征收情况（</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是否按照规定的项目、标准、征收方式执收非税收入，非税收入项目设立的权限和缓减免的依据，对非税收入进行缓减免</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发现有未按规定的非税收入项目、标准执收非税收入或有违反规定缓减免非税收入的，发现一次扣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非税收入上缴情况（</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是否及时足额将非税收入缴入财政</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发现未及时足额将非税收入缴入财政的或者截留、挪用非税收入的，发现一次扣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政府采购执行管理　　（</w:t>
            </w:r>
            <w:r>
              <w:rPr>
                <w:rFonts w:eastAsia="仿宋_GB2312"/>
                <w:kern w:val="0"/>
                <w:sz w:val="20"/>
                <w:szCs w:val="20"/>
              </w:rPr>
              <w:t>4</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政府采购实施计划编制（</w:t>
            </w:r>
            <w:r>
              <w:rPr>
                <w:rFonts w:eastAsia="仿宋_GB2312"/>
                <w:kern w:val="0"/>
                <w:sz w:val="20"/>
                <w:szCs w:val="20"/>
              </w:rPr>
              <w:t>2</w:t>
            </w:r>
            <w:r>
              <w:rPr>
                <w:rFonts w:hint="eastAsia" w:ascii="仿宋_GB2312" w:hAnsi="宋体" w:eastAsia="仿宋_GB2312" w:cs="宋体"/>
                <w:kern w:val="0"/>
                <w:sz w:val="20"/>
                <w:szCs w:val="20"/>
              </w:rPr>
              <w:t>）</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实施计划与政府采购预算的一致性</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szCs w:val="20"/>
              </w:rPr>
              <w:t>1-</w:t>
            </w:r>
            <w:r>
              <w:rPr>
                <w:rFonts w:hint="eastAsia" w:ascii="仿宋_GB2312" w:hAnsi="宋体" w:eastAsia="仿宋_GB2312" w:cs="宋体"/>
                <w:kern w:val="0"/>
                <w:sz w:val="20"/>
                <w:szCs w:val="20"/>
              </w:rPr>
              <w:t>调整或细化资金</w:t>
            </w:r>
            <w:r>
              <w:rPr>
                <w:rFonts w:eastAsia="仿宋_GB2312"/>
                <w:kern w:val="0"/>
                <w:sz w:val="20"/>
                <w:szCs w:val="20"/>
              </w:rPr>
              <w:t>/</w:t>
            </w:r>
            <w:r>
              <w:rPr>
                <w:rFonts w:hint="eastAsia" w:ascii="仿宋_GB2312" w:hAnsi="宋体" w:eastAsia="仿宋_GB2312" w:cs="宋体"/>
                <w:kern w:val="0"/>
                <w:sz w:val="20"/>
                <w:szCs w:val="20"/>
              </w:rPr>
              <w:t>政府采购预算资金）</w:t>
            </w:r>
            <w:r>
              <w:rPr>
                <w:rFonts w:eastAsia="仿宋_GB2312"/>
                <w:kern w:val="0"/>
                <w:sz w:val="20"/>
                <w:szCs w:val="20"/>
              </w:rPr>
              <w:t>*</w:t>
            </w:r>
            <w:r>
              <w:rPr>
                <w:rFonts w:hint="eastAsia" w:ascii="仿宋_GB2312" w:hAnsi="宋体" w:eastAsia="仿宋_GB2312" w:cs="宋体"/>
                <w:kern w:val="0"/>
                <w:sz w:val="20"/>
                <w:szCs w:val="20"/>
              </w:rPr>
              <w:t>分值</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政府采购实施计划的执行（</w:t>
            </w:r>
            <w:r>
              <w:rPr>
                <w:rFonts w:eastAsia="仿宋_GB2312"/>
                <w:kern w:val="0"/>
                <w:sz w:val="20"/>
                <w:szCs w:val="20"/>
              </w:rPr>
              <w:t>2</w:t>
            </w:r>
            <w:r>
              <w:rPr>
                <w:rFonts w:hint="eastAsia" w:ascii="仿宋_GB2312" w:hAnsi="宋体" w:eastAsia="仿宋_GB2312" w:cs="宋体"/>
                <w:kern w:val="0"/>
                <w:sz w:val="20"/>
                <w:szCs w:val="20"/>
              </w:rPr>
              <w:t>）</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执行的实施计划与备案的实施计划的一致性</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szCs w:val="20"/>
              </w:rPr>
              <w:t>1-</w:t>
            </w:r>
            <w:r>
              <w:rPr>
                <w:rFonts w:hint="eastAsia" w:ascii="仿宋_GB2312" w:hAnsi="宋体" w:eastAsia="仿宋_GB2312" w:cs="宋体"/>
                <w:kern w:val="0"/>
                <w:sz w:val="20"/>
                <w:szCs w:val="20"/>
              </w:rPr>
              <w:t>实施计划备案后的调整或细化资金</w:t>
            </w:r>
            <w:r>
              <w:rPr>
                <w:rFonts w:eastAsia="仿宋_GB2312"/>
                <w:kern w:val="0"/>
                <w:sz w:val="20"/>
                <w:szCs w:val="20"/>
              </w:rPr>
              <w:t>/</w:t>
            </w:r>
            <w:r>
              <w:rPr>
                <w:rFonts w:hint="eastAsia" w:ascii="仿宋_GB2312" w:hAnsi="宋体" w:eastAsia="仿宋_GB2312" w:cs="宋体"/>
                <w:kern w:val="0"/>
                <w:sz w:val="20"/>
                <w:szCs w:val="20"/>
              </w:rPr>
              <w:t>实施计划备案后的资金）</w:t>
            </w:r>
            <w:r>
              <w:rPr>
                <w:rFonts w:eastAsia="仿宋_GB2312"/>
                <w:kern w:val="0"/>
                <w:sz w:val="20"/>
                <w:szCs w:val="20"/>
              </w:rPr>
              <w:t>*</w:t>
            </w:r>
            <w:r>
              <w:rPr>
                <w:rFonts w:hint="eastAsia" w:ascii="仿宋_GB2312" w:hAnsi="宋体" w:eastAsia="仿宋_GB2312" w:cs="宋体"/>
                <w:kern w:val="0"/>
                <w:sz w:val="20"/>
                <w:szCs w:val="20"/>
              </w:rPr>
              <w:t>分值</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　　（</w:t>
            </w:r>
            <w:r>
              <w:rPr>
                <w:rFonts w:eastAsia="仿宋_GB2312"/>
                <w:kern w:val="0"/>
                <w:sz w:val="20"/>
                <w:szCs w:val="20"/>
              </w:rPr>
              <w:t>6</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资产管理信息系统建设情况　　　（</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nil"/>
              <w:right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考核部门和单位将国有资产纳入资产信息系统管理情况</w:t>
            </w:r>
          </w:p>
        </w:tc>
        <w:tc>
          <w:tcPr>
            <w:tcW w:w="1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①未将所属单位国有资产纳入系统管理，每少一个单位扣</w:t>
            </w:r>
            <w:r>
              <w:rPr>
                <w:rFonts w:eastAsia="仿宋_GB2312"/>
                <w:kern w:val="0"/>
                <w:sz w:val="20"/>
                <w:szCs w:val="20"/>
              </w:rPr>
              <w:t>1</w:t>
            </w:r>
            <w:r>
              <w:rPr>
                <w:rFonts w:hint="eastAsia" w:ascii="仿宋_GB2312" w:hAnsi="宋体" w:eastAsia="仿宋_GB2312" w:cs="宋体"/>
                <w:kern w:val="0"/>
                <w:sz w:val="20"/>
                <w:szCs w:val="20"/>
              </w:rPr>
              <w:t>分。②未将资产变动情况及时录入系统，每次扣</w:t>
            </w:r>
            <w:r>
              <w:rPr>
                <w:rFonts w:eastAsia="仿宋_GB2312"/>
                <w:kern w:val="0"/>
                <w:sz w:val="20"/>
                <w:szCs w:val="20"/>
              </w:rPr>
              <w:t>0.5</w:t>
            </w:r>
            <w:r>
              <w:rPr>
                <w:rFonts w:hint="eastAsia" w:ascii="仿宋_GB2312" w:hAnsi="宋体" w:eastAsia="仿宋_GB2312" w:cs="宋体"/>
                <w:kern w:val="0"/>
                <w:sz w:val="20"/>
                <w:szCs w:val="20"/>
              </w:rPr>
              <w:t>分。③未落实人员负责管理系统，扣</w:t>
            </w:r>
            <w:r>
              <w:rPr>
                <w:rFonts w:eastAsia="仿宋_GB2312"/>
                <w:kern w:val="0"/>
                <w:sz w:val="20"/>
                <w:szCs w:val="20"/>
              </w:rPr>
              <w:t>1</w:t>
            </w:r>
            <w:r>
              <w:rPr>
                <w:rFonts w:hint="eastAsia" w:ascii="仿宋_GB2312" w:hAnsi="宋体" w:eastAsia="仿宋_GB2312" w:cs="宋体"/>
                <w:kern w:val="0"/>
                <w:sz w:val="20"/>
                <w:szCs w:val="20"/>
              </w:rPr>
              <w:t>分。</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行政事业单位资产清查开展情况（</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考核行政事业单位按要求及时、准确、全面开展资产清查工作情况</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①未在规定时间内完成资产清查任务扣</w:t>
            </w:r>
            <w:r>
              <w:rPr>
                <w:rFonts w:eastAsia="仿宋_GB2312"/>
                <w:kern w:val="0"/>
                <w:sz w:val="20"/>
                <w:szCs w:val="20"/>
              </w:rPr>
              <w:t>1</w:t>
            </w:r>
            <w:r>
              <w:rPr>
                <w:rFonts w:hint="eastAsia" w:ascii="仿宋_GB2312" w:hAnsi="宋体" w:eastAsia="仿宋_GB2312" w:cs="宋体"/>
                <w:kern w:val="0"/>
                <w:sz w:val="20"/>
                <w:szCs w:val="20"/>
              </w:rPr>
              <w:t>分。②资产清查结果与财政组织复核的结果误差超过</w:t>
            </w:r>
            <w:r>
              <w:rPr>
                <w:rFonts w:eastAsia="仿宋_GB2312"/>
                <w:kern w:val="0"/>
                <w:sz w:val="20"/>
                <w:szCs w:val="20"/>
              </w:rPr>
              <w:t>10%</w:t>
            </w:r>
            <w:r>
              <w:rPr>
                <w:rFonts w:hint="eastAsia" w:ascii="仿宋_GB2312" w:hAnsi="宋体" w:eastAsia="仿宋_GB2312" w:cs="宋体"/>
                <w:kern w:val="0"/>
                <w:sz w:val="20"/>
                <w:szCs w:val="20"/>
              </w:rPr>
              <w:t>的扣</w:t>
            </w:r>
            <w:r>
              <w:rPr>
                <w:rFonts w:eastAsia="仿宋_GB2312"/>
                <w:kern w:val="0"/>
                <w:sz w:val="20"/>
                <w:szCs w:val="20"/>
              </w:rPr>
              <w:t>1</w:t>
            </w:r>
            <w:r>
              <w:rPr>
                <w:rFonts w:hint="eastAsia" w:ascii="仿宋_GB2312" w:hAnsi="宋体" w:eastAsia="仿宋_GB2312" w:cs="宋体"/>
                <w:kern w:val="0"/>
                <w:sz w:val="20"/>
                <w:szCs w:val="20"/>
              </w:rPr>
              <w:t>分。③未及时按批复的清查结果进行账务调整扣</w:t>
            </w:r>
            <w:r>
              <w:rPr>
                <w:rFonts w:eastAsia="仿宋_GB2312"/>
                <w:kern w:val="0"/>
                <w:sz w:val="20"/>
                <w:szCs w:val="20"/>
              </w:rPr>
              <w:t>1</w:t>
            </w:r>
            <w:r>
              <w:rPr>
                <w:rFonts w:hint="eastAsia" w:ascii="仿宋_GB2312" w:hAnsi="宋体" w:eastAsia="仿宋_GB2312" w:cs="宋体"/>
                <w:kern w:val="0"/>
                <w:sz w:val="20"/>
                <w:szCs w:val="20"/>
              </w:rPr>
              <w:t>分。④未及时更新资产管理信息系统，导致系统资产数据与上报财政的资产清查结果不一致扣</w:t>
            </w:r>
            <w:r>
              <w:rPr>
                <w:rFonts w:eastAsia="仿宋_GB2312"/>
                <w:kern w:val="0"/>
                <w:sz w:val="20"/>
                <w:szCs w:val="20"/>
              </w:rPr>
              <w:t>1</w:t>
            </w:r>
            <w:r>
              <w:rPr>
                <w:rFonts w:hint="eastAsia" w:ascii="仿宋_GB2312" w:hAnsi="宋体" w:eastAsia="仿宋_GB2312" w:cs="宋体"/>
                <w:kern w:val="0"/>
                <w:sz w:val="20"/>
                <w:szCs w:val="20"/>
              </w:rPr>
              <w:t>分。</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行政事业单位资产报表上报情况（</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考核行政事业单位上报国有资产报表数据的真实性、准确性、全面性</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①未落实专人负责资产报表，未及时上报资产报表扣</w:t>
            </w:r>
            <w:r>
              <w:rPr>
                <w:rFonts w:eastAsia="仿宋_GB2312"/>
                <w:kern w:val="0"/>
                <w:sz w:val="20"/>
                <w:szCs w:val="20"/>
              </w:rPr>
              <w:t>1</w:t>
            </w:r>
            <w:r>
              <w:rPr>
                <w:rFonts w:hint="eastAsia" w:ascii="仿宋_GB2312" w:hAnsi="宋体" w:eastAsia="仿宋_GB2312" w:cs="宋体"/>
                <w:kern w:val="0"/>
                <w:sz w:val="20"/>
                <w:szCs w:val="20"/>
              </w:rPr>
              <w:t>分。②报表填报不规范，内容不完整，数据不真实，扣</w:t>
            </w:r>
            <w:r>
              <w:rPr>
                <w:rFonts w:eastAsia="仿宋_GB2312"/>
                <w:kern w:val="0"/>
                <w:sz w:val="20"/>
                <w:szCs w:val="20"/>
              </w:rPr>
              <w:t>1</w:t>
            </w:r>
            <w:r>
              <w:rPr>
                <w:rFonts w:hint="eastAsia" w:ascii="仿宋_GB2312" w:hAnsi="宋体" w:eastAsia="仿宋_GB2312" w:cs="宋体"/>
                <w:kern w:val="0"/>
                <w:sz w:val="20"/>
                <w:szCs w:val="20"/>
              </w:rPr>
              <w:t>分。③未提交分析报告，对资产变动情况未作分析说明，扣</w:t>
            </w:r>
            <w:r>
              <w:rPr>
                <w:rFonts w:eastAsia="仿宋_GB2312"/>
                <w:kern w:val="0"/>
                <w:sz w:val="20"/>
                <w:szCs w:val="20"/>
              </w:rPr>
              <w:t>1</w:t>
            </w:r>
            <w:r>
              <w:rPr>
                <w:rFonts w:hint="eastAsia" w:ascii="仿宋_GB2312" w:hAnsi="宋体" w:eastAsia="仿宋_GB2312" w:cs="宋体"/>
                <w:kern w:val="0"/>
                <w:sz w:val="20"/>
                <w:szCs w:val="20"/>
              </w:rPr>
              <w:t>分。</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nil"/>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内控制度管理（</w:t>
            </w:r>
            <w:r>
              <w:rPr>
                <w:rFonts w:eastAsia="仿宋_GB2312"/>
                <w:kern w:val="0"/>
                <w:sz w:val="20"/>
                <w:szCs w:val="20"/>
              </w:rPr>
              <w:t>4</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内部控制度健全完整（</w:t>
            </w:r>
            <w:r>
              <w:rPr>
                <w:rFonts w:eastAsia="仿宋_GB2312"/>
                <w:kern w:val="0"/>
                <w:sz w:val="20"/>
                <w:szCs w:val="20"/>
              </w:rPr>
              <w:t>4</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考核部门内部控制制度的设置和执行情况</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内部控制制度健全完整并执行良好的得分，否则不得分。在本年度内因内控制度不健全或执行不到位，造成单位出现廉政风险或发生重大责任事故的不得分。</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信息公开　　（</w:t>
            </w:r>
            <w:r>
              <w:rPr>
                <w:rFonts w:eastAsia="仿宋_GB2312"/>
                <w:kern w:val="0"/>
                <w:sz w:val="20"/>
                <w:szCs w:val="20"/>
              </w:rPr>
              <w:t>6</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预算公开（</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除涉密信息外，各部门要在财政部门批复后二十日内向社会公开本部门预算（含所有财政资金安排的</w:t>
            </w:r>
            <w:r>
              <w:rPr>
                <w:rFonts w:eastAsia="仿宋_GB2312"/>
                <w:kern w:val="0"/>
                <w:sz w:val="20"/>
                <w:szCs w:val="20"/>
              </w:rPr>
              <w:t>“</w:t>
            </w:r>
            <w:r>
              <w:rPr>
                <w:rFonts w:hint="eastAsia" w:ascii="仿宋_GB2312" w:hAnsi="宋体" w:eastAsia="仿宋_GB2312" w:cs="宋体"/>
                <w:kern w:val="0"/>
                <w:sz w:val="20"/>
                <w:szCs w:val="20"/>
              </w:rPr>
              <w:t>三公</w:t>
            </w:r>
            <w:r>
              <w:rPr>
                <w:rFonts w:eastAsia="仿宋_GB2312"/>
                <w:kern w:val="0"/>
                <w:sz w:val="20"/>
                <w:szCs w:val="20"/>
              </w:rPr>
              <w:t>”</w:t>
            </w:r>
            <w:r>
              <w:rPr>
                <w:rFonts w:hint="eastAsia" w:ascii="仿宋_GB2312" w:hAnsi="宋体" w:eastAsia="仿宋_GB2312" w:cs="宋体"/>
                <w:kern w:val="0"/>
                <w:sz w:val="20"/>
                <w:szCs w:val="20"/>
              </w:rPr>
              <w:t>经费、机关运行经费的安排、使用情况等）</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按规定公开预算，未按要求公开的，发现一处扣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决算公开（</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除涉密信息外，各部门要在财政部门批复二十日内向社会公开本部门决算（含所有财政资金安排的</w:t>
            </w:r>
            <w:r>
              <w:rPr>
                <w:rFonts w:eastAsia="仿宋_GB2312"/>
                <w:kern w:val="0"/>
                <w:sz w:val="20"/>
                <w:szCs w:val="20"/>
              </w:rPr>
              <w:t>“</w:t>
            </w:r>
            <w:r>
              <w:rPr>
                <w:rFonts w:hint="eastAsia" w:ascii="仿宋_GB2312" w:hAnsi="宋体" w:eastAsia="仿宋_GB2312" w:cs="宋体"/>
                <w:kern w:val="0"/>
                <w:sz w:val="20"/>
                <w:szCs w:val="20"/>
              </w:rPr>
              <w:t>三公</w:t>
            </w:r>
            <w:r>
              <w:rPr>
                <w:rFonts w:eastAsia="仿宋_GB2312"/>
                <w:kern w:val="0"/>
                <w:sz w:val="20"/>
                <w:szCs w:val="20"/>
              </w:rPr>
              <w:t>”</w:t>
            </w:r>
            <w:r>
              <w:rPr>
                <w:rFonts w:hint="eastAsia" w:ascii="仿宋_GB2312" w:hAnsi="宋体" w:eastAsia="仿宋_GB2312" w:cs="宋体"/>
                <w:kern w:val="0"/>
                <w:sz w:val="20"/>
                <w:szCs w:val="20"/>
              </w:rPr>
              <w:t>经费、机关运行经费的安排、使用情况等）</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绩效信息公开　　（</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按要求公开部门整体支出绩效自评报告及其他按要求应公开的绩效信息</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300" w:hRule="atLeast"/>
        </w:trPr>
        <w:tc>
          <w:tcPr>
            <w:tcW w:w="132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综合管理（</w:t>
            </w:r>
            <w:r>
              <w:rPr>
                <w:kern w:val="0"/>
                <w:sz w:val="20"/>
                <w:szCs w:val="20"/>
              </w:rPr>
              <w:t>40</w:t>
            </w:r>
            <w:r>
              <w:rPr>
                <w:rFonts w:hint="eastAsia" w:ascii="宋体" w:hAnsi="宋体" w:cs="宋体"/>
                <w:kern w:val="0"/>
                <w:sz w:val="20"/>
                <w:szCs w:val="20"/>
              </w:rPr>
              <w:t>分）</w:t>
            </w:r>
          </w:p>
        </w:tc>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　　（</w:t>
            </w:r>
            <w:r>
              <w:rPr>
                <w:rFonts w:eastAsia="仿宋_GB2312"/>
                <w:kern w:val="0"/>
                <w:sz w:val="20"/>
                <w:szCs w:val="20"/>
              </w:rPr>
              <w:t>8</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评价项目覆盖率（</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部门实施绩效评价项目数量占部门管理专项预算项目数量的比重，部门申报绩效目标项目数量的比重，用以反映和考核部门实施绩效评价项目资金覆盖情况</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评价覆盖率</w:t>
            </w:r>
            <w:r>
              <w:rPr>
                <w:rFonts w:eastAsia="仿宋_GB2312"/>
                <w:kern w:val="0"/>
                <w:sz w:val="20"/>
                <w:szCs w:val="20"/>
              </w:rPr>
              <w:t>=</w:t>
            </w:r>
            <w:r>
              <w:rPr>
                <w:rFonts w:hint="eastAsia" w:ascii="仿宋_GB2312" w:hAnsi="宋体" w:eastAsia="仿宋_GB2312" w:cs="宋体"/>
                <w:kern w:val="0"/>
                <w:sz w:val="20"/>
                <w:szCs w:val="20"/>
              </w:rPr>
              <w:t>实施绩效评价项目数量</w:t>
            </w:r>
            <w:r>
              <w:rPr>
                <w:rFonts w:eastAsia="仿宋_GB2312"/>
                <w:kern w:val="0"/>
                <w:sz w:val="20"/>
                <w:szCs w:val="20"/>
              </w:rPr>
              <w:t>/</w:t>
            </w:r>
            <w:r>
              <w:rPr>
                <w:rFonts w:hint="eastAsia" w:ascii="仿宋_GB2312" w:hAnsi="宋体" w:eastAsia="仿宋_GB2312" w:cs="宋体"/>
                <w:kern w:val="0"/>
                <w:sz w:val="20"/>
                <w:szCs w:val="20"/>
              </w:rPr>
              <w:t>部门管理专项预算项目数量</w:t>
            </w:r>
            <w:r>
              <w:rPr>
                <w:rFonts w:eastAsia="仿宋_GB2312"/>
                <w:kern w:val="0"/>
                <w:sz w:val="20"/>
                <w:szCs w:val="20"/>
              </w:rPr>
              <w:t>×100%</w:t>
            </w:r>
            <w:r>
              <w:rPr>
                <w:rFonts w:hint="eastAsia" w:ascii="仿宋_GB2312" w:hAnsi="宋体" w:eastAsia="仿宋_GB2312" w:cs="宋体"/>
                <w:kern w:val="0"/>
                <w:sz w:val="20"/>
                <w:szCs w:val="20"/>
              </w:rPr>
              <w:t>，大于</w:t>
            </w:r>
            <w:r>
              <w:rPr>
                <w:rFonts w:eastAsia="仿宋_GB2312"/>
                <w:kern w:val="0"/>
                <w:sz w:val="20"/>
                <w:szCs w:val="20"/>
              </w:rPr>
              <w:t>50%</w:t>
            </w:r>
            <w:r>
              <w:rPr>
                <w:rFonts w:hint="eastAsia" w:ascii="仿宋_GB2312" w:hAnsi="宋体" w:eastAsia="仿宋_GB2312" w:cs="宋体"/>
                <w:kern w:val="0"/>
                <w:sz w:val="20"/>
                <w:szCs w:val="20"/>
              </w:rPr>
              <w:t>，得满分。</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评价层次（</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部门（单位）是否对下级预算单位开展整体绩效评价</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实施评价下级预算单位的得分，否则不得分</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0</w:t>
            </w:r>
          </w:p>
        </w:tc>
      </w:tr>
      <w:tr>
        <w:trPr>
          <w:trHeight w:val="1300"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评价结果利用率（</w:t>
            </w:r>
            <w:r>
              <w:rPr>
                <w:rFonts w:eastAsia="仿宋_GB2312"/>
                <w:kern w:val="0"/>
                <w:sz w:val="20"/>
                <w:szCs w:val="20"/>
              </w:rPr>
              <w:t>4</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部门是否根据绩效评价发现问题制定整改措施，并整改落实到位</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r>
              <w:rPr>
                <w:rFonts w:eastAsia="仿宋_GB2312"/>
                <w:kern w:val="0"/>
                <w:sz w:val="20"/>
                <w:szCs w:val="20"/>
              </w:rPr>
              <w:t>=</w:t>
            </w:r>
            <w:r>
              <w:rPr>
                <w:rFonts w:hint="eastAsia" w:ascii="仿宋_GB2312" w:hAnsi="宋体" w:eastAsia="仿宋_GB2312" w:cs="宋体"/>
                <w:kern w:val="0"/>
                <w:sz w:val="20"/>
                <w:szCs w:val="20"/>
              </w:rPr>
              <w:t>部门实际制定整改措施项目数量</w:t>
            </w:r>
            <w:r>
              <w:rPr>
                <w:rFonts w:eastAsia="仿宋_GB2312"/>
                <w:kern w:val="0"/>
                <w:sz w:val="20"/>
                <w:szCs w:val="20"/>
              </w:rPr>
              <w:t>/</w:t>
            </w:r>
            <w:r>
              <w:rPr>
                <w:rFonts w:hint="eastAsia" w:ascii="仿宋_GB2312" w:hAnsi="宋体" w:eastAsia="仿宋_GB2312" w:cs="宋体"/>
                <w:kern w:val="0"/>
                <w:sz w:val="20"/>
                <w:szCs w:val="20"/>
              </w:rPr>
              <w:t>应制定整改措施的项目数量</w:t>
            </w:r>
            <w:r>
              <w:rPr>
                <w:rFonts w:eastAsia="仿宋_GB2312"/>
                <w:kern w:val="0"/>
                <w:sz w:val="20"/>
                <w:szCs w:val="20"/>
              </w:rPr>
              <w:t>×100%</w:t>
            </w:r>
            <w:r>
              <w:rPr>
                <w:rFonts w:hint="eastAsia" w:ascii="仿宋_GB2312" w:hAnsi="宋体" w:eastAsia="仿宋_GB2312" w:cs="宋体"/>
                <w:kern w:val="0"/>
                <w:sz w:val="20"/>
                <w:szCs w:val="20"/>
              </w:rPr>
              <w:t>。</w:t>
            </w:r>
          </w:p>
        </w:tc>
        <w:tc>
          <w:tcPr>
            <w:tcW w:w="6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财政监督　　（</w:t>
            </w:r>
            <w:r>
              <w:rPr>
                <w:rFonts w:eastAsia="仿宋_GB2312"/>
                <w:kern w:val="0"/>
                <w:sz w:val="20"/>
                <w:szCs w:val="20"/>
              </w:rPr>
              <w:t>6</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是否按要求开展自查自纠（</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根据相关自查自纠报告、报表报送时效和质量进行考核</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未在规定时间内报送自查自纠相关材料（包括：纸质和电子版）的，扣</w:t>
            </w:r>
            <w:r>
              <w:rPr>
                <w:rFonts w:eastAsia="仿宋_GB2312"/>
                <w:kern w:val="0"/>
                <w:sz w:val="20"/>
                <w:szCs w:val="20"/>
              </w:rPr>
              <w:t>0.5</w:t>
            </w:r>
            <w:r>
              <w:rPr>
                <w:rFonts w:hint="eastAsia" w:ascii="仿宋_GB2312" w:hAnsi="宋体" w:eastAsia="仿宋_GB2312" w:cs="宋体"/>
                <w:kern w:val="0"/>
                <w:sz w:val="20"/>
                <w:szCs w:val="20"/>
              </w:rPr>
              <w:t>分；报告内容不完整，扣</w:t>
            </w:r>
            <w:r>
              <w:rPr>
                <w:rFonts w:eastAsia="仿宋_GB2312"/>
                <w:kern w:val="0"/>
                <w:sz w:val="20"/>
                <w:szCs w:val="20"/>
              </w:rPr>
              <w:t>1</w:t>
            </w:r>
            <w:r>
              <w:rPr>
                <w:rFonts w:hint="eastAsia" w:ascii="仿宋_GB2312" w:hAnsi="宋体" w:eastAsia="仿宋_GB2312" w:cs="宋体"/>
                <w:kern w:val="0"/>
                <w:sz w:val="20"/>
                <w:szCs w:val="20"/>
              </w:rPr>
              <w:t>分；报表质量差（如：数据、逻辑、勾稽关系错误）等扣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680" w:type="dxa"/>
            <w:tcBorders>
              <w:top w:val="nil"/>
              <w:left w:val="nil"/>
              <w:bottom w:val="single" w:color="auto" w:sz="4" w:space="0"/>
              <w:right w:val="single" w:color="auto" w:sz="4" w:space="0"/>
            </w:tcBorders>
            <w:vAlign w:val="bottom"/>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重点检查发现违规违纪问题　　　（</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根据检查组提供的工作底稿、检查报告等资料进行考核</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专项检查发现的违纪违规问题，每个问题扣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680" w:type="dxa"/>
            <w:tcBorders>
              <w:top w:val="nil"/>
              <w:left w:val="nil"/>
              <w:bottom w:val="single" w:color="auto" w:sz="4" w:space="0"/>
              <w:right w:val="single" w:color="auto" w:sz="4" w:space="0"/>
            </w:tcBorders>
            <w:vAlign w:val="bottom"/>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存在问题整改是否到位（</w:t>
            </w:r>
            <w:r>
              <w:rPr>
                <w:rFonts w:eastAsia="仿宋_GB2312"/>
                <w:kern w:val="0"/>
                <w:sz w:val="20"/>
                <w:szCs w:val="20"/>
              </w:rPr>
              <w:t>2</w:t>
            </w:r>
            <w:r>
              <w:rPr>
                <w:rFonts w:hint="eastAsia" w:ascii="仿宋_GB2312" w:hAnsi="宋体" w:eastAsia="仿宋_GB2312" w:cs="宋体"/>
                <w:kern w:val="0"/>
                <w:sz w:val="20"/>
                <w:szCs w:val="20"/>
              </w:rPr>
              <w:t>分）</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根据相关整改报告、凭证依据等相关证明材料进行考核</w:t>
            </w:r>
          </w:p>
        </w:tc>
        <w:tc>
          <w:tcPr>
            <w:tcW w:w="1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未在规定时间内完成整改，并提供相关证明材料的，每个问题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680" w:type="dxa"/>
            <w:tcBorders>
              <w:top w:val="nil"/>
              <w:left w:val="nil"/>
              <w:bottom w:val="single" w:color="auto" w:sz="4" w:space="0"/>
              <w:right w:val="single" w:color="auto" w:sz="4" w:space="0"/>
            </w:tcBorders>
            <w:vAlign w:val="bottom"/>
          </w:tcPr>
          <w:p>
            <w:pPr>
              <w:widowControl/>
              <w:jc w:val="right"/>
              <w:rPr>
                <w:rFonts w:hint="eastAsia" w:ascii="宋体" w:hAnsi="宋体" w:cs="宋体"/>
                <w:kern w:val="0"/>
                <w:sz w:val="20"/>
                <w:szCs w:val="20"/>
              </w:rPr>
            </w:pPr>
            <w:r>
              <w:rPr>
                <w:rFonts w:hint="eastAsia" w:ascii="宋体" w:hAnsi="宋体" w:cs="宋体"/>
                <w:kern w:val="0"/>
                <w:sz w:val="20"/>
                <w:szCs w:val="20"/>
              </w:rPr>
              <w:t>2</w:t>
            </w:r>
          </w:p>
        </w:tc>
      </w:tr>
      <w:tr>
        <w:trPr>
          <w:trHeight w:val="1300" w:hRule="atLeast"/>
        </w:trPr>
        <w:tc>
          <w:tcPr>
            <w:tcW w:w="132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整体效益（</w:t>
            </w:r>
            <w:r>
              <w:rPr>
                <w:rFonts w:eastAsia="仿宋_GB2312"/>
                <w:kern w:val="0"/>
                <w:sz w:val="20"/>
                <w:szCs w:val="20"/>
              </w:rPr>
              <w:t>20</w:t>
            </w:r>
            <w:r>
              <w:rPr>
                <w:rFonts w:hint="eastAsia" w:ascii="仿宋_GB2312" w:hAnsi="宋体" w:eastAsia="仿宋_GB2312" w:cs="宋体"/>
                <w:kern w:val="0"/>
                <w:sz w:val="20"/>
                <w:szCs w:val="20"/>
              </w:rPr>
              <w:t>分）</w:t>
            </w:r>
          </w:p>
        </w:tc>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部门整体成效（</w:t>
            </w:r>
            <w:r>
              <w:rPr>
                <w:rFonts w:eastAsia="仿宋_GB2312"/>
                <w:kern w:val="0"/>
                <w:sz w:val="20"/>
                <w:szCs w:val="20"/>
              </w:rPr>
              <w:t>20</w:t>
            </w:r>
            <w:r>
              <w:rPr>
                <w:rFonts w:hint="eastAsia" w:ascii="仿宋_GB2312" w:hAnsi="宋体" w:eastAsia="仿宋_GB2312" w:cs="宋体"/>
                <w:kern w:val="0"/>
                <w:sz w:val="20"/>
                <w:szCs w:val="20"/>
              </w:rPr>
              <w:t>分）</w:t>
            </w:r>
          </w:p>
        </w:tc>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根据部门单位特点针对性设置</w:t>
            </w:r>
          </w:p>
        </w:tc>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主要考核该部门履职尽责、工作先进性、促进发展、服务对象及社会公众满意度。</w:t>
            </w:r>
          </w:p>
        </w:tc>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特性指标设置不得低于</w:t>
            </w:r>
            <w:r>
              <w:rPr>
                <w:rFonts w:eastAsia="仿宋_GB2312"/>
                <w:kern w:val="0"/>
                <w:sz w:val="20"/>
                <w:szCs w:val="20"/>
              </w:rPr>
              <w:t>3</w:t>
            </w:r>
            <w:r>
              <w:rPr>
                <w:rFonts w:hint="eastAsia" w:ascii="仿宋_GB2312" w:hAnsi="宋体" w:eastAsia="仿宋_GB2312" w:cs="宋体"/>
                <w:kern w:val="0"/>
                <w:sz w:val="20"/>
                <w:szCs w:val="20"/>
              </w:rPr>
              <w:t>个。若该部门出现重大安全责任事故、财经违法乱纪现象、群体事件、重大不良社会影响等状况时，此项考核不得分。</w:t>
            </w:r>
          </w:p>
        </w:tc>
        <w:tc>
          <w:tcPr>
            <w:tcW w:w="680" w:type="dxa"/>
            <w:vMerge w:val="restart"/>
            <w:tcBorders>
              <w:top w:val="nil"/>
              <w:left w:val="single" w:color="auto" w:sz="4" w:space="0"/>
              <w:bottom w:val="single" w:color="000000" w:sz="4" w:space="0"/>
              <w:right w:val="single" w:color="auto" w:sz="4" w:space="0"/>
            </w:tcBorders>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18</w:t>
            </w: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1300" w:hRule="atLeast"/>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313" w:hRule="atLeast"/>
        </w:trPr>
        <w:tc>
          <w:tcPr>
            <w:tcW w:w="13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合计</w:t>
            </w:r>
          </w:p>
        </w:tc>
        <w:tc>
          <w:tcPr>
            <w:tcW w:w="1720" w:type="dxa"/>
            <w:tcBorders>
              <w:top w:val="nil"/>
              <w:left w:val="nil"/>
              <w:bottom w:val="single" w:color="auto" w:sz="4" w:space="0"/>
              <w:right w:val="single" w:color="auto" w:sz="4" w:space="0"/>
            </w:tcBorders>
            <w:vAlign w:val="center"/>
          </w:tcPr>
          <w:p>
            <w:pPr>
              <w:widowControl/>
              <w:jc w:val="center"/>
              <w:rPr>
                <w:rFonts w:hint="eastAsia"/>
                <w:kern w:val="0"/>
                <w:sz w:val="20"/>
                <w:szCs w:val="20"/>
              </w:rPr>
            </w:pPr>
            <w:r>
              <w:rPr>
                <w:kern w:val="0"/>
                <w:sz w:val="20"/>
                <w:szCs w:val="20"/>
              </w:rPr>
              <w:t>　</w:t>
            </w:r>
          </w:p>
        </w:tc>
        <w:tc>
          <w:tcPr>
            <w:tcW w:w="17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17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1720" w:type="dxa"/>
            <w:tcBorders>
              <w:top w:val="nil"/>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93</w:t>
            </w:r>
          </w:p>
        </w:tc>
      </w:tr>
    </w:tbl>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（二）绩效分析</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1、项目决策</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医保局5个项目经过了合理规划，严密预算，科学分配，同时制定了详细的日常管理制度。5个项目均为常年运行项目，立项依据年初财政预算8</w:t>
      </w:r>
      <w:r>
        <w:rPr>
          <w:rFonts w:ascii="仿宋" w:hAnsi="仿宋" w:eastAsia="仿宋" w:cs="仿宋_GB2312"/>
          <w:sz w:val="28"/>
          <w:szCs w:val="28"/>
        </w:rPr>
        <w:t>8</w:t>
      </w:r>
      <w:r>
        <w:rPr>
          <w:rFonts w:hint="eastAsia" w:ascii="仿宋" w:hAnsi="仿宋" w:eastAsia="仿宋" w:cs="仿宋_GB2312"/>
          <w:sz w:val="28"/>
          <w:szCs w:val="28"/>
        </w:rPr>
        <w:t>万元，按项目实施进度合理的进行国库集中支付，确保阶段性的达到预算效果。定期将预估效果与实际情况进行对比分析，确保最终目标的实现</w:t>
      </w:r>
      <w:r>
        <w:rPr>
          <w:rFonts w:ascii="仿宋" w:hAnsi="仿宋" w:eastAsia="仿宋" w:cs="仿宋_GB2312"/>
          <w:sz w:val="28"/>
          <w:szCs w:val="28"/>
        </w:rPr>
        <w:t>。</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2、项目管理</w:t>
      </w:r>
    </w:p>
    <w:p>
      <w:pPr>
        <w:adjustRightInd w:val="0"/>
        <w:snapToGrid w:val="0"/>
        <w:spacing w:line="560" w:lineRule="exact"/>
        <w:ind w:firstLine="720"/>
        <w:rPr>
          <w:rFonts w:hint="eastAsia" w:ascii="仿宋" w:hAnsi="仿宋" w:eastAsia="仿宋"/>
          <w:sz w:val="28"/>
          <w:szCs w:val="28"/>
          <w:lang w:val="zh-CN"/>
        </w:rPr>
      </w:pPr>
      <w:r>
        <w:rPr>
          <w:rFonts w:hint="eastAsia" w:ascii="仿宋" w:hAnsi="仿宋" w:eastAsia="仿宋"/>
          <w:sz w:val="28"/>
          <w:szCs w:val="28"/>
          <w:lang w:val="zh-CN"/>
        </w:rPr>
        <w:t>建立了专项内部控制制度，细化了报账流程，保证经费使用合规。成立了由股室股长牵头，专人负责的项目管理制度，随时对资金使用情况进行监督。同时，按照行政单位会计制度进行会计核算，对已发生的事项及时进行账务处理。对照项目资金管理办法，严格执行财务管理制度，确保会计核算的规范性。</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3、项目绩效</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医保局按照专项资金管理制度要求，做到专款专用，按照实际工作需要合理使用专项资金，从经济效益、社会效益、可持续发展效益出发，科学进行</w:t>
      </w:r>
      <w:r>
        <w:rPr>
          <w:rFonts w:ascii="仿宋" w:hAnsi="仿宋" w:eastAsia="仿宋" w:cs="仿宋_GB2312"/>
          <w:sz w:val="28"/>
          <w:szCs w:val="28"/>
        </w:rPr>
        <w:t>资金分配</w:t>
      </w:r>
      <w:r>
        <w:rPr>
          <w:rFonts w:hint="eastAsia" w:ascii="仿宋" w:hAnsi="仿宋" w:eastAsia="仿宋" w:cs="仿宋_GB2312"/>
          <w:sz w:val="28"/>
          <w:szCs w:val="28"/>
        </w:rPr>
        <w:t>，确保各项效益最大化。</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三</w:t>
      </w:r>
      <w:r>
        <w:rPr>
          <w:rFonts w:ascii="仿宋" w:hAnsi="仿宋" w:eastAsia="仿宋" w:cs="仿宋_GB2312"/>
          <w:sz w:val="28"/>
          <w:szCs w:val="28"/>
        </w:rPr>
        <w:t>、存在主要问题</w:t>
      </w:r>
      <w:r>
        <w:rPr>
          <w:rFonts w:hint="eastAsia" w:ascii="仿宋" w:hAnsi="仿宋" w:eastAsia="仿宋" w:cs="仿宋_GB2312"/>
          <w:sz w:val="28"/>
          <w:szCs w:val="28"/>
        </w:rPr>
        <w:t xml:space="preserve"> </w:t>
      </w:r>
      <w:r>
        <w:rPr>
          <w:rFonts w:ascii="仿宋" w:hAnsi="仿宋" w:eastAsia="仿宋" w:cs="仿宋_GB2312"/>
          <w:sz w:val="28"/>
          <w:szCs w:val="28"/>
        </w:rPr>
        <w:t xml:space="preserve"> </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1、财务管理制度需更加完善，进一步减少专项资金支付审核漏洞。</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、城乡居民保险档案资料的整理任务较重，可存放的空间较少。</w:t>
      </w:r>
    </w:p>
    <w:p>
      <w:pPr>
        <w:spacing w:line="580" w:lineRule="exact"/>
        <w:ind w:firstLine="560" w:firstLineChars="200"/>
        <w:rPr>
          <w:rFonts w:hint="eastAsia"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、辖区内定点医疗机构数量多，而相关监督稽核人员短缺，监督配套设备落后，且相关工作经费近年来不曾增长，导致对定点医疗机构日常监管不足，滋生了医保违规现象。</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四</w:t>
      </w:r>
      <w:r>
        <w:rPr>
          <w:rFonts w:ascii="仿宋" w:hAnsi="仿宋" w:eastAsia="仿宋" w:cs="仿宋_GB2312"/>
          <w:sz w:val="28"/>
          <w:szCs w:val="28"/>
        </w:rPr>
        <w:t>、相关措施建议</w:t>
      </w:r>
    </w:p>
    <w:p>
      <w:pPr>
        <w:spacing w:line="580" w:lineRule="exact"/>
        <w:ind w:firstLine="560" w:firstLineChars="200"/>
        <w:rPr>
          <w:rFonts w:hint="eastAsia" w:ascii="仿宋" w:hAnsi="仿宋" w:eastAsia="仿宋"/>
          <w:sz w:val="28"/>
          <w:szCs w:val="28"/>
        </w:rPr>
      </w:pPr>
      <w:r>
        <w:rPr>
          <w:rFonts w:hint="eastAsia" w:ascii="仿宋" w:hAnsi="仿宋" w:eastAsia="仿宋"/>
          <w:sz w:val="28"/>
          <w:szCs w:val="28"/>
        </w:rPr>
        <w:t>1、健全财务管理制度，制度更加具体的专项资金支付流程。</w:t>
      </w:r>
    </w:p>
    <w:p>
      <w:pPr>
        <w:spacing w:line="5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、积极广泛听取意见和建议，进一步提升人员工作效率。</w:t>
      </w:r>
    </w:p>
    <w:p>
      <w:pPr>
        <w:spacing w:line="580" w:lineRule="exact"/>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、加大医保监督投入力度，确保对定点医疗机构日常监督全覆盖，保障医保基金安全运行。</w:t>
      </w:r>
    </w:p>
    <w:p>
      <w:pPr>
        <w:rPr>
          <w:sz w:val="28"/>
          <w:szCs w:val="28"/>
        </w:rPr>
      </w:pPr>
    </w:p>
    <w:p>
      <w:pPr>
        <w:spacing w:line="600" w:lineRule="exact"/>
        <w:ind w:firstLine="2640" w:firstLineChars="600"/>
        <w:jc w:val="both"/>
        <w:outlineLvl w:val="0"/>
        <w:rPr>
          <w:rStyle w:val="24"/>
          <w:rFonts w:hint="eastAsia" w:ascii="黑体" w:hAnsi="黑体" w:eastAsia="黑体"/>
          <w:b w:val="0"/>
          <w:sz w:val="44"/>
          <w:szCs w:val="44"/>
          <w:lang w:eastAsia="zh-CN"/>
        </w:rPr>
      </w:pPr>
      <w:r>
        <w:rPr>
          <w:rFonts w:hint="eastAsia" w:ascii="黑体" w:hAnsi="黑体" w:eastAsia="黑体"/>
          <w:color w:val="000000"/>
          <w:sz w:val="44"/>
          <w:szCs w:val="44"/>
        </w:rPr>
        <w:t>第</w:t>
      </w:r>
      <w:r>
        <w:rPr>
          <w:rStyle w:val="24"/>
          <w:rFonts w:hint="eastAsia" w:ascii="黑体" w:hAnsi="黑体" w:eastAsia="黑体"/>
          <w:b w:val="0"/>
          <w:sz w:val="44"/>
          <w:szCs w:val="44"/>
        </w:rPr>
        <w:t>五部分 附</w:t>
      </w:r>
      <w:bookmarkEnd w:id="61"/>
      <w:bookmarkEnd w:id="62"/>
      <w:r>
        <w:rPr>
          <w:rStyle w:val="24"/>
          <w:rFonts w:hint="eastAsia" w:ascii="黑体" w:hAnsi="黑体" w:eastAsia="黑体"/>
          <w:b w:val="0"/>
          <w:sz w:val="44"/>
          <w:szCs w:val="44"/>
          <w:lang w:eastAsia="zh-CN"/>
        </w:rPr>
        <w:t>表</w:t>
      </w:r>
      <w:bookmarkStart w:id="67" w:name="_Toc15396619"/>
    </w:p>
    <w:p>
      <w:pPr>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华文仿宋" w:hAnsi="华文仿宋" w:eastAsia="华文仿宋" w:cs="华文仿宋"/>
          <w:b w:val="0"/>
          <w:color w:val="000000"/>
          <w:sz w:val="28"/>
          <w:szCs w:val="28"/>
        </w:rPr>
      </w:pPr>
    </w:p>
    <w:p>
      <w:pPr>
        <w:pageBreakBefore w:val="0"/>
        <w:widowControl w:val="0"/>
        <w:kinsoku/>
        <w:wordWrap/>
        <w:overflowPunct/>
        <w:topLinePunct w:val="0"/>
        <w:autoSpaceDE/>
        <w:autoSpaceDN/>
        <w:bidi w:val="0"/>
        <w:adjustRightInd/>
        <w:snapToGrid/>
        <w:spacing w:line="480" w:lineRule="auto"/>
        <w:jc w:val="both"/>
        <w:textAlignment w:val="auto"/>
        <w:outlineLvl w:val="0"/>
        <w:rPr>
          <w:rStyle w:val="25"/>
          <w:rFonts w:hint="eastAsia" w:ascii="华文仿宋" w:hAnsi="华文仿宋" w:eastAsia="华文仿宋" w:cs="华文仿宋"/>
          <w:b w:val="0"/>
          <w:bCs w:val="0"/>
          <w:sz w:val="28"/>
          <w:szCs w:val="28"/>
        </w:rPr>
      </w:pPr>
      <w:r>
        <w:rPr>
          <w:rFonts w:hint="eastAsia" w:ascii="华文仿宋" w:hAnsi="华文仿宋" w:eastAsia="华文仿宋" w:cs="华文仿宋"/>
          <w:b w:val="0"/>
          <w:color w:val="000000"/>
          <w:sz w:val="28"/>
          <w:szCs w:val="28"/>
        </w:rPr>
        <w:t>一、收</w:t>
      </w:r>
      <w:r>
        <w:rPr>
          <w:rStyle w:val="25"/>
          <w:rFonts w:hint="eastAsia" w:ascii="华文仿宋" w:hAnsi="华文仿宋" w:eastAsia="华文仿宋" w:cs="华文仿宋"/>
          <w:b w:val="0"/>
          <w:bCs w:val="0"/>
          <w:sz w:val="28"/>
          <w:szCs w:val="28"/>
        </w:rPr>
        <w:t>入支出决算总表</w:t>
      </w:r>
      <w:bookmarkEnd w:id="67"/>
      <w:bookmarkStart w:id="68" w:name="_Toc15396620"/>
    </w:p>
    <w:p>
      <w:pPr>
        <w:pageBreakBefore w:val="0"/>
        <w:widowControl w:val="0"/>
        <w:kinsoku/>
        <w:wordWrap/>
        <w:overflowPunct/>
        <w:topLinePunct w:val="0"/>
        <w:autoSpaceDE/>
        <w:autoSpaceDN/>
        <w:bidi w:val="0"/>
        <w:adjustRightInd/>
        <w:snapToGrid/>
        <w:spacing w:line="480" w:lineRule="auto"/>
        <w:jc w:val="both"/>
        <w:textAlignment w:val="auto"/>
        <w:outlineLvl w:val="0"/>
        <w:rPr>
          <w:rStyle w:val="25"/>
          <w:rFonts w:hint="eastAsia" w:ascii="华文仿宋" w:hAnsi="华文仿宋" w:eastAsia="华文仿宋" w:cs="华文仿宋"/>
          <w:b w:val="0"/>
          <w:bCs w:val="0"/>
          <w:sz w:val="28"/>
          <w:szCs w:val="28"/>
        </w:rPr>
      </w:pPr>
      <w:r>
        <w:rPr>
          <w:rFonts w:hint="eastAsia" w:ascii="华文仿宋" w:hAnsi="华文仿宋" w:eastAsia="华文仿宋" w:cs="华文仿宋"/>
          <w:b w:val="0"/>
          <w:color w:val="000000"/>
          <w:sz w:val="28"/>
          <w:szCs w:val="28"/>
        </w:rPr>
        <w:t>二、收</w:t>
      </w:r>
      <w:r>
        <w:rPr>
          <w:rStyle w:val="25"/>
          <w:rFonts w:hint="eastAsia" w:ascii="华文仿宋" w:hAnsi="华文仿宋" w:eastAsia="华文仿宋" w:cs="华文仿宋"/>
          <w:b w:val="0"/>
          <w:bCs w:val="0"/>
          <w:sz w:val="28"/>
          <w:szCs w:val="28"/>
        </w:rPr>
        <w:t>入总表</w:t>
      </w:r>
      <w:bookmarkEnd w:id="68"/>
      <w:bookmarkStart w:id="69" w:name="_Toc15396621"/>
    </w:p>
    <w:p>
      <w:pPr>
        <w:pageBreakBefore w:val="0"/>
        <w:widowControl w:val="0"/>
        <w:kinsoku/>
        <w:wordWrap/>
        <w:overflowPunct/>
        <w:topLinePunct w:val="0"/>
        <w:autoSpaceDE/>
        <w:autoSpaceDN/>
        <w:bidi w:val="0"/>
        <w:adjustRightInd/>
        <w:snapToGrid/>
        <w:spacing w:line="480" w:lineRule="auto"/>
        <w:jc w:val="both"/>
        <w:textAlignment w:val="auto"/>
        <w:outlineLvl w:val="0"/>
        <w:rPr>
          <w:rStyle w:val="25"/>
          <w:rFonts w:hint="eastAsia" w:ascii="华文仿宋" w:hAnsi="华文仿宋" w:eastAsia="华文仿宋" w:cs="华文仿宋"/>
          <w:b w:val="0"/>
          <w:bCs w:val="0"/>
          <w:sz w:val="28"/>
          <w:szCs w:val="28"/>
        </w:rPr>
      </w:pPr>
      <w:r>
        <w:rPr>
          <w:rStyle w:val="25"/>
          <w:rFonts w:hint="eastAsia" w:ascii="华文仿宋" w:hAnsi="华文仿宋" w:eastAsia="华文仿宋" w:cs="华文仿宋"/>
          <w:b w:val="0"/>
          <w:bCs w:val="0"/>
          <w:sz w:val="28"/>
          <w:szCs w:val="28"/>
        </w:rPr>
        <w:t>三、</w:t>
      </w:r>
      <w:r>
        <w:rPr>
          <w:rFonts w:hint="eastAsia" w:ascii="华文仿宋" w:hAnsi="华文仿宋" w:eastAsia="华文仿宋" w:cs="华文仿宋"/>
          <w:b w:val="0"/>
          <w:color w:val="000000"/>
          <w:sz w:val="28"/>
          <w:szCs w:val="28"/>
        </w:rPr>
        <w:t>支</w:t>
      </w:r>
      <w:r>
        <w:rPr>
          <w:rStyle w:val="25"/>
          <w:rFonts w:hint="eastAsia" w:ascii="华文仿宋" w:hAnsi="华文仿宋" w:eastAsia="华文仿宋" w:cs="华文仿宋"/>
          <w:b w:val="0"/>
          <w:bCs w:val="0"/>
          <w:sz w:val="28"/>
          <w:szCs w:val="28"/>
        </w:rPr>
        <w:t>出总表</w:t>
      </w:r>
      <w:bookmarkEnd w:id="69"/>
      <w:bookmarkStart w:id="70" w:name="_Toc15396622"/>
    </w:p>
    <w:p>
      <w:pPr>
        <w:pageBreakBefore w:val="0"/>
        <w:widowControl w:val="0"/>
        <w:kinsoku/>
        <w:wordWrap/>
        <w:overflowPunct/>
        <w:topLinePunct w:val="0"/>
        <w:autoSpaceDE/>
        <w:autoSpaceDN/>
        <w:bidi w:val="0"/>
        <w:adjustRightInd/>
        <w:snapToGrid/>
        <w:spacing w:line="480" w:lineRule="auto"/>
        <w:jc w:val="both"/>
        <w:textAlignment w:val="auto"/>
        <w:outlineLvl w:val="0"/>
        <w:rPr>
          <w:rStyle w:val="25"/>
          <w:rFonts w:hint="eastAsia" w:ascii="华文仿宋" w:hAnsi="华文仿宋" w:eastAsia="华文仿宋" w:cs="华文仿宋"/>
          <w:b w:val="0"/>
          <w:bCs w:val="0"/>
          <w:sz w:val="28"/>
          <w:szCs w:val="28"/>
        </w:rPr>
      </w:pPr>
      <w:r>
        <w:rPr>
          <w:rStyle w:val="25"/>
          <w:rFonts w:hint="eastAsia" w:ascii="华文仿宋" w:hAnsi="华文仿宋" w:eastAsia="华文仿宋" w:cs="华文仿宋"/>
          <w:b w:val="0"/>
          <w:bCs w:val="0"/>
          <w:sz w:val="28"/>
          <w:szCs w:val="28"/>
        </w:rPr>
        <w:t>四、</w:t>
      </w:r>
      <w:r>
        <w:rPr>
          <w:rFonts w:hint="eastAsia" w:ascii="华文仿宋" w:hAnsi="华文仿宋" w:eastAsia="华文仿宋" w:cs="华文仿宋"/>
          <w:b w:val="0"/>
          <w:color w:val="000000"/>
          <w:sz w:val="28"/>
          <w:szCs w:val="28"/>
        </w:rPr>
        <w:t>财</w:t>
      </w:r>
      <w:r>
        <w:rPr>
          <w:rStyle w:val="25"/>
          <w:rFonts w:hint="eastAsia" w:ascii="华文仿宋" w:hAnsi="华文仿宋" w:eastAsia="华文仿宋" w:cs="华文仿宋"/>
          <w:b w:val="0"/>
          <w:bCs w:val="0"/>
          <w:sz w:val="28"/>
          <w:szCs w:val="28"/>
        </w:rPr>
        <w:t>政拨款收入支出决算总表</w:t>
      </w:r>
      <w:bookmarkEnd w:id="70"/>
      <w:bookmarkStart w:id="71" w:name="_Toc15396623"/>
    </w:p>
    <w:p>
      <w:pPr>
        <w:pageBreakBefore w:val="0"/>
        <w:widowControl w:val="0"/>
        <w:kinsoku/>
        <w:wordWrap/>
        <w:overflowPunct/>
        <w:topLinePunct w:val="0"/>
        <w:autoSpaceDE/>
        <w:autoSpaceDN/>
        <w:bidi w:val="0"/>
        <w:adjustRightInd/>
        <w:snapToGrid/>
        <w:spacing w:line="480" w:lineRule="auto"/>
        <w:jc w:val="both"/>
        <w:textAlignment w:val="auto"/>
        <w:outlineLvl w:val="0"/>
        <w:rPr>
          <w:rStyle w:val="25"/>
          <w:rFonts w:hint="eastAsia" w:ascii="华文仿宋" w:hAnsi="华文仿宋" w:eastAsia="华文仿宋" w:cs="华文仿宋"/>
          <w:b w:val="0"/>
          <w:bCs w:val="0"/>
          <w:sz w:val="28"/>
          <w:szCs w:val="28"/>
        </w:rPr>
      </w:pPr>
      <w:r>
        <w:rPr>
          <w:rStyle w:val="25"/>
          <w:rFonts w:hint="eastAsia" w:ascii="华文仿宋" w:hAnsi="华文仿宋" w:eastAsia="华文仿宋" w:cs="华文仿宋"/>
          <w:b w:val="0"/>
          <w:bCs w:val="0"/>
          <w:sz w:val="28"/>
          <w:szCs w:val="28"/>
        </w:rPr>
        <w:t>五、</w:t>
      </w:r>
      <w:r>
        <w:rPr>
          <w:rFonts w:hint="eastAsia" w:ascii="华文仿宋" w:hAnsi="华文仿宋" w:eastAsia="华文仿宋" w:cs="华文仿宋"/>
          <w:b w:val="0"/>
          <w:color w:val="000000"/>
          <w:sz w:val="28"/>
          <w:szCs w:val="28"/>
        </w:rPr>
        <w:t>财</w:t>
      </w:r>
      <w:r>
        <w:rPr>
          <w:rStyle w:val="25"/>
          <w:rFonts w:hint="eastAsia" w:ascii="华文仿宋" w:hAnsi="华文仿宋" w:eastAsia="华文仿宋" w:cs="华文仿宋"/>
          <w:b w:val="0"/>
          <w:bCs w:val="0"/>
          <w:sz w:val="28"/>
          <w:szCs w:val="28"/>
        </w:rPr>
        <w:t>政拨款支出决算明细表</w:t>
      </w:r>
      <w:bookmarkEnd w:id="71"/>
      <w:bookmarkStart w:id="72" w:name="_Toc15396624"/>
    </w:p>
    <w:p>
      <w:pPr>
        <w:pageBreakBefore w:val="0"/>
        <w:widowControl w:val="0"/>
        <w:kinsoku/>
        <w:wordWrap/>
        <w:overflowPunct/>
        <w:topLinePunct w:val="0"/>
        <w:autoSpaceDE/>
        <w:autoSpaceDN/>
        <w:bidi w:val="0"/>
        <w:adjustRightInd/>
        <w:snapToGrid/>
        <w:spacing w:line="480" w:lineRule="auto"/>
        <w:jc w:val="both"/>
        <w:textAlignment w:val="auto"/>
        <w:outlineLvl w:val="0"/>
        <w:rPr>
          <w:rStyle w:val="25"/>
          <w:rFonts w:hint="eastAsia" w:ascii="华文仿宋" w:hAnsi="华文仿宋" w:eastAsia="华文仿宋" w:cs="华文仿宋"/>
          <w:b w:val="0"/>
          <w:bCs w:val="0"/>
          <w:sz w:val="28"/>
          <w:szCs w:val="28"/>
        </w:rPr>
      </w:pPr>
      <w:r>
        <w:rPr>
          <w:rStyle w:val="25"/>
          <w:rFonts w:hint="eastAsia" w:ascii="华文仿宋" w:hAnsi="华文仿宋" w:eastAsia="华文仿宋" w:cs="华文仿宋"/>
          <w:b w:val="0"/>
          <w:bCs w:val="0"/>
          <w:sz w:val="28"/>
          <w:szCs w:val="28"/>
        </w:rPr>
        <w:t>六、</w:t>
      </w:r>
      <w:r>
        <w:rPr>
          <w:rFonts w:hint="eastAsia" w:ascii="华文仿宋" w:hAnsi="华文仿宋" w:eastAsia="华文仿宋" w:cs="华文仿宋"/>
          <w:b w:val="0"/>
          <w:color w:val="000000"/>
          <w:sz w:val="28"/>
          <w:szCs w:val="28"/>
        </w:rPr>
        <w:t>一</w:t>
      </w:r>
      <w:r>
        <w:rPr>
          <w:rStyle w:val="25"/>
          <w:rFonts w:hint="eastAsia" w:ascii="华文仿宋" w:hAnsi="华文仿宋" w:eastAsia="华文仿宋" w:cs="华文仿宋"/>
          <w:b w:val="0"/>
          <w:bCs w:val="0"/>
          <w:sz w:val="28"/>
          <w:szCs w:val="28"/>
        </w:rPr>
        <w:t>般公共预算财政拨款支出决算表</w:t>
      </w:r>
      <w:bookmarkEnd w:id="72"/>
      <w:bookmarkStart w:id="73" w:name="_Toc15396625"/>
    </w:p>
    <w:p>
      <w:pPr>
        <w:pageBreakBefore w:val="0"/>
        <w:widowControl w:val="0"/>
        <w:kinsoku/>
        <w:wordWrap/>
        <w:overflowPunct/>
        <w:topLinePunct w:val="0"/>
        <w:autoSpaceDE/>
        <w:autoSpaceDN/>
        <w:bidi w:val="0"/>
        <w:adjustRightInd/>
        <w:snapToGrid/>
        <w:spacing w:line="480" w:lineRule="auto"/>
        <w:jc w:val="both"/>
        <w:textAlignment w:val="auto"/>
        <w:outlineLvl w:val="0"/>
        <w:rPr>
          <w:rStyle w:val="25"/>
          <w:rFonts w:hint="eastAsia" w:ascii="华文仿宋" w:hAnsi="华文仿宋" w:eastAsia="华文仿宋" w:cs="华文仿宋"/>
          <w:b w:val="0"/>
          <w:bCs w:val="0"/>
          <w:sz w:val="28"/>
          <w:szCs w:val="28"/>
        </w:rPr>
      </w:pPr>
      <w:r>
        <w:rPr>
          <w:rStyle w:val="25"/>
          <w:rFonts w:hint="eastAsia" w:ascii="华文仿宋" w:hAnsi="华文仿宋" w:eastAsia="华文仿宋" w:cs="华文仿宋"/>
          <w:b w:val="0"/>
          <w:bCs w:val="0"/>
          <w:sz w:val="28"/>
          <w:szCs w:val="28"/>
        </w:rPr>
        <w:t>七、</w:t>
      </w:r>
      <w:r>
        <w:rPr>
          <w:rFonts w:hint="eastAsia" w:ascii="华文仿宋" w:hAnsi="华文仿宋" w:eastAsia="华文仿宋" w:cs="华文仿宋"/>
          <w:b w:val="0"/>
          <w:color w:val="000000"/>
          <w:sz w:val="28"/>
          <w:szCs w:val="28"/>
        </w:rPr>
        <w:t>一</w:t>
      </w:r>
      <w:r>
        <w:rPr>
          <w:rStyle w:val="25"/>
          <w:rFonts w:hint="eastAsia" w:ascii="华文仿宋" w:hAnsi="华文仿宋" w:eastAsia="华文仿宋" w:cs="华文仿宋"/>
          <w:b w:val="0"/>
          <w:bCs w:val="0"/>
          <w:sz w:val="28"/>
          <w:szCs w:val="28"/>
        </w:rPr>
        <w:t>般公共预算财政拨款支出决算明细表</w:t>
      </w:r>
      <w:bookmarkEnd w:id="73"/>
      <w:bookmarkStart w:id="74" w:name="_Toc15396626"/>
    </w:p>
    <w:p>
      <w:pPr>
        <w:pageBreakBefore w:val="0"/>
        <w:widowControl w:val="0"/>
        <w:kinsoku/>
        <w:wordWrap/>
        <w:overflowPunct/>
        <w:topLinePunct w:val="0"/>
        <w:autoSpaceDE/>
        <w:autoSpaceDN/>
        <w:bidi w:val="0"/>
        <w:adjustRightInd/>
        <w:snapToGrid/>
        <w:spacing w:line="480" w:lineRule="auto"/>
        <w:jc w:val="both"/>
        <w:textAlignment w:val="auto"/>
        <w:outlineLvl w:val="0"/>
        <w:rPr>
          <w:rStyle w:val="25"/>
          <w:rFonts w:hint="eastAsia" w:ascii="华文仿宋" w:hAnsi="华文仿宋" w:eastAsia="华文仿宋" w:cs="华文仿宋"/>
          <w:b w:val="0"/>
          <w:bCs w:val="0"/>
          <w:sz w:val="28"/>
          <w:szCs w:val="28"/>
        </w:rPr>
      </w:pPr>
      <w:r>
        <w:rPr>
          <w:rStyle w:val="25"/>
          <w:rFonts w:hint="eastAsia" w:ascii="华文仿宋" w:hAnsi="华文仿宋" w:eastAsia="华文仿宋" w:cs="华文仿宋"/>
          <w:b w:val="0"/>
          <w:bCs w:val="0"/>
          <w:sz w:val="28"/>
          <w:szCs w:val="28"/>
        </w:rPr>
        <w:t>八、</w:t>
      </w:r>
      <w:r>
        <w:rPr>
          <w:rFonts w:hint="eastAsia" w:ascii="华文仿宋" w:hAnsi="华文仿宋" w:eastAsia="华文仿宋" w:cs="华文仿宋"/>
          <w:b w:val="0"/>
          <w:color w:val="000000"/>
          <w:sz w:val="28"/>
          <w:szCs w:val="28"/>
        </w:rPr>
        <w:t>一</w:t>
      </w:r>
      <w:r>
        <w:rPr>
          <w:rStyle w:val="25"/>
          <w:rFonts w:hint="eastAsia" w:ascii="华文仿宋" w:hAnsi="华文仿宋" w:eastAsia="华文仿宋" w:cs="华文仿宋"/>
          <w:b w:val="0"/>
          <w:bCs w:val="0"/>
          <w:sz w:val="28"/>
          <w:szCs w:val="28"/>
        </w:rPr>
        <w:t>般公共预算财政拨款基本支出决算表</w:t>
      </w:r>
      <w:bookmarkEnd w:id="74"/>
      <w:bookmarkStart w:id="75" w:name="_Toc15396627"/>
    </w:p>
    <w:p>
      <w:pPr>
        <w:pageBreakBefore w:val="0"/>
        <w:widowControl w:val="0"/>
        <w:kinsoku/>
        <w:wordWrap/>
        <w:overflowPunct/>
        <w:topLinePunct w:val="0"/>
        <w:autoSpaceDE/>
        <w:autoSpaceDN/>
        <w:bidi w:val="0"/>
        <w:adjustRightInd/>
        <w:snapToGrid/>
        <w:spacing w:line="480" w:lineRule="auto"/>
        <w:jc w:val="both"/>
        <w:textAlignment w:val="auto"/>
        <w:outlineLvl w:val="0"/>
        <w:rPr>
          <w:rStyle w:val="25"/>
          <w:rFonts w:hint="eastAsia" w:ascii="华文仿宋" w:hAnsi="华文仿宋" w:eastAsia="华文仿宋" w:cs="华文仿宋"/>
          <w:b w:val="0"/>
          <w:bCs w:val="0"/>
          <w:sz w:val="28"/>
          <w:szCs w:val="28"/>
        </w:rPr>
      </w:pPr>
      <w:r>
        <w:rPr>
          <w:rStyle w:val="25"/>
          <w:rFonts w:hint="eastAsia" w:ascii="华文仿宋" w:hAnsi="华文仿宋" w:eastAsia="华文仿宋" w:cs="华文仿宋"/>
          <w:b w:val="0"/>
          <w:bCs w:val="0"/>
          <w:sz w:val="28"/>
          <w:szCs w:val="28"/>
        </w:rPr>
        <w:t>九、</w:t>
      </w:r>
      <w:r>
        <w:rPr>
          <w:rFonts w:hint="eastAsia" w:ascii="华文仿宋" w:hAnsi="华文仿宋" w:eastAsia="华文仿宋" w:cs="华文仿宋"/>
          <w:b w:val="0"/>
          <w:color w:val="000000"/>
          <w:sz w:val="28"/>
          <w:szCs w:val="28"/>
        </w:rPr>
        <w:t>一</w:t>
      </w:r>
      <w:r>
        <w:rPr>
          <w:rStyle w:val="25"/>
          <w:rFonts w:hint="eastAsia" w:ascii="华文仿宋" w:hAnsi="华文仿宋" w:eastAsia="华文仿宋" w:cs="华文仿宋"/>
          <w:b w:val="0"/>
          <w:bCs w:val="0"/>
          <w:sz w:val="28"/>
          <w:szCs w:val="28"/>
        </w:rPr>
        <w:t>般公共预算财政拨款项目支出决算表</w:t>
      </w:r>
      <w:bookmarkEnd w:id="75"/>
      <w:bookmarkStart w:id="76" w:name="_Toc15396628"/>
    </w:p>
    <w:p>
      <w:pPr>
        <w:pageBreakBefore w:val="0"/>
        <w:widowControl w:val="0"/>
        <w:kinsoku/>
        <w:wordWrap/>
        <w:overflowPunct/>
        <w:topLinePunct w:val="0"/>
        <w:autoSpaceDE/>
        <w:autoSpaceDN/>
        <w:bidi w:val="0"/>
        <w:adjustRightInd/>
        <w:snapToGrid/>
        <w:spacing w:line="480" w:lineRule="auto"/>
        <w:jc w:val="both"/>
        <w:textAlignment w:val="auto"/>
        <w:outlineLvl w:val="0"/>
        <w:rPr>
          <w:rStyle w:val="25"/>
          <w:rFonts w:hint="eastAsia" w:ascii="华文仿宋" w:hAnsi="华文仿宋" w:eastAsia="华文仿宋" w:cs="华文仿宋"/>
          <w:b w:val="0"/>
          <w:bCs w:val="0"/>
          <w:sz w:val="28"/>
          <w:szCs w:val="28"/>
        </w:rPr>
      </w:pPr>
      <w:r>
        <w:rPr>
          <w:rStyle w:val="25"/>
          <w:rFonts w:hint="eastAsia" w:ascii="华文仿宋" w:hAnsi="华文仿宋" w:eastAsia="华文仿宋" w:cs="华文仿宋"/>
          <w:b w:val="0"/>
          <w:bCs w:val="0"/>
          <w:sz w:val="28"/>
          <w:szCs w:val="28"/>
        </w:rPr>
        <w:t>十、</w:t>
      </w:r>
      <w:r>
        <w:rPr>
          <w:rFonts w:hint="eastAsia" w:ascii="华文仿宋" w:hAnsi="华文仿宋" w:eastAsia="华文仿宋" w:cs="华文仿宋"/>
          <w:b w:val="0"/>
          <w:color w:val="000000"/>
          <w:sz w:val="28"/>
          <w:szCs w:val="28"/>
        </w:rPr>
        <w:t>一</w:t>
      </w:r>
      <w:r>
        <w:rPr>
          <w:rStyle w:val="25"/>
          <w:rFonts w:hint="eastAsia" w:ascii="华文仿宋" w:hAnsi="华文仿宋" w:eastAsia="华文仿宋" w:cs="华文仿宋"/>
          <w:b w:val="0"/>
          <w:bCs w:val="0"/>
          <w:sz w:val="28"/>
          <w:szCs w:val="28"/>
        </w:rPr>
        <w:t>般公共预算财政拨款“三公”经费支出决算表</w:t>
      </w:r>
      <w:bookmarkEnd w:id="76"/>
      <w:bookmarkStart w:id="77" w:name="_Toc15396629"/>
    </w:p>
    <w:p>
      <w:pPr>
        <w:pageBreakBefore w:val="0"/>
        <w:widowControl w:val="0"/>
        <w:kinsoku/>
        <w:wordWrap/>
        <w:overflowPunct/>
        <w:topLinePunct w:val="0"/>
        <w:autoSpaceDE/>
        <w:autoSpaceDN/>
        <w:bidi w:val="0"/>
        <w:adjustRightInd/>
        <w:snapToGrid/>
        <w:spacing w:line="480" w:lineRule="auto"/>
        <w:jc w:val="both"/>
        <w:textAlignment w:val="auto"/>
        <w:outlineLvl w:val="0"/>
        <w:rPr>
          <w:rStyle w:val="25"/>
          <w:rFonts w:hint="eastAsia" w:ascii="华文仿宋" w:hAnsi="华文仿宋" w:eastAsia="华文仿宋" w:cs="华文仿宋"/>
          <w:b w:val="0"/>
          <w:bCs w:val="0"/>
          <w:sz w:val="28"/>
          <w:szCs w:val="28"/>
        </w:rPr>
      </w:pPr>
      <w:r>
        <w:rPr>
          <w:rStyle w:val="25"/>
          <w:rFonts w:hint="eastAsia" w:ascii="华文仿宋" w:hAnsi="华文仿宋" w:eastAsia="华文仿宋" w:cs="华文仿宋"/>
          <w:b w:val="0"/>
          <w:bCs w:val="0"/>
          <w:sz w:val="28"/>
          <w:szCs w:val="28"/>
        </w:rPr>
        <w:t>十一、</w:t>
      </w:r>
      <w:r>
        <w:rPr>
          <w:rFonts w:hint="eastAsia" w:ascii="华文仿宋" w:hAnsi="华文仿宋" w:eastAsia="华文仿宋" w:cs="华文仿宋"/>
          <w:b w:val="0"/>
          <w:color w:val="000000"/>
          <w:sz w:val="28"/>
          <w:szCs w:val="28"/>
        </w:rPr>
        <w:t>政</w:t>
      </w:r>
      <w:r>
        <w:rPr>
          <w:rStyle w:val="25"/>
          <w:rFonts w:hint="eastAsia" w:ascii="华文仿宋" w:hAnsi="华文仿宋" w:eastAsia="华文仿宋" w:cs="华文仿宋"/>
          <w:b w:val="0"/>
          <w:bCs w:val="0"/>
          <w:sz w:val="28"/>
          <w:szCs w:val="28"/>
        </w:rPr>
        <w:t>府性基金预算财政拨款收入支出决算表</w:t>
      </w:r>
      <w:bookmarkEnd w:id="77"/>
      <w:bookmarkStart w:id="78" w:name="_Toc15396630"/>
    </w:p>
    <w:p>
      <w:pPr>
        <w:pageBreakBefore w:val="0"/>
        <w:widowControl w:val="0"/>
        <w:kinsoku/>
        <w:wordWrap/>
        <w:overflowPunct/>
        <w:topLinePunct w:val="0"/>
        <w:autoSpaceDE/>
        <w:autoSpaceDN/>
        <w:bidi w:val="0"/>
        <w:adjustRightInd/>
        <w:snapToGrid/>
        <w:spacing w:line="480" w:lineRule="auto"/>
        <w:jc w:val="both"/>
        <w:textAlignment w:val="auto"/>
        <w:outlineLvl w:val="0"/>
        <w:rPr>
          <w:rStyle w:val="25"/>
          <w:rFonts w:hint="eastAsia" w:ascii="仿宋" w:hAnsi="仿宋" w:eastAsia="仿宋"/>
          <w:b w:val="0"/>
          <w:bCs w:val="0"/>
          <w:sz w:val="28"/>
          <w:szCs w:val="28"/>
        </w:rPr>
      </w:pPr>
      <w:r>
        <w:rPr>
          <w:rStyle w:val="25"/>
          <w:rFonts w:hint="eastAsia" w:ascii="仿宋" w:hAnsi="仿宋" w:eastAsia="仿宋"/>
          <w:b w:val="0"/>
          <w:bCs w:val="0"/>
          <w:sz w:val="28"/>
          <w:szCs w:val="28"/>
        </w:rPr>
        <w:t>十二、</w:t>
      </w:r>
      <w:r>
        <w:rPr>
          <w:rFonts w:hint="eastAsia" w:ascii="仿宋" w:hAnsi="仿宋" w:eastAsia="仿宋"/>
          <w:b w:val="0"/>
          <w:color w:val="000000"/>
          <w:sz w:val="28"/>
          <w:szCs w:val="28"/>
        </w:rPr>
        <w:t>政</w:t>
      </w:r>
      <w:r>
        <w:rPr>
          <w:rStyle w:val="25"/>
          <w:rFonts w:hint="eastAsia" w:ascii="仿宋" w:hAnsi="仿宋" w:eastAsia="仿宋"/>
          <w:b w:val="0"/>
          <w:bCs w:val="0"/>
          <w:sz w:val="28"/>
          <w:szCs w:val="28"/>
        </w:rPr>
        <w:t>府性基金预算财政拨款“三公”经费支出决算表</w:t>
      </w:r>
      <w:bookmarkEnd w:id="78"/>
      <w:bookmarkStart w:id="79" w:name="_Toc15396631"/>
    </w:p>
    <w:p>
      <w:pPr>
        <w:pageBreakBefore w:val="0"/>
        <w:widowControl w:val="0"/>
        <w:kinsoku/>
        <w:wordWrap/>
        <w:overflowPunct/>
        <w:topLinePunct w:val="0"/>
        <w:autoSpaceDE/>
        <w:autoSpaceDN/>
        <w:bidi w:val="0"/>
        <w:adjustRightInd/>
        <w:snapToGrid/>
        <w:spacing w:line="480" w:lineRule="auto"/>
        <w:jc w:val="both"/>
        <w:textAlignment w:val="auto"/>
        <w:outlineLvl w:val="0"/>
        <w:rPr>
          <w:rFonts w:ascii="仿宋" w:hAnsi="仿宋" w:eastAsia="仿宋"/>
          <w:color w:val="000000" w:themeColor="text1"/>
          <w:sz w:val="28"/>
          <w:szCs w:val="28"/>
          <w14:textFill>
            <w14:solidFill>
              <w14:schemeClr w14:val="tx1"/>
            </w14:solidFill>
          </w14:textFill>
        </w:rPr>
      </w:pPr>
      <w:r>
        <w:rPr>
          <w:rStyle w:val="25"/>
          <w:rFonts w:hint="eastAsia" w:ascii="仿宋" w:hAnsi="仿宋" w:eastAsia="仿宋"/>
          <w:b w:val="0"/>
          <w:bCs w:val="0"/>
          <w:sz w:val="28"/>
          <w:szCs w:val="28"/>
        </w:rPr>
        <w:t>十三、</w:t>
      </w:r>
      <w:r>
        <w:rPr>
          <w:rFonts w:hint="eastAsia" w:ascii="仿宋" w:hAnsi="仿宋" w:eastAsia="仿宋"/>
          <w:b w:val="0"/>
          <w:color w:val="000000"/>
          <w:sz w:val="28"/>
          <w:szCs w:val="28"/>
        </w:rPr>
        <w:t>国</w:t>
      </w:r>
      <w:r>
        <w:rPr>
          <w:rStyle w:val="25"/>
          <w:rFonts w:hint="eastAsia" w:ascii="仿宋" w:hAnsi="仿宋" w:eastAsia="仿宋"/>
          <w:b w:val="0"/>
          <w:bCs w:val="0"/>
          <w:sz w:val="28"/>
          <w:szCs w:val="28"/>
        </w:rPr>
        <w:t>有资本经营预算支出决算表</w:t>
      </w:r>
      <w:bookmarkEnd w:id="79"/>
    </w:p>
    <w:p>
      <w:pPr>
        <w:spacing w:line="600" w:lineRule="exact"/>
        <w:ind w:firstLine="1400" w:firstLineChars="500"/>
        <w:jc w:val="center"/>
        <w:outlineLvl w:val="0"/>
        <w:rPr>
          <w:rStyle w:val="24"/>
          <w:rFonts w:hint="eastAsia" w:ascii="黑体" w:hAnsi="黑体" w:eastAsia="黑体"/>
          <w:b w:val="0"/>
          <w:sz w:val="28"/>
          <w:szCs w:val="28"/>
          <w:lang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altName w:val="方正仿宋_GBK"/>
    <w:panose1 w:val="02010600040101010101"/>
    <w:charset w:val="86"/>
    <w:family w:val="auto"/>
    <w:pitch w:val="default"/>
    <w:sig w:usb0="00000000" w:usb1="00000000" w:usb2="00000000" w:usb3="00000000" w:csb0="0004009F" w:csb1="DFD7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04B1F"/>
    <w:rsid w:val="000222C6"/>
    <w:rsid w:val="0002518C"/>
    <w:rsid w:val="0002549F"/>
    <w:rsid w:val="0006487A"/>
    <w:rsid w:val="00065F8F"/>
    <w:rsid w:val="000768F2"/>
    <w:rsid w:val="00086147"/>
    <w:rsid w:val="0009184B"/>
    <w:rsid w:val="0009593C"/>
    <w:rsid w:val="000A5AA2"/>
    <w:rsid w:val="000B047F"/>
    <w:rsid w:val="000B5923"/>
    <w:rsid w:val="000B5A48"/>
    <w:rsid w:val="000B6FF3"/>
    <w:rsid w:val="000C3467"/>
    <w:rsid w:val="000C3CA6"/>
    <w:rsid w:val="000D1267"/>
    <w:rsid w:val="000D1D50"/>
    <w:rsid w:val="000D5782"/>
    <w:rsid w:val="000E6613"/>
    <w:rsid w:val="000E7119"/>
    <w:rsid w:val="00105473"/>
    <w:rsid w:val="00114E9B"/>
    <w:rsid w:val="00125BC0"/>
    <w:rsid w:val="00126982"/>
    <w:rsid w:val="001407F9"/>
    <w:rsid w:val="0014729F"/>
    <w:rsid w:val="00157BAB"/>
    <w:rsid w:val="001654D1"/>
    <w:rsid w:val="0018106D"/>
    <w:rsid w:val="001877A7"/>
    <w:rsid w:val="00191536"/>
    <w:rsid w:val="00196687"/>
    <w:rsid w:val="001A17E7"/>
    <w:rsid w:val="001C0962"/>
    <w:rsid w:val="001C4822"/>
    <w:rsid w:val="001D67A0"/>
    <w:rsid w:val="001D7531"/>
    <w:rsid w:val="001E737D"/>
    <w:rsid w:val="001F0592"/>
    <w:rsid w:val="001F7506"/>
    <w:rsid w:val="002006CD"/>
    <w:rsid w:val="00202B36"/>
    <w:rsid w:val="00204B7A"/>
    <w:rsid w:val="0021101A"/>
    <w:rsid w:val="00220536"/>
    <w:rsid w:val="0023315B"/>
    <w:rsid w:val="00235629"/>
    <w:rsid w:val="00243125"/>
    <w:rsid w:val="00260C38"/>
    <w:rsid w:val="002616C0"/>
    <w:rsid w:val="002662AA"/>
    <w:rsid w:val="00280496"/>
    <w:rsid w:val="00295495"/>
    <w:rsid w:val="002B2613"/>
    <w:rsid w:val="002C22CF"/>
    <w:rsid w:val="002E6672"/>
    <w:rsid w:val="002F1818"/>
    <w:rsid w:val="002F567B"/>
    <w:rsid w:val="002F6BB8"/>
    <w:rsid w:val="003216A9"/>
    <w:rsid w:val="003248D0"/>
    <w:rsid w:val="003670A1"/>
    <w:rsid w:val="0037013F"/>
    <w:rsid w:val="0037093F"/>
    <w:rsid w:val="00380C92"/>
    <w:rsid w:val="003970CB"/>
    <w:rsid w:val="003A14EF"/>
    <w:rsid w:val="003A484F"/>
    <w:rsid w:val="003A667C"/>
    <w:rsid w:val="003B0BE0"/>
    <w:rsid w:val="003B0C1B"/>
    <w:rsid w:val="003B688C"/>
    <w:rsid w:val="003C0291"/>
    <w:rsid w:val="003C39AE"/>
    <w:rsid w:val="003C404C"/>
    <w:rsid w:val="003C7B60"/>
    <w:rsid w:val="003D1FB2"/>
    <w:rsid w:val="003D66DA"/>
    <w:rsid w:val="003E1310"/>
    <w:rsid w:val="003E6F55"/>
    <w:rsid w:val="00406254"/>
    <w:rsid w:val="004111A4"/>
    <w:rsid w:val="004223DE"/>
    <w:rsid w:val="00434489"/>
    <w:rsid w:val="00437085"/>
    <w:rsid w:val="00437BDA"/>
    <w:rsid w:val="00443880"/>
    <w:rsid w:val="004464F4"/>
    <w:rsid w:val="0046534D"/>
    <w:rsid w:val="00471401"/>
    <w:rsid w:val="00473F31"/>
    <w:rsid w:val="0048263A"/>
    <w:rsid w:val="00487E5D"/>
    <w:rsid w:val="00493ADE"/>
    <w:rsid w:val="004A711F"/>
    <w:rsid w:val="004B199D"/>
    <w:rsid w:val="004B4690"/>
    <w:rsid w:val="004C7E6E"/>
    <w:rsid w:val="004C7F9A"/>
    <w:rsid w:val="004E0A2D"/>
    <w:rsid w:val="004E206B"/>
    <w:rsid w:val="004E6DF7"/>
    <w:rsid w:val="004F0FBD"/>
    <w:rsid w:val="004F770B"/>
    <w:rsid w:val="00505A47"/>
    <w:rsid w:val="00512FDA"/>
    <w:rsid w:val="00520DA0"/>
    <w:rsid w:val="00523274"/>
    <w:rsid w:val="00523764"/>
    <w:rsid w:val="005359AD"/>
    <w:rsid w:val="005638F2"/>
    <w:rsid w:val="005664BB"/>
    <w:rsid w:val="0057481D"/>
    <w:rsid w:val="0058486E"/>
    <w:rsid w:val="0058790A"/>
    <w:rsid w:val="005C716E"/>
    <w:rsid w:val="005D1C8B"/>
    <w:rsid w:val="005D5CED"/>
    <w:rsid w:val="005D7776"/>
    <w:rsid w:val="005F1A4C"/>
    <w:rsid w:val="00605688"/>
    <w:rsid w:val="006070AF"/>
    <w:rsid w:val="00607E6C"/>
    <w:rsid w:val="006101B1"/>
    <w:rsid w:val="00614E44"/>
    <w:rsid w:val="00622830"/>
    <w:rsid w:val="00630AEF"/>
    <w:rsid w:val="006325F8"/>
    <w:rsid w:val="006347A8"/>
    <w:rsid w:val="00634C9A"/>
    <w:rsid w:val="006440E4"/>
    <w:rsid w:val="00650857"/>
    <w:rsid w:val="0066343B"/>
    <w:rsid w:val="00664777"/>
    <w:rsid w:val="006748A4"/>
    <w:rsid w:val="00683E73"/>
    <w:rsid w:val="006A3141"/>
    <w:rsid w:val="006A5E34"/>
    <w:rsid w:val="006B2422"/>
    <w:rsid w:val="006B2B9A"/>
    <w:rsid w:val="006C1937"/>
    <w:rsid w:val="006F020C"/>
    <w:rsid w:val="006F6303"/>
    <w:rsid w:val="007127B7"/>
    <w:rsid w:val="007416B6"/>
    <w:rsid w:val="00746F48"/>
    <w:rsid w:val="0075404D"/>
    <w:rsid w:val="0076182A"/>
    <w:rsid w:val="00762EEB"/>
    <w:rsid w:val="00767B7E"/>
    <w:rsid w:val="007770C3"/>
    <w:rsid w:val="00784D24"/>
    <w:rsid w:val="00785FBA"/>
    <w:rsid w:val="00786E4A"/>
    <w:rsid w:val="007875EB"/>
    <w:rsid w:val="0079426B"/>
    <w:rsid w:val="007B54DA"/>
    <w:rsid w:val="007D312A"/>
    <w:rsid w:val="007D3F19"/>
    <w:rsid w:val="007E23B0"/>
    <w:rsid w:val="007E4266"/>
    <w:rsid w:val="007F1991"/>
    <w:rsid w:val="007F2C2F"/>
    <w:rsid w:val="007F55FC"/>
    <w:rsid w:val="007F5665"/>
    <w:rsid w:val="007F5704"/>
    <w:rsid w:val="00800112"/>
    <w:rsid w:val="008253BB"/>
    <w:rsid w:val="0083706E"/>
    <w:rsid w:val="008423A5"/>
    <w:rsid w:val="00850625"/>
    <w:rsid w:val="00853718"/>
    <w:rsid w:val="008544C6"/>
    <w:rsid w:val="00855221"/>
    <w:rsid w:val="00860645"/>
    <w:rsid w:val="00860F40"/>
    <w:rsid w:val="00862C87"/>
    <w:rsid w:val="00871F71"/>
    <w:rsid w:val="008808C0"/>
    <w:rsid w:val="00885952"/>
    <w:rsid w:val="00885AF4"/>
    <w:rsid w:val="008939CD"/>
    <w:rsid w:val="008B768C"/>
    <w:rsid w:val="008C4DB1"/>
    <w:rsid w:val="008C4EAF"/>
    <w:rsid w:val="008C5176"/>
    <w:rsid w:val="008C7FD0"/>
    <w:rsid w:val="008D2E61"/>
    <w:rsid w:val="008E1DE7"/>
    <w:rsid w:val="008E6D10"/>
    <w:rsid w:val="008E707C"/>
    <w:rsid w:val="00900B08"/>
    <w:rsid w:val="00902155"/>
    <w:rsid w:val="00902FA3"/>
    <w:rsid w:val="00923564"/>
    <w:rsid w:val="0092392E"/>
    <w:rsid w:val="009315F9"/>
    <w:rsid w:val="0094164D"/>
    <w:rsid w:val="00946945"/>
    <w:rsid w:val="00951248"/>
    <w:rsid w:val="0095152F"/>
    <w:rsid w:val="00954C49"/>
    <w:rsid w:val="00970897"/>
    <w:rsid w:val="0097099F"/>
    <w:rsid w:val="00971997"/>
    <w:rsid w:val="00971FFC"/>
    <w:rsid w:val="0098660A"/>
    <w:rsid w:val="009931C3"/>
    <w:rsid w:val="009A645F"/>
    <w:rsid w:val="009A6781"/>
    <w:rsid w:val="009B2C43"/>
    <w:rsid w:val="009B4EAE"/>
    <w:rsid w:val="009B7573"/>
    <w:rsid w:val="009C22F4"/>
    <w:rsid w:val="009C2729"/>
    <w:rsid w:val="009C2E98"/>
    <w:rsid w:val="009D3447"/>
    <w:rsid w:val="009D4711"/>
    <w:rsid w:val="009F1153"/>
    <w:rsid w:val="009F1185"/>
    <w:rsid w:val="009F18CD"/>
    <w:rsid w:val="009F2A13"/>
    <w:rsid w:val="009F4B58"/>
    <w:rsid w:val="00A02755"/>
    <w:rsid w:val="00A04EB0"/>
    <w:rsid w:val="00A13CC1"/>
    <w:rsid w:val="00A16847"/>
    <w:rsid w:val="00A237D8"/>
    <w:rsid w:val="00A268C4"/>
    <w:rsid w:val="00A307CD"/>
    <w:rsid w:val="00A40A00"/>
    <w:rsid w:val="00A4142F"/>
    <w:rsid w:val="00A438B2"/>
    <w:rsid w:val="00A56DF2"/>
    <w:rsid w:val="00A67AB5"/>
    <w:rsid w:val="00A77105"/>
    <w:rsid w:val="00A91760"/>
    <w:rsid w:val="00A93B00"/>
    <w:rsid w:val="00A93C21"/>
    <w:rsid w:val="00AC3C6A"/>
    <w:rsid w:val="00AD3F69"/>
    <w:rsid w:val="00AD5620"/>
    <w:rsid w:val="00AD63C7"/>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1C96"/>
    <w:rsid w:val="00B53C56"/>
    <w:rsid w:val="00B663F5"/>
    <w:rsid w:val="00B749EE"/>
    <w:rsid w:val="00B76254"/>
    <w:rsid w:val="00B77EA6"/>
    <w:rsid w:val="00B81598"/>
    <w:rsid w:val="00B841F1"/>
    <w:rsid w:val="00B944D6"/>
    <w:rsid w:val="00BA4CD7"/>
    <w:rsid w:val="00BB4DF0"/>
    <w:rsid w:val="00BC289F"/>
    <w:rsid w:val="00BC5361"/>
    <w:rsid w:val="00BC5460"/>
    <w:rsid w:val="00BC6B50"/>
    <w:rsid w:val="00BD0E25"/>
    <w:rsid w:val="00BF0CF3"/>
    <w:rsid w:val="00BF5797"/>
    <w:rsid w:val="00BF5BD6"/>
    <w:rsid w:val="00C03E31"/>
    <w:rsid w:val="00C1095E"/>
    <w:rsid w:val="00C33E72"/>
    <w:rsid w:val="00C346C5"/>
    <w:rsid w:val="00C354B2"/>
    <w:rsid w:val="00C35554"/>
    <w:rsid w:val="00C42709"/>
    <w:rsid w:val="00C533CC"/>
    <w:rsid w:val="00C5751C"/>
    <w:rsid w:val="00C61BFC"/>
    <w:rsid w:val="00C62B85"/>
    <w:rsid w:val="00C65438"/>
    <w:rsid w:val="00C67976"/>
    <w:rsid w:val="00C91CBB"/>
    <w:rsid w:val="00CA0480"/>
    <w:rsid w:val="00CC09B6"/>
    <w:rsid w:val="00CC15EF"/>
    <w:rsid w:val="00CC666F"/>
    <w:rsid w:val="00CD1E3F"/>
    <w:rsid w:val="00CE44F6"/>
    <w:rsid w:val="00CE49DA"/>
    <w:rsid w:val="00CE7B61"/>
    <w:rsid w:val="00CF5CD7"/>
    <w:rsid w:val="00D00095"/>
    <w:rsid w:val="00D11FD4"/>
    <w:rsid w:val="00D20620"/>
    <w:rsid w:val="00D2555E"/>
    <w:rsid w:val="00D26091"/>
    <w:rsid w:val="00D34E7C"/>
    <w:rsid w:val="00D35489"/>
    <w:rsid w:val="00D51276"/>
    <w:rsid w:val="00D626D4"/>
    <w:rsid w:val="00D7035F"/>
    <w:rsid w:val="00D848FB"/>
    <w:rsid w:val="00DA65AC"/>
    <w:rsid w:val="00DB14DD"/>
    <w:rsid w:val="00DB1913"/>
    <w:rsid w:val="00DC410D"/>
    <w:rsid w:val="00DC68CA"/>
    <w:rsid w:val="00DC7CBA"/>
    <w:rsid w:val="00DD73B7"/>
    <w:rsid w:val="00DF28BC"/>
    <w:rsid w:val="00DF34B9"/>
    <w:rsid w:val="00E01053"/>
    <w:rsid w:val="00E07ACF"/>
    <w:rsid w:val="00E3190D"/>
    <w:rsid w:val="00E331A1"/>
    <w:rsid w:val="00E33202"/>
    <w:rsid w:val="00E336A9"/>
    <w:rsid w:val="00E353FD"/>
    <w:rsid w:val="00E50624"/>
    <w:rsid w:val="00E568DF"/>
    <w:rsid w:val="00E64269"/>
    <w:rsid w:val="00E71664"/>
    <w:rsid w:val="00E82267"/>
    <w:rsid w:val="00E860EA"/>
    <w:rsid w:val="00E90039"/>
    <w:rsid w:val="00EA010F"/>
    <w:rsid w:val="00EC465C"/>
    <w:rsid w:val="00ED055D"/>
    <w:rsid w:val="00ED1B63"/>
    <w:rsid w:val="00ED3C1F"/>
    <w:rsid w:val="00ED4085"/>
    <w:rsid w:val="00ED420E"/>
    <w:rsid w:val="00EE2F57"/>
    <w:rsid w:val="00EF4C34"/>
    <w:rsid w:val="00EF77C6"/>
    <w:rsid w:val="00F05438"/>
    <w:rsid w:val="00F1361C"/>
    <w:rsid w:val="00F160C7"/>
    <w:rsid w:val="00F24C80"/>
    <w:rsid w:val="00F36D8F"/>
    <w:rsid w:val="00F417B1"/>
    <w:rsid w:val="00F54D59"/>
    <w:rsid w:val="00F55CF8"/>
    <w:rsid w:val="00F55DE6"/>
    <w:rsid w:val="00F602DF"/>
    <w:rsid w:val="00F81FD9"/>
    <w:rsid w:val="00F841AA"/>
    <w:rsid w:val="00F84299"/>
    <w:rsid w:val="00F876DB"/>
    <w:rsid w:val="00FA23E8"/>
    <w:rsid w:val="00FA5DE8"/>
    <w:rsid w:val="00FB4881"/>
    <w:rsid w:val="00FB6972"/>
    <w:rsid w:val="00FC3166"/>
    <w:rsid w:val="00FD3CC1"/>
    <w:rsid w:val="00FF1E02"/>
    <w:rsid w:val="00FF30B4"/>
    <w:rsid w:val="014E6602"/>
    <w:rsid w:val="019F5CEC"/>
    <w:rsid w:val="01BA1304"/>
    <w:rsid w:val="02616E86"/>
    <w:rsid w:val="03D42A16"/>
    <w:rsid w:val="040951DF"/>
    <w:rsid w:val="044C4BB4"/>
    <w:rsid w:val="048018D0"/>
    <w:rsid w:val="05200947"/>
    <w:rsid w:val="0529314D"/>
    <w:rsid w:val="05450D64"/>
    <w:rsid w:val="05610E31"/>
    <w:rsid w:val="062C3EEE"/>
    <w:rsid w:val="07AF0722"/>
    <w:rsid w:val="07B257A9"/>
    <w:rsid w:val="08551C11"/>
    <w:rsid w:val="085C0E45"/>
    <w:rsid w:val="098C6F60"/>
    <w:rsid w:val="09F93C55"/>
    <w:rsid w:val="0A5D7BA2"/>
    <w:rsid w:val="0AC55D1D"/>
    <w:rsid w:val="0ACF0F11"/>
    <w:rsid w:val="0B4B6926"/>
    <w:rsid w:val="0BDD5CF8"/>
    <w:rsid w:val="0D373C15"/>
    <w:rsid w:val="0D6C7852"/>
    <w:rsid w:val="0DBF5718"/>
    <w:rsid w:val="0DC17EB1"/>
    <w:rsid w:val="0E063B87"/>
    <w:rsid w:val="0F05185C"/>
    <w:rsid w:val="0F920963"/>
    <w:rsid w:val="0FDF00AA"/>
    <w:rsid w:val="10056E2A"/>
    <w:rsid w:val="101B5CD0"/>
    <w:rsid w:val="103A5880"/>
    <w:rsid w:val="10441A9B"/>
    <w:rsid w:val="10C055FF"/>
    <w:rsid w:val="11D05946"/>
    <w:rsid w:val="11FA7D0D"/>
    <w:rsid w:val="129D3CCA"/>
    <w:rsid w:val="12DE6AC2"/>
    <w:rsid w:val="12FB212E"/>
    <w:rsid w:val="13427453"/>
    <w:rsid w:val="139A7491"/>
    <w:rsid w:val="14332F61"/>
    <w:rsid w:val="146851E1"/>
    <w:rsid w:val="14BE6095"/>
    <w:rsid w:val="15866901"/>
    <w:rsid w:val="159F01EA"/>
    <w:rsid w:val="15C35AAC"/>
    <w:rsid w:val="15EA4C0D"/>
    <w:rsid w:val="169D68FB"/>
    <w:rsid w:val="16BB723D"/>
    <w:rsid w:val="16C522B4"/>
    <w:rsid w:val="16D133A4"/>
    <w:rsid w:val="170C775F"/>
    <w:rsid w:val="1716777F"/>
    <w:rsid w:val="17482032"/>
    <w:rsid w:val="174F1CB5"/>
    <w:rsid w:val="176C5B40"/>
    <w:rsid w:val="178D0E35"/>
    <w:rsid w:val="18643DA0"/>
    <w:rsid w:val="188340DB"/>
    <w:rsid w:val="188B4830"/>
    <w:rsid w:val="18991EDB"/>
    <w:rsid w:val="18EB6AED"/>
    <w:rsid w:val="19817E4B"/>
    <w:rsid w:val="1A3B1A19"/>
    <w:rsid w:val="1A456F2E"/>
    <w:rsid w:val="1A5C6FDB"/>
    <w:rsid w:val="1AD44CB3"/>
    <w:rsid w:val="1B052133"/>
    <w:rsid w:val="1B272BF7"/>
    <w:rsid w:val="1B5A3969"/>
    <w:rsid w:val="1B8C654C"/>
    <w:rsid w:val="1C08662C"/>
    <w:rsid w:val="1CCE5433"/>
    <w:rsid w:val="1CDA1A7F"/>
    <w:rsid w:val="1CDE5933"/>
    <w:rsid w:val="1CDF6CFF"/>
    <w:rsid w:val="1CEF512F"/>
    <w:rsid w:val="1CEF7685"/>
    <w:rsid w:val="1D2D6DDE"/>
    <w:rsid w:val="1DC67FDA"/>
    <w:rsid w:val="1EA56AC7"/>
    <w:rsid w:val="1EAD008C"/>
    <w:rsid w:val="1EC85E1F"/>
    <w:rsid w:val="1EDB6260"/>
    <w:rsid w:val="1F4F6B0B"/>
    <w:rsid w:val="1F752850"/>
    <w:rsid w:val="1F992E5F"/>
    <w:rsid w:val="1FCF48E1"/>
    <w:rsid w:val="214579CB"/>
    <w:rsid w:val="2147226D"/>
    <w:rsid w:val="21A63AEB"/>
    <w:rsid w:val="22044A79"/>
    <w:rsid w:val="22175788"/>
    <w:rsid w:val="224B5A7D"/>
    <w:rsid w:val="22786CC9"/>
    <w:rsid w:val="22940737"/>
    <w:rsid w:val="232B3812"/>
    <w:rsid w:val="23D64A16"/>
    <w:rsid w:val="240371BF"/>
    <w:rsid w:val="24B06CD5"/>
    <w:rsid w:val="256F1681"/>
    <w:rsid w:val="261C1CE9"/>
    <w:rsid w:val="27A9287B"/>
    <w:rsid w:val="282B2BEF"/>
    <w:rsid w:val="283D57C8"/>
    <w:rsid w:val="28D81EF3"/>
    <w:rsid w:val="29014D1C"/>
    <w:rsid w:val="29B12988"/>
    <w:rsid w:val="29CE2A4B"/>
    <w:rsid w:val="29FD04D3"/>
    <w:rsid w:val="2A5B2C6D"/>
    <w:rsid w:val="2A606607"/>
    <w:rsid w:val="2AAB3EFA"/>
    <w:rsid w:val="2ACE7B71"/>
    <w:rsid w:val="2B28413F"/>
    <w:rsid w:val="2B3973DB"/>
    <w:rsid w:val="2B992E10"/>
    <w:rsid w:val="2BBE2E7B"/>
    <w:rsid w:val="2C172507"/>
    <w:rsid w:val="2C642047"/>
    <w:rsid w:val="2CED4C0D"/>
    <w:rsid w:val="2D27054A"/>
    <w:rsid w:val="2DAC066B"/>
    <w:rsid w:val="2E280D3F"/>
    <w:rsid w:val="2E9017E5"/>
    <w:rsid w:val="2ED815B6"/>
    <w:rsid w:val="2F715035"/>
    <w:rsid w:val="2FB710C7"/>
    <w:rsid w:val="319F7F4E"/>
    <w:rsid w:val="31DF5456"/>
    <w:rsid w:val="31E72A15"/>
    <w:rsid w:val="329E01DD"/>
    <w:rsid w:val="32BD5013"/>
    <w:rsid w:val="32D75779"/>
    <w:rsid w:val="33C15572"/>
    <w:rsid w:val="34711589"/>
    <w:rsid w:val="347733DF"/>
    <w:rsid w:val="34924665"/>
    <w:rsid w:val="349D704E"/>
    <w:rsid w:val="353E2F15"/>
    <w:rsid w:val="355D2FDD"/>
    <w:rsid w:val="35A155D5"/>
    <w:rsid w:val="35C549F4"/>
    <w:rsid w:val="35E102BB"/>
    <w:rsid w:val="361E0EDC"/>
    <w:rsid w:val="36CD2239"/>
    <w:rsid w:val="36E03D96"/>
    <w:rsid w:val="36E2526B"/>
    <w:rsid w:val="36E71619"/>
    <w:rsid w:val="36F05526"/>
    <w:rsid w:val="36F91274"/>
    <w:rsid w:val="37093632"/>
    <w:rsid w:val="37357C64"/>
    <w:rsid w:val="37397864"/>
    <w:rsid w:val="379F594D"/>
    <w:rsid w:val="37B04316"/>
    <w:rsid w:val="37C734B1"/>
    <w:rsid w:val="3804127B"/>
    <w:rsid w:val="38070AA0"/>
    <w:rsid w:val="380905BD"/>
    <w:rsid w:val="381D16E5"/>
    <w:rsid w:val="3A5B53C4"/>
    <w:rsid w:val="3A692CEC"/>
    <w:rsid w:val="3A973883"/>
    <w:rsid w:val="3AA50636"/>
    <w:rsid w:val="3AC0314E"/>
    <w:rsid w:val="3AD23052"/>
    <w:rsid w:val="3B6339CD"/>
    <w:rsid w:val="3B7403DA"/>
    <w:rsid w:val="3C5E2FF1"/>
    <w:rsid w:val="3CDC67FA"/>
    <w:rsid w:val="3D322C0F"/>
    <w:rsid w:val="3D4267B6"/>
    <w:rsid w:val="3D7330D8"/>
    <w:rsid w:val="3D840390"/>
    <w:rsid w:val="3DA67AB6"/>
    <w:rsid w:val="3E0A6807"/>
    <w:rsid w:val="3EFF4DA9"/>
    <w:rsid w:val="3FC430BD"/>
    <w:rsid w:val="3FE7068B"/>
    <w:rsid w:val="3FF92D65"/>
    <w:rsid w:val="40850FD2"/>
    <w:rsid w:val="413E5A94"/>
    <w:rsid w:val="416C08EF"/>
    <w:rsid w:val="41C34A49"/>
    <w:rsid w:val="41E93C36"/>
    <w:rsid w:val="42B9125F"/>
    <w:rsid w:val="438F2450"/>
    <w:rsid w:val="44B25E93"/>
    <w:rsid w:val="44DF748B"/>
    <w:rsid w:val="45230E94"/>
    <w:rsid w:val="4570071F"/>
    <w:rsid w:val="45E22E06"/>
    <w:rsid w:val="46804BE0"/>
    <w:rsid w:val="473C0F82"/>
    <w:rsid w:val="476F1796"/>
    <w:rsid w:val="478D4DCE"/>
    <w:rsid w:val="4809764D"/>
    <w:rsid w:val="4846053C"/>
    <w:rsid w:val="48AB33BA"/>
    <w:rsid w:val="48BA4D01"/>
    <w:rsid w:val="4A1E5959"/>
    <w:rsid w:val="4A5A197D"/>
    <w:rsid w:val="4A5E719C"/>
    <w:rsid w:val="4A72125D"/>
    <w:rsid w:val="4B046E90"/>
    <w:rsid w:val="4B3B41A1"/>
    <w:rsid w:val="4BFD54DA"/>
    <w:rsid w:val="4CB23818"/>
    <w:rsid w:val="4D82708E"/>
    <w:rsid w:val="4DE36CA5"/>
    <w:rsid w:val="4E0A225E"/>
    <w:rsid w:val="4E1E7111"/>
    <w:rsid w:val="4E5636D1"/>
    <w:rsid w:val="4E975388"/>
    <w:rsid w:val="50581D15"/>
    <w:rsid w:val="50D21897"/>
    <w:rsid w:val="510F48DD"/>
    <w:rsid w:val="513D36B2"/>
    <w:rsid w:val="514E0D00"/>
    <w:rsid w:val="51B32903"/>
    <w:rsid w:val="52651294"/>
    <w:rsid w:val="528A67D5"/>
    <w:rsid w:val="53CB50A6"/>
    <w:rsid w:val="53CC0ED1"/>
    <w:rsid w:val="543D3182"/>
    <w:rsid w:val="54846535"/>
    <w:rsid w:val="54D14EE0"/>
    <w:rsid w:val="55442AAC"/>
    <w:rsid w:val="55503BDA"/>
    <w:rsid w:val="556B1C88"/>
    <w:rsid w:val="55AB2B68"/>
    <w:rsid w:val="55B825F0"/>
    <w:rsid w:val="55D40A60"/>
    <w:rsid w:val="565F25EC"/>
    <w:rsid w:val="56F3778C"/>
    <w:rsid w:val="56F6500E"/>
    <w:rsid w:val="573468C0"/>
    <w:rsid w:val="57580D9D"/>
    <w:rsid w:val="57714824"/>
    <w:rsid w:val="57B42138"/>
    <w:rsid w:val="586E2A87"/>
    <w:rsid w:val="58AF5056"/>
    <w:rsid w:val="59292545"/>
    <w:rsid w:val="59BA0DD6"/>
    <w:rsid w:val="59CD21F1"/>
    <w:rsid w:val="5A2206E3"/>
    <w:rsid w:val="5A4D6D3F"/>
    <w:rsid w:val="5B0868DF"/>
    <w:rsid w:val="5B1E7409"/>
    <w:rsid w:val="5B2D3D70"/>
    <w:rsid w:val="5BB92FEB"/>
    <w:rsid w:val="5C110C63"/>
    <w:rsid w:val="5C6D61EA"/>
    <w:rsid w:val="5CBA1E67"/>
    <w:rsid w:val="5D1D79A0"/>
    <w:rsid w:val="5D295C50"/>
    <w:rsid w:val="5DB479C7"/>
    <w:rsid w:val="5E5534AD"/>
    <w:rsid w:val="5EC744F7"/>
    <w:rsid w:val="5F17351F"/>
    <w:rsid w:val="5F3D08FE"/>
    <w:rsid w:val="5F4F4092"/>
    <w:rsid w:val="5F51773B"/>
    <w:rsid w:val="5FC253B9"/>
    <w:rsid w:val="60696CB3"/>
    <w:rsid w:val="60D747C0"/>
    <w:rsid w:val="6151334D"/>
    <w:rsid w:val="61737AFF"/>
    <w:rsid w:val="620D32F5"/>
    <w:rsid w:val="625B1230"/>
    <w:rsid w:val="637E1DB5"/>
    <w:rsid w:val="63B616C0"/>
    <w:rsid w:val="63C6199F"/>
    <w:rsid w:val="6401062A"/>
    <w:rsid w:val="64123282"/>
    <w:rsid w:val="641A6960"/>
    <w:rsid w:val="645933AF"/>
    <w:rsid w:val="64BC1684"/>
    <w:rsid w:val="653960B7"/>
    <w:rsid w:val="672F6E1B"/>
    <w:rsid w:val="67516135"/>
    <w:rsid w:val="679F1DAE"/>
    <w:rsid w:val="67C35621"/>
    <w:rsid w:val="67D926EF"/>
    <w:rsid w:val="684B0C79"/>
    <w:rsid w:val="68630C0B"/>
    <w:rsid w:val="68AB0FAB"/>
    <w:rsid w:val="69921ABE"/>
    <w:rsid w:val="69C95B5E"/>
    <w:rsid w:val="69ED73AA"/>
    <w:rsid w:val="6A193250"/>
    <w:rsid w:val="6A3F10B6"/>
    <w:rsid w:val="6A971779"/>
    <w:rsid w:val="6AD8365D"/>
    <w:rsid w:val="6AF95AD5"/>
    <w:rsid w:val="6B8F1757"/>
    <w:rsid w:val="6B9013DA"/>
    <w:rsid w:val="6B931EF8"/>
    <w:rsid w:val="6BC911AF"/>
    <w:rsid w:val="6BD644B3"/>
    <w:rsid w:val="6BEB2C25"/>
    <w:rsid w:val="6BF43944"/>
    <w:rsid w:val="6C3B0BA4"/>
    <w:rsid w:val="6C4911D8"/>
    <w:rsid w:val="6C7C60C5"/>
    <w:rsid w:val="6CA0446D"/>
    <w:rsid w:val="6DB34BA7"/>
    <w:rsid w:val="6DBB58A8"/>
    <w:rsid w:val="6DF37582"/>
    <w:rsid w:val="6E080F7C"/>
    <w:rsid w:val="6E21158C"/>
    <w:rsid w:val="6E8C3878"/>
    <w:rsid w:val="6EB27B6F"/>
    <w:rsid w:val="6EEB10D1"/>
    <w:rsid w:val="70347A0D"/>
    <w:rsid w:val="70F17F6B"/>
    <w:rsid w:val="71375732"/>
    <w:rsid w:val="7179124F"/>
    <w:rsid w:val="71A75EB6"/>
    <w:rsid w:val="734E6824"/>
    <w:rsid w:val="736064A4"/>
    <w:rsid w:val="73BA0CBF"/>
    <w:rsid w:val="73F90F79"/>
    <w:rsid w:val="745361B0"/>
    <w:rsid w:val="745C251D"/>
    <w:rsid w:val="7464532D"/>
    <w:rsid w:val="748E7E31"/>
    <w:rsid w:val="74A627A4"/>
    <w:rsid w:val="74A77F94"/>
    <w:rsid w:val="74E03A81"/>
    <w:rsid w:val="751323E6"/>
    <w:rsid w:val="75E53558"/>
    <w:rsid w:val="764F15AD"/>
    <w:rsid w:val="766141AE"/>
    <w:rsid w:val="767761D0"/>
    <w:rsid w:val="77787536"/>
    <w:rsid w:val="778B4269"/>
    <w:rsid w:val="787031A0"/>
    <w:rsid w:val="79167B8E"/>
    <w:rsid w:val="792C6CFF"/>
    <w:rsid w:val="79B8686D"/>
    <w:rsid w:val="79D2695C"/>
    <w:rsid w:val="7A462AED"/>
    <w:rsid w:val="7A99566D"/>
    <w:rsid w:val="7ADA017B"/>
    <w:rsid w:val="7B075DB7"/>
    <w:rsid w:val="7B115C4C"/>
    <w:rsid w:val="7B675D3F"/>
    <w:rsid w:val="7C017411"/>
    <w:rsid w:val="7C2C2158"/>
    <w:rsid w:val="7C5D31FC"/>
    <w:rsid w:val="7CF444DF"/>
    <w:rsid w:val="7D2B636C"/>
    <w:rsid w:val="7D645622"/>
    <w:rsid w:val="7D912EE2"/>
    <w:rsid w:val="7DE92B99"/>
    <w:rsid w:val="7DFD6148"/>
    <w:rsid w:val="7EBD0D6F"/>
    <w:rsid w:val="7F0325AB"/>
    <w:rsid w:val="7F652D1A"/>
    <w:rsid w:val="7F8B4603"/>
    <w:rsid w:val="7F957731"/>
    <w:rsid w:val="7FCD17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字符"/>
    <w:basedOn w:val="13"/>
    <w:link w:val="2"/>
    <w:qFormat/>
    <w:uiPriority w:val="9"/>
    <w:rPr>
      <w:rFonts w:ascii="Times New Roman" w:hAnsi="Times New Roman"/>
      <w:b/>
      <w:bCs/>
      <w:kern w:val="44"/>
      <w:sz w:val="44"/>
      <w:szCs w:val="44"/>
    </w:rPr>
  </w:style>
  <w:style w:type="character" w:customStyle="1" w:styleId="25">
    <w:name w:val="标题 2 字符"/>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4"/>
    <w:qFormat/>
    <w:uiPriority w:val="9"/>
    <w:rPr>
      <w:rFonts w:ascii="Times New Roman" w:hAnsi="Times New Roman"/>
      <w:b/>
      <w:bCs/>
      <w:kern w:val="2"/>
      <w:sz w:val="32"/>
      <w:szCs w:val="32"/>
    </w:rPr>
  </w:style>
  <w:style w:type="character" w:customStyle="1" w:styleId="29">
    <w:name w:val="标题 1 Char"/>
    <w:basedOn w:val="13"/>
    <w:link w:val="2"/>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2358</Words>
  <Characters>13447</Characters>
  <Lines>112</Lines>
  <Paragraphs>31</Paragraphs>
  <TotalTime>3</TotalTime>
  <ScaleCrop>false</ScaleCrop>
  <LinksUpToDate>false</LinksUpToDate>
  <CharactersWithSpaces>15774</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2019-09-14T11:53:00Z</dcterms:created>
  <dc:creator>张彬茜</dc:creator>
  <cp:lastModifiedBy>user</cp:lastModifiedBy>
  <cp:lastPrinted>2019-09-18T09:34:00Z</cp:lastPrinted>
  <dcterms:modified xsi:type="dcterms:W3CDTF">2023-08-29T15:31:13Z</dcterms:modified>
  <dc:title>四川省***</dc:title>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B42360D2B1465937C19EED641C61F06C</vt:lpwstr>
  </property>
</Properties>
</file>