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bookmarkStart w:id="76" w:name="_GoBack"/>
      <w:bookmarkEnd w:id="76"/>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52"/>
          <w:szCs w:val="52"/>
        </w:rPr>
      </w:pPr>
      <w:bookmarkStart w:id="1" w:name="_Toc15377193"/>
      <w:bookmarkStart w:id="2" w:name="_Toc15378441"/>
      <w:bookmarkStart w:id="3" w:name="_Toc15396597"/>
      <w:bookmarkStart w:id="4" w:name="_Toc15377425"/>
      <w:bookmarkStart w:id="5" w:name="_Toc15396475"/>
      <w:r>
        <w:rPr>
          <w:rFonts w:ascii="黑体" w:hAnsi="黑体" w:eastAsia="黑体"/>
          <w:color w:val="000000"/>
          <w:sz w:val="52"/>
          <w:szCs w:val="52"/>
        </w:rPr>
        <w:t>201</w:t>
      </w:r>
      <w:r>
        <w:rPr>
          <w:rFonts w:hint="eastAsia" w:ascii="黑体" w:hAnsi="黑体" w:eastAsia="黑体"/>
          <w:color w:val="000000"/>
          <w:sz w:val="52"/>
          <w:szCs w:val="52"/>
        </w:rPr>
        <w:t>8</w:t>
      </w:r>
      <w:r>
        <w:rPr>
          <w:rFonts w:hint="eastAsia" w:ascii="方正小标宋简体" w:hAnsi="宋体" w:eastAsia="方正小标宋简体"/>
          <w:color w:val="000000"/>
          <w:sz w:val="52"/>
          <w:szCs w:val="52"/>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宋体" w:eastAsia="方正小标宋简体"/>
          <w:color w:val="000000"/>
          <w:sz w:val="52"/>
          <w:szCs w:val="52"/>
        </w:rPr>
      </w:pPr>
      <w:bookmarkStart w:id="6" w:name="_Toc15396476"/>
      <w:bookmarkStart w:id="7" w:name="_Toc15377194"/>
      <w:bookmarkStart w:id="8" w:name="_Toc15396598"/>
      <w:bookmarkStart w:id="9" w:name="_Toc15377426"/>
      <w:bookmarkStart w:id="10" w:name="_Toc15378442"/>
      <w:r>
        <w:rPr>
          <w:rFonts w:hint="eastAsia" w:ascii="方正小标宋简体" w:hAnsi="宋体" w:eastAsia="方正小标宋简体"/>
          <w:color w:val="000000"/>
          <w:sz w:val="52"/>
          <w:szCs w:val="52"/>
        </w:rPr>
        <w:t>四川省</w:t>
      </w:r>
      <w:bookmarkEnd w:id="0"/>
      <w:bookmarkStart w:id="11" w:name="_Toc15306268"/>
      <w:r>
        <w:rPr>
          <w:rFonts w:hint="eastAsia" w:ascii="方正小标宋简体" w:hAnsi="宋体" w:eastAsia="方正小标宋简体"/>
          <w:color w:val="000000"/>
          <w:sz w:val="52"/>
          <w:szCs w:val="52"/>
          <w:lang w:val="en-US" w:eastAsia="zh-CN"/>
        </w:rPr>
        <w:t>达州市</w:t>
      </w:r>
      <w:r>
        <w:rPr>
          <w:rFonts w:hint="eastAsia" w:ascii="方正小标宋简体" w:hAnsi="宋体" w:eastAsia="方正小标宋简体"/>
          <w:color w:val="000000"/>
          <w:sz w:val="52"/>
          <w:szCs w:val="52"/>
        </w:rPr>
        <w:t>达川区</w:t>
      </w:r>
    </w:p>
    <w:p>
      <w:pPr>
        <w:adjustRightInd w:val="0"/>
        <w:snapToGrid w:val="0"/>
        <w:spacing w:line="360" w:lineRule="auto"/>
        <w:jc w:val="center"/>
        <w:outlineLvl w:val="0"/>
        <w:rPr>
          <w:rFonts w:hint="eastAsia" w:ascii="方正小标宋简体" w:hAnsi="宋体" w:eastAsia="方正小标宋简体"/>
          <w:b/>
          <w:bCs/>
          <w:color w:val="000000"/>
          <w:sz w:val="52"/>
          <w:szCs w:val="52"/>
        </w:rPr>
      </w:pPr>
      <w:r>
        <w:rPr>
          <w:rFonts w:hint="eastAsia" w:ascii="方正小标宋简体" w:hAnsi="宋体" w:eastAsia="方正小标宋简体"/>
          <w:color w:val="000000"/>
          <w:sz w:val="52"/>
          <w:szCs w:val="52"/>
        </w:rPr>
        <w:t>大学中专招</w:t>
      </w:r>
      <w:r>
        <w:rPr>
          <w:rFonts w:hint="eastAsia" w:ascii="方正小标宋简体" w:hAnsi="宋体" w:eastAsia="方正小标宋简体"/>
          <w:b/>
          <w:bCs/>
          <w:color w:val="000000"/>
          <w:sz w:val="52"/>
          <w:szCs w:val="52"/>
        </w:rPr>
        <w:t>生委员会</w:t>
      </w:r>
      <w:r>
        <w:rPr>
          <w:rFonts w:hint="eastAsia" w:ascii="方正小标宋简体" w:hAnsi="宋体" w:eastAsia="方正小标宋简体"/>
          <w:color w:val="000000"/>
          <w:sz w:val="52"/>
          <w:szCs w:val="52"/>
        </w:rPr>
        <w:t>办</w:t>
      </w:r>
      <w:r>
        <w:rPr>
          <w:rFonts w:hint="eastAsia" w:ascii="方正小标宋简体" w:hAnsi="宋体" w:eastAsia="方正小标宋简体"/>
          <w:b/>
          <w:bCs/>
          <w:color w:val="000000"/>
          <w:sz w:val="52"/>
          <w:szCs w:val="52"/>
        </w:rPr>
        <w:t>公室</w:t>
      </w:r>
    </w:p>
    <w:p>
      <w:pPr>
        <w:adjustRightInd w:val="0"/>
        <w:snapToGrid w:val="0"/>
        <w:spacing w:line="360" w:lineRule="auto"/>
        <w:jc w:val="center"/>
        <w:outlineLvl w:val="0"/>
        <w:rPr>
          <w:rFonts w:hint="eastAsia" w:ascii="方正小标宋简体" w:hAnsi="宋体" w:eastAsia="方正小标宋简体"/>
          <w:b/>
          <w:bCs/>
          <w:color w:val="000000"/>
          <w:sz w:val="52"/>
          <w:szCs w:val="52"/>
        </w:rPr>
      </w:pPr>
      <w:r>
        <w:rPr>
          <w:rFonts w:hint="eastAsia" w:ascii="方正小标宋简体" w:hAnsi="宋体" w:eastAsia="方正小标宋简体"/>
          <w:b/>
          <w:bCs/>
          <w:color w:val="000000"/>
          <w:sz w:val="52"/>
          <w:szCs w:val="52"/>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sz w:val="52"/>
          <w:szCs w:val="52"/>
        </w:rPr>
      </w:pP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公开时间：2019年8月29日</w:t>
      </w:r>
    </w:p>
    <w:p/>
    <w:p>
      <w:pPr>
        <w:pStyle w:val="10"/>
        <w:rPr>
          <w:rFonts w:cstheme="minorBidi"/>
        </w:rPr>
      </w:pPr>
      <w:r>
        <w:fldChar w:fldCharType="begin"/>
      </w:r>
      <w:r>
        <w:instrText xml:space="preserve"> HYPERLINK \l "_Toc15396599" </w:instrText>
      </w:r>
      <w:r>
        <w:fldChar w:fldCharType="separate"/>
      </w:r>
      <w:r>
        <w:rPr>
          <w:rStyle w:val="16"/>
          <w:rFonts w:hint="eastAsia"/>
        </w:rPr>
        <w:t>第一部分</w:t>
      </w:r>
      <w:r>
        <w:rPr>
          <w:rStyle w:val="16"/>
        </w:rPr>
        <w:t xml:space="preserve"> </w:t>
      </w:r>
      <w:r>
        <w:rPr>
          <w:rStyle w:val="16"/>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6"/>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6"/>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4</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6"/>
          <w:rFonts w:hint="eastAsia"/>
        </w:rPr>
        <w:t>第二部分</w:t>
      </w:r>
      <w:r>
        <w:rPr>
          <w:rStyle w:val="16"/>
        </w:rPr>
        <w:t xml:space="preserve"> 2018</w:t>
      </w:r>
      <w:r>
        <w:rPr>
          <w:rStyle w:val="16"/>
          <w:rFonts w:hint="eastAsia"/>
        </w:rPr>
        <w:t>年度部门决算情况说明</w:t>
      </w:r>
      <w:r>
        <w:tab/>
      </w:r>
      <w:r>
        <w:fldChar w:fldCharType="begin"/>
      </w:r>
      <w:r>
        <w:instrText xml:space="preserve"> PAGEREF _Toc15396602 \h </w:instrText>
      </w:r>
      <w:r>
        <w:fldChar w:fldCharType="separate"/>
      </w:r>
      <w:r>
        <w:t>5</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6"/>
          <w:rFonts w:hint="eastAsia" w:ascii="仿宋" w:hAnsi="仿宋" w:eastAsia="仿宋" w:cstheme="majorBidi"/>
          <w:bCs/>
          <w:sz w:val="28"/>
          <w:szCs w:val="28"/>
        </w:rPr>
        <w:t>一、</w:t>
      </w:r>
      <w:r>
        <w:rPr>
          <w:rStyle w:val="16"/>
          <w:rFonts w:hint="eastAsia" w:ascii="仿宋" w:hAnsi="仿宋" w:eastAsia="仿宋"/>
          <w:sz w:val="28"/>
          <w:szCs w:val="28"/>
        </w:rPr>
        <w:t>收</w:t>
      </w:r>
      <w:r>
        <w:rPr>
          <w:rStyle w:val="16"/>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6"/>
          <w:rFonts w:hint="eastAsia" w:ascii="仿宋" w:hAnsi="仿宋" w:eastAsia="仿宋" w:cstheme="majorBidi"/>
          <w:bCs/>
          <w:sz w:val="28"/>
          <w:szCs w:val="28"/>
        </w:rPr>
        <w:t>二、</w:t>
      </w:r>
      <w:r>
        <w:rPr>
          <w:rStyle w:val="16"/>
          <w:rFonts w:hint="eastAsia" w:ascii="仿宋" w:hAnsi="仿宋" w:eastAsia="仿宋"/>
          <w:sz w:val="28"/>
          <w:szCs w:val="28"/>
        </w:rPr>
        <w:t>收</w:t>
      </w:r>
      <w:r>
        <w:rPr>
          <w:rStyle w:val="16"/>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6"/>
          <w:rFonts w:hint="eastAsia" w:ascii="仿宋" w:hAnsi="仿宋" w:eastAsia="仿宋" w:cstheme="majorBidi"/>
          <w:bCs/>
          <w:sz w:val="28"/>
          <w:szCs w:val="28"/>
        </w:rPr>
        <w:t>三、</w:t>
      </w:r>
      <w:r>
        <w:rPr>
          <w:rStyle w:val="16"/>
          <w:rFonts w:hint="eastAsia" w:ascii="仿宋" w:hAnsi="仿宋" w:eastAsia="仿宋"/>
          <w:sz w:val="28"/>
          <w:szCs w:val="28"/>
        </w:rPr>
        <w:t>支</w:t>
      </w:r>
      <w:r>
        <w:rPr>
          <w:rStyle w:val="16"/>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6"/>
          <w:rFonts w:hint="eastAsia" w:ascii="仿宋" w:hAnsi="仿宋" w:eastAsia="仿宋"/>
          <w:sz w:val="28"/>
          <w:szCs w:val="28"/>
        </w:rPr>
        <w:t>四、财</w:t>
      </w:r>
      <w:r>
        <w:rPr>
          <w:rStyle w:val="16"/>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6"/>
          <w:rFonts w:hint="eastAsia" w:ascii="仿宋" w:hAnsi="仿宋" w:eastAsia="仿宋"/>
          <w:sz w:val="28"/>
          <w:szCs w:val="28"/>
        </w:rPr>
        <w:t>五、一</w:t>
      </w:r>
      <w:r>
        <w:rPr>
          <w:rStyle w:val="16"/>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6"/>
          <w:rFonts w:hint="eastAsia" w:ascii="仿宋" w:hAnsi="仿宋" w:eastAsia="仿宋"/>
          <w:sz w:val="28"/>
          <w:szCs w:val="28"/>
        </w:rPr>
        <w:t>六、一</w:t>
      </w:r>
      <w:r>
        <w:rPr>
          <w:rStyle w:val="16"/>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6"/>
          <w:rFonts w:hint="eastAsia" w:ascii="仿宋" w:hAnsi="仿宋" w:eastAsia="仿宋"/>
          <w:sz w:val="28"/>
          <w:szCs w:val="28"/>
        </w:rPr>
        <w:t>七、</w:t>
      </w:r>
      <w:r>
        <w:rPr>
          <w:rStyle w:val="16"/>
          <w:rFonts w:ascii="仿宋" w:hAnsi="仿宋" w:eastAsia="仿宋"/>
          <w:sz w:val="28"/>
          <w:szCs w:val="28"/>
        </w:rPr>
        <w:t>“</w:t>
      </w:r>
      <w:r>
        <w:rPr>
          <w:rStyle w:val="16"/>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6"/>
          <w:rFonts w:hint="eastAsia" w:ascii="仿宋" w:hAnsi="仿宋" w:eastAsia="仿宋"/>
          <w:sz w:val="28"/>
          <w:szCs w:val="28"/>
        </w:rPr>
        <w:t>八、</w:t>
      </w:r>
      <w:r>
        <w:rPr>
          <w:rStyle w:val="16"/>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6"/>
          <w:rFonts w:hint="eastAsia" w:ascii="仿宋" w:hAnsi="仿宋" w:eastAsia="仿宋" w:cstheme="majorBidi"/>
          <w:bCs/>
          <w:sz w:val="28"/>
          <w:szCs w:val="28"/>
        </w:rPr>
        <w:t>九、</w:t>
      </w:r>
      <w:r>
        <w:rPr>
          <w:rStyle w:val="16"/>
          <w:rFonts w:hint="eastAsia" w:ascii="仿宋" w:hAnsi="仿宋" w:eastAsia="仿宋"/>
          <w:sz w:val="28"/>
          <w:szCs w:val="28"/>
        </w:rPr>
        <w:t xml:space="preserve"> 国</w:t>
      </w:r>
      <w:r>
        <w:rPr>
          <w:rStyle w:val="16"/>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6"/>
          <w:rFonts w:hint="eastAsia" w:ascii="仿宋" w:hAnsi="仿宋" w:eastAsia="仿宋"/>
          <w:sz w:val="28"/>
          <w:szCs w:val="28"/>
        </w:rPr>
        <w:t>十</w:t>
      </w:r>
      <w:r>
        <w:rPr>
          <w:rStyle w:val="16"/>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6"/>
          <w:rFonts w:hint="eastAsia"/>
          <w:bCs/>
          <w:kern w:val="44"/>
        </w:rPr>
        <w:t>第三部分</w:t>
      </w:r>
      <w:r>
        <w:rPr>
          <w:rStyle w:val="16"/>
          <w:rFonts w:hint="eastAsia"/>
        </w:rPr>
        <w:t xml:space="preserve"> 名</w:t>
      </w:r>
      <w:r>
        <w:rPr>
          <w:rStyle w:val="16"/>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6"/>
          <w:rFonts w:hint="eastAsia"/>
        </w:rPr>
        <w:t>第</w:t>
      </w:r>
      <w:r>
        <w:rPr>
          <w:rStyle w:val="16"/>
          <w:rFonts w:hint="eastAsia"/>
          <w:bCs/>
          <w:kern w:val="44"/>
        </w:rPr>
        <w:t>四部分</w:t>
      </w:r>
      <w:r>
        <w:rPr>
          <w:rStyle w:val="16"/>
          <w:bCs/>
          <w:kern w:val="44"/>
        </w:rPr>
        <w:t xml:space="preserve"> </w:t>
      </w:r>
      <w:r>
        <w:rPr>
          <w:rStyle w:val="16"/>
          <w:rFonts w:hint="eastAsia"/>
          <w:bCs/>
          <w:kern w:val="44"/>
        </w:rPr>
        <w:t>附件</w:t>
      </w:r>
      <w:r>
        <w:tab/>
      </w:r>
      <w:r>
        <w:fldChar w:fldCharType="begin"/>
      </w:r>
      <w:r>
        <w:instrText xml:space="preserve"> PAGEREF _Toc15396614 \h </w:instrText>
      </w:r>
      <w:r>
        <w:fldChar w:fldCharType="separate"/>
      </w:r>
      <w:r>
        <w:t>19</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"_Toc15396615"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1</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"_Toc15396617" </w:instrText>
      </w:r>
      <w:r>
        <w:fldChar w:fldCharType="separate"/>
      </w:r>
      <w:r>
        <w:rPr>
          <w:rStyle w:val="16"/>
          <w:rFonts w:hint="eastAsia" w:ascii="仿宋" w:hAnsi="仿宋" w:eastAsia="仿宋"/>
          <w:kern w:val="44"/>
          <w:sz w:val="28"/>
          <w:szCs w:val="28"/>
        </w:rPr>
        <w:t>附件</w:t>
      </w:r>
      <w:r>
        <w:rPr>
          <w:rStyle w:val="16"/>
          <w:rFonts w:ascii="仿宋" w:hAnsi="仿宋" w:eastAsia="仿宋"/>
          <w:kern w:val="44"/>
          <w:sz w:val="28"/>
          <w:szCs w:val="28"/>
        </w:rPr>
        <w:t>2</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_Toc15396617 \h </w:instrText>
      </w:r>
      <w:r>
        <w:rPr>
          <w:rFonts w:ascii="仿宋" w:hAnsi="仿宋" w:eastAsia="仿宋"/>
          <w:sz w:val="28"/>
          <w:szCs w:val="28"/>
        </w:rPr>
        <w:fldChar w:fldCharType="separate"/>
      </w:r>
      <w:r>
        <w:rPr>
          <w:rFonts w:ascii="仿宋" w:hAnsi="仿宋" w:eastAsia="仿宋"/>
          <w:sz w:val="28"/>
          <w:szCs w:val="28"/>
        </w:rPr>
        <w:t>21</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"_Toc15396618" </w:instrText>
      </w:r>
      <w:r>
        <w:fldChar w:fldCharType="separate"/>
      </w:r>
      <w:r>
        <w:rPr>
          <w:rStyle w:val="16"/>
          <w:rFonts w:hint="eastAsia"/>
        </w:rPr>
        <w:t>第</w:t>
      </w:r>
      <w:r>
        <w:rPr>
          <w:rStyle w:val="16"/>
          <w:rFonts w:hint="eastAsia"/>
          <w:bCs/>
          <w:kern w:val="44"/>
        </w:rPr>
        <w:t>五部分</w:t>
      </w:r>
      <w:r>
        <w:rPr>
          <w:rStyle w:val="16"/>
          <w:bCs/>
          <w:kern w:val="44"/>
        </w:rPr>
        <w:t xml:space="preserve"> </w:t>
      </w:r>
      <w:r>
        <w:rPr>
          <w:rStyle w:val="16"/>
          <w:rFonts w:hint="eastAsia"/>
          <w:bCs/>
          <w:kern w:val="44"/>
        </w:rPr>
        <w:t>附表</w:t>
      </w:r>
      <w:r>
        <w:tab/>
      </w:r>
      <w:r>
        <w:fldChar w:fldCharType="begin"/>
      </w:r>
      <w:r>
        <w:instrText xml:space="preserve"> PAGEREF _Toc15396618 \h </w:instrText>
      </w:r>
      <w:r>
        <w:fldChar w:fldCharType="separate"/>
      </w:r>
      <w:r>
        <w:t>22</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6"/>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6"/>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6"/>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6"/>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6"/>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6"/>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6"/>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6"/>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6"/>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6"/>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6"/>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6"/>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22</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5"/>
          <w:rFonts w:ascii="黑体" w:hAnsi="黑体" w:eastAsia="黑体"/>
          <w:b/>
          <w:bCs w:val="0"/>
        </w:rPr>
      </w:pPr>
      <w:r>
        <w:rPr>
          <w:rFonts w:hint="eastAsia" w:ascii="黑体" w:hAnsi="黑体" w:eastAsia="黑体"/>
          <w:b w:val="0"/>
        </w:rPr>
        <w:t xml:space="preserve">第一部分 </w:t>
      </w:r>
      <w:r>
        <w:rPr>
          <w:rStyle w:val="25"/>
          <w:rFonts w:hint="eastAsia" w:ascii="黑体" w:hAnsi="黑体" w:eastAsia="黑体"/>
          <w:b w:val="0"/>
          <w:bCs w:val="0"/>
        </w:rPr>
        <w:t>部门概况</w:t>
      </w:r>
      <w:bookmarkEnd w:id="12"/>
      <w:bookmarkEnd w:id="13"/>
    </w:p>
    <w:p>
      <w:pPr>
        <w:pStyle w:val="3"/>
        <w:rPr>
          <w:rStyle w:val="26"/>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6"/>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8445"/>
      <w:bookmarkStart w:id="17" w:name="_Toc15377198"/>
      <w:r>
        <w:rPr>
          <w:rFonts w:hint="eastAsia" w:ascii="仿宋" w:hAnsi="仿宋" w:eastAsia="仿宋"/>
          <w:bCs/>
          <w:color w:val="000000"/>
          <w:sz w:val="32"/>
          <w:szCs w:val="32"/>
        </w:rPr>
        <w:t>（一）主要职能</w:t>
      </w:r>
      <w:bookmarkEnd w:id="16"/>
      <w:bookmarkEnd w:id="17"/>
      <w:bookmarkStart w:id="18" w:name="_Toc15378446"/>
      <w:bookmarkStart w:id="19" w:name="_Toc15377199"/>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1、认真贯彻落实国家、自治区、桂林市招生工作方针、政策，发挥招考监督职能，坚持公平、公正、公开原则，积极推进“阳光招考工程”，全面完成招生考试工作各项任务；</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2、负责普通高考、成人高考、自学考试等国家教育招生考试的宣传、报名、资格审查、组考及档案管理工作；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3、负责考生资格审查工作，组织普高考生体检、民族成分优惠信息的录入、志愿填报、高考成绩及录取信息数据发布等工作。组织征订各类招生考试资料；</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4、负责制定全县普通高校招生与考试的有关规章制度、措施、办法，并组织实施；</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5、负责本县全国英语等级考试（PETS考试）的报名、组考工作；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6、负责国家高等教育自学考试毕业人员的审报工作，为相关单位或个人做好普通高考、自考、成人高考毕业生学历认定工作；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7、完成招生考试工作的调研，并做好招生考试工作的宣传报道；</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8、完成招生委员会和局领导安排的其它工作。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1、普通高考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2018年全区共有7899名考生报名参加普通高考，比去年7041人增加了858人。其中，文科类考生3128人，比去年的2817人增加了311人；理科类考生3658人，比去年的3430人增加了228人；职教类考生1113人，比去年的794人增加了319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今年，我区有1364人被各类高校单招录取，有2930人达本科线，其中，文科725人，同比增加81人；理科2071人，同比增加305人；职教类本科9人，同比增加3人。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今年我区被各类高校录取新生共6646人，占考生总数的84.13％。其中：本科层次录取2783人，同比增加352人；专科层次录取3863人，同比增加了218人；高校和地方扶贫专项计划录取18人；免费师范生录取10人，同比减少24人；军事院校（空军飞行员）录取7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2、成人高考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2018年我区报名人数1836人，其中：高中起点文科429人（高起本9人），理科535人（高起本3人）；专科起点升本科860人。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3、高教自考</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2018年我区共组织两次自学考试，两次共报考5398科次，2251人次。第17.1次自学考试：报考1677科次，824人次参加，其中新生160人；第17.2次自学考试：报考3721科次，1427人次参加考试，其中新生138人。全年自考毕业生1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4、中职招生</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今年我区初中毕业生到招办咨询人数达600余人， 报考五年制高职238人，录取新生183人。</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5、信息工作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圆满完成了2018年全国普通高校招生考试、全国高等教育自学考试、全国成人高校招生考试、普通高考艺体考试报名等招生考试工作。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圆满完成2018年普通高考7899名考生、成人高考1826名考生、自考683人次自考新生等办理照相报名、信息采集、网上缴费、志愿填报等工作。</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我区今年各类各次教育考试全面结束。在每次考试期间，试卷安全保密无失泄密事件；考风考纪得到进一步好转，无群体舞弊、雷同卷；无任何交通、饮食安全事故发生。得到各级领导的好评，全年各类国家教育考试实现了顺利、圆满、平安的目标。</w:t>
      </w:r>
    </w:p>
    <w:p>
      <w:pPr>
        <w:pStyle w:val="3"/>
        <w:rPr>
          <w:rStyle w:val="26"/>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6"/>
          <w:rFonts w:hint="eastAsia" w:ascii="黑体" w:hAnsi="黑体" w:eastAsia="黑体"/>
          <w:b w:val="0"/>
          <w:bCs w:val="0"/>
        </w:rPr>
        <w:t>构设置</w:t>
      </w:r>
      <w:bookmarkEnd w:id="20"/>
      <w:bookmarkEnd w:id="21"/>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我单位为区教育局下属二级单位1个，参照公务员法管理的事业单位1个。</w:t>
      </w:r>
    </w:p>
    <w:p>
      <w:pPr>
        <w:pStyle w:val="2"/>
        <w:ind w:right="440"/>
        <w:jc w:val="right"/>
        <w:rPr>
          <w:rStyle w:val="25"/>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5"/>
          <w:rFonts w:hint="eastAsia" w:ascii="黑体" w:hAnsi="黑体" w:eastAsia="黑体"/>
          <w:b w:val="0"/>
          <w:bCs w:val="0"/>
        </w:rPr>
        <w:t>2018年度部门决算情况说明</w:t>
      </w:r>
      <w:bookmarkEnd w:id="22"/>
      <w:bookmarkEnd w:id="23"/>
    </w:p>
    <w:p/>
    <w:p>
      <w:pPr>
        <w:pStyle w:val="24"/>
        <w:numPr>
          <w:ilvl w:val="0"/>
          <w:numId w:val="1"/>
        </w:numPr>
        <w:spacing w:line="600" w:lineRule="exact"/>
        <w:ind w:firstLineChars="0"/>
        <w:outlineLvl w:val="1"/>
        <w:rPr>
          <w:rStyle w:val="26"/>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6"/>
          <w:rFonts w:hint="eastAsia" w:ascii="黑体" w:hAnsi="黑体" w:eastAsia="黑体"/>
          <w:b w:val="0"/>
        </w:rPr>
        <w:t>入支出决算总体情况说明</w:t>
      </w:r>
      <w:bookmarkEnd w:id="24"/>
      <w:bookmarkEnd w:id="25"/>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2018年度收入总计211.13万元，支出总计229.26 万元。与2017年相比，收入减少6.13万元，下降2.82%；支总计减少6.5 万元，下降2.76%。主要变动原因是调整经费分配、压缩开支。</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left"/>
        <w:textAlignment w:val="auto"/>
      </w:pPr>
      <w: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pPr>
      <w:r>
        <w:rPr>
          <w:rFonts w:hint="eastAsia" w:ascii="仿宋" w:hAnsi="仿宋" w:eastAsia="仿宋"/>
          <w:color w:val="000000" w:themeColor="text1"/>
          <w:sz w:val="32"/>
          <w:szCs w:val="32"/>
          <w14:textFill>
            <w14:solidFill>
              <w14:schemeClr w14:val="tx1"/>
            </w14:solidFill>
          </w14:textFill>
        </w:rPr>
        <w:t>（图</w:t>
      </w:r>
      <w:r>
        <w:rPr>
          <w:rFonts w:ascii="仿宋" w:hAnsi="仿宋" w:eastAsia="仿宋"/>
          <w:color w:val="000000" w:themeColor="text1"/>
          <w:sz w:val="32"/>
          <w:szCs w:val="32"/>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：收、支决算总计变动情况图</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21"/>
          <w:szCs w:val="21"/>
          <w:lang w:val="en-US"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pStyle w:val="24"/>
        <w:numPr>
          <w:ilvl w:val="0"/>
          <w:numId w:val="1"/>
        </w:numPr>
        <w:spacing w:line="600" w:lineRule="exact"/>
        <w:ind w:firstLineChars="0"/>
        <w:outlineLvl w:val="1"/>
        <w:rPr>
          <w:rStyle w:val="26"/>
          <w:rFonts w:ascii="黑体" w:hAnsi="黑体" w:eastAsia="黑体"/>
          <w:b w:val="0"/>
        </w:rPr>
      </w:pPr>
      <w:bookmarkStart w:id="26" w:name="_Toc15377206"/>
      <w:bookmarkStart w:id="27" w:name="_Toc15396604"/>
      <w:r>
        <w:rPr>
          <w:rFonts w:hint="eastAsia" w:ascii="黑体" w:hAnsi="黑体" w:eastAsia="黑体"/>
          <w:color w:val="000000"/>
          <w:sz w:val="32"/>
          <w:szCs w:val="32"/>
        </w:rPr>
        <w:t>收</w:t>
      </w:r>
      <w:r>
        <w:rPr>
          <w:rStyle w:val="26"/>
          <w:rFonts w:hint="eastAsia" w:ascii="黑体" w:hAnsi="黑体" w:eastAsia="黑体"/>
          <w:b w:val="0"/>
        </w:rPr>
        <w:t>入决算情况说明</w:t>
      </w:r>
      <w:bookmarkEnd w:id="26"/>
      <w:bookmarkEnd w:id="27"/>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Times New Roman"/>
          <w:bCs/>
          <w:color w:val="000000"/>
          <w:kern w:val="0"/>
          <w:sz w:val="32"/>
          <w:szCs w:val="32"/>
          <w:lang w:val="en-US" w:eastAsia="zh-CN" w:bidi="ar-SA"/>
        </w:rPr>
      </w:pPr>
      <w:r>
        <w:rPr>
          <w:rFonts w:hint="eastAsia" w:ascii="仿宋" w:hAnsi="仿宋" w:eastAsia="仿宋" w:cs="Times New Roman"/>
          <w:bCs/>
          <w:color w:val="000000"/>
          <w:kern w:val="0"/>
          <w:sz w:val="32"/>
          <w:szCs w:val="32"/>
          <w:lang w:val="en-US" w:eastAsia="zh-CN" w:bidi="ar-SA"/>
        </w:rPr>
        <w:t>2018年本年收入合计211.13万元，其中：一般公共预算财政拨款收入211.13万元，占100%。</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w:t>
      </w:r>
      <w:r>
        <w:rPr>
          <w:rFonts w:hint="eastAsia" w:ascii="仿宋" w:hAnsi="仿宋" w:eastAsia="仿宋"/>
          <w:color w:val="000000" w:themeColor="text1"/>
          <w:sz w:val="21"/>
          <w:szCs w:val="21"/>
          <w:lang w:val="en-US"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pStyle w:val="24"/>
        <w:numPr>
          <w:ilvl w:val="0"/>
          <w:numId w:val="1"/>
        </w:numPr>
        <w:spacing w:line="600" w:lineRule="exact"/>
        <w:ind w:firstLineChars="0"/>
        <w:outlineLvl w:val="1"/>
        <w:rPr>
          <w:rStyle w:val="26"/>
          <w:rFonts w:ascii="黑体" w:hAnsi="黑体" w:eastAsia="黑体"/>
          <w:b w:val="0"/>
        </w:rPr>
      </w:pPr>
      <w:bookmarkStart w:id="28" w:name="_Toc15377207"/>
      <w:bookmarkStart w:id="29" w:name="_Toc15396605"/>
      <w:r>
        <w:rPr>
          <w:rFonts w:hint="eastAsia" w:ascii="黑体" w:hAnsi="黑体" w:eastAsia="黑体"/>
          <w:color w:val="000000"/>
          <w:sz w:val="32"/>
          <w:szCs w:val="32"/>
        </w:rPr>
        <w:t>支</w:t>
      </w:r>
      <w:r>
        <w:rPr>
          <w:rStyle w:val="26"/>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8年本年支出合计229.26万元，其中：基本支出139.26万元，占</w:t>
      </w:r>
      <w:r>
        <w:rPr>
          <w:rFonts w:hint="eastAsia" w:ascii="仿宋" w:hAnsi="仿宋" w:eastAsia="仿宋"/>
          <w:color w:val="000000"/>
          <w:sz w:val="32"/>
          <w:szCs w:val="32"/>
          <w:lang w:val="en-US" w:eastAsia="zh-CN"/>
        </w:rPr>
        <w:t>60.74</w:t>
      </w:r>
      <w:r>
        <w:rPr>
          <w:rFonts w:ascii="仿宋" w:hAnsi="仿宋" w:eastAsia="仿宋"/>
          <w:color w:val="000000"/>
          <w:sz w:val="32"/>
          <w:szCs w:val="32"/>
        </w:rPr>
        <w:t>%</w:t>
      </w:r>
      <w:r>
        <w:rPr>
          <w:rFonts w:hint="eastAsia" w:ascii="仿宋" w:hAnsi="仿宋" w:eastAsia="仿宋"/>
          <w:color w:val="000000"/>
          <w:sz w:val="32"/>
          <w:szCs w:val="32"/>
        </w:rPr>
        <w:t>；项目支出90.00万元，占</w:t>
      </w:r>
      <w:r>
        <w:rPr>
          <w:rFonts w:hint="eastAsia" w:ascii="仿宋" w:hAnsi="仿宋" w:eastAsia="仿宋"/>
          <w:color w:val="000000"/>
          <w:sz w:val="32"/>
          <w:szCs w:val="32"/>
          <w:lang w:val="en-US" w:eastAsia="zh-CN"/>
        </w:rPr>
        <w:t>39.26</w:t>
      </w:r>
      <w:r>
        <w:rPr>
          <w:rFonts w:ascii="仿宋" w:hAnsi="仿宋" w:eastAsia="仿宋"/>
          <w:color w:val="000000"/>
          <w:sz w:val="32"/>
          <w:szCs w:val="32"/>
        </w:rPr>
        <w:t>%</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pPr>
      <w:r>
        <w:drawing>
          <wp:inline distT="0" distB="0" distL="114300" distR="114300">
            <wp:extent cx="4572000" cy="2743200"/>
            <wp:effectExtent l="4445" t="4445" r="14605" b="1460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w:t>
      </w:r>
      <w:r>
        <w:rPr>
          <w:rFonts w:hint="eastAsia" w:ascii="仿宋" w:hAnsi="仿宋" w:eastAsia="仿宋"/>
          <w:color w:val="000000" w:themeColor="text1"/>
          <w:sz w:val="32"/>
          <w:szCs w:val="32"/>
          <w:lang w:val="en-US" w:eastAsia="zh-CN"/>
          <w14:textFill>
            <w14:solidFill>
              <w14:schemeClr w14:val="tx1"/>
            </w14:solidFill>
          </w14:textFill>
        </w:rPr>
        <w:t>单位：万元</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outlineLvl w:val="1"/>
        <w:rPr>
          <w:rStyle w:val="26"/>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6"/>
          <w:rFonts w:hint="eastAsia" w:ascii="黑体" w:hAnsi="黑体" w:eastAsia="黑体"/>
          <w:b w:val="0"/>
        </w:rPr>
        <w:t>政拨款收入支出决算总体情况说明</w:t>
      </w:r>
      <w:bookmarkEnd w:id="30"/>
      <w:bookmarkEnd w:id="31"/>
    </w:p>
    <w:p>
      <w:pPr>
        <w:spacing w:line="600" w:lineRule="exact"/>
        <w:ind w:firstLine="640" w:firstLineChars="200"/>
        <w:rPr>
          <w:rFonts w:hint="eastAsia" w:ascii="仿宋" w:hAnsi="仿宋" w:eastAsia="仿宋"/>
          <w:color w:val="000000"/>
          <w:sz w:val="32"/>
          <w:szCs w:val="32"/>
          <w:lang w:val="en-US" w:eastAsia="zh-CN"/>
        </w:rPr>
      </w:pPr>
      <w:r>
        <w:rPr>
          <w:rFonts w:ascii="仿宋" w:hAnsi="仿宋" w:eastAsia="仿宋"/>
          <w:color w:val="000000"/>
          <w:sz w:val="32"/>
          <w:szCs w:val="32"/>
        </w:rPr>
        <w:t>201</w:t>
      </w:r>
      <w:r>
        <w:rPr>
          <w:rFonts w:hint="eastAsia" w:ascii="仿宋" w:hAnsi="仿宋" w:eastAsia="仿宋"/>
          <w:color w:val="000000"/>
          <w:sz w:val="32"/>
          <w:szCs w:val="32"/>
        </w:rPr>
        <w:t>8年财政拨款2018年度收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总计211.13万元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出总计229.26 万元</w:t>
      </w:r>
      <w:r>
        <w:rPr>
          <w:rFonts w:hint="eastAsia" w:ascii="仿宋" w:hAnsi="仿宋" w:eastAsia="仿宋"/>
          <w:color w:val="000000"/>
          <w:sz w:val="32"/>
          <w:szCs w:val="32"/>
        </w:rPr>
        <w:t>。与2017年相比，收</w:t>
      </w:r>
      <w:r>
        <w:rPr>
          <w:rFonts w:hint="eastAsia" w:ascii="仿宋" w:hAnsi="仿宋" w:eastAsia="仿宋"/>
          <w:color w:val="000000"/>
          <w:sz w:val="32"/>
          <w:szCs w:val="32"/>
          <w:lang w:val="en-US" w:eastAsia="zh-CN"/>
        </w:rPr>
        <w:t>入增加18.44万元，增长9.57%；</w:t>
      </w:r>
      <w:r>
        <w:rPr>
          <w:rFonts w:hint="eastAsia" w:ascii="仿宋" w:hAnsi="仿宋" w:eastAsia="仿宋"/>
          <w:color w:val="000000"/>
          <w:sz w:val="32"/>
          <w:szCs w:val="32"/>
        </w:rPr>
        <w:t>支总计</w:t>
      </w:r>
      <w:r>
        <w:rPr>
          <w:rFonts w:hint="eastAsia" w:ascii="仿宋" w:hAnsi="仿宋" w:eastAsia="仿宋"/>
          <w:color w:val="000000"/>
          <w:sz w:val="32"/>
          <w:szCs w:val="32"/>
          <w:lang w:val="en-US" w:eastAsia="zh-CN"/>
        </w:rPr>
        <w:t>增加52.84</w:t>
      </w:r>
      <w:r>
        <w:rPr>
          <w:rFonts w:hint="eastAsia" w:ascii="仿宋" w:hAnsi="仿宋" w:eastAsia="仿宋"/>
          <w:color w:val="000000"/>
          <w:sz w:val="32"/>
          <w:szCs w:val="32"/>
        </w:rPr>
        <w:t xml:space="preserve"> 万元，</w:t>
      </w:r>
      <w:r>
        <w:rPr>
          <w:rFonts w:hint="eastAsia" w:ascii="仿宋" w:hAnsi="仿宋" w:eastAsia="仿宋"/>
          <w:color w:val="000000"/>
          <w:sz w:val="32"/>
          <w:szCs w:val="32"/>
          <w:lang w:val="en-US" w:eastAsia="zh-CN"/>
        </w:rPr>
        <w:t>增长29.95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招生任务和招生考场等信息化建设支出的增加。</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ascii="仿宋" w:hAnsi="仿宋" w:eastAsia="仿宋"/>
          <w:color w:val="000000" w:themeColor="text1"/>
          <w:sz w:val="32"/>
          <w:szCs w:val="32"/>
          <w14:textFill>
            <w14:solidFill>
              <w14:schemeClr w14:val="tx1"/>
            </w14:solidFill>
          </w14:textFill>
        </w:rPr>
      </w:pPr>
      <w:r>
        <w:drawing>
          <wp:inline distT="0" distB="0" distL="114300" distR="114300">
            <wp:extent cx="4572000" cy="27432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jc w:val="center"/>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21"/>
          <w:szCs w:val="21"/>
          <w:lang w:val="en-US" w:eastAsia="zh-CN"/>
          <w14:textFill>
            <w14:solidFill>
              <w14:schemeClr w14:val="tx1"/>
            </w14:solidFill>
          </w14:textFill>
        </w:rPr>
        <w:t>单位：万元</w:t>
      </w:r>
      <w:r>
        <w:rPr>
          <w:rFonts w:hint="eastAsia" w:ascii="仿宋" w:hAnsi="仿宋" w:eastAsia="仿宋"/>
          <w:color w:val="000000" w:themeColor="text1"/>
          <w:sz w:val="32"/>
          <w:szCs w:val="32"/>
          <w:lang w:eastAsia="zh-CN"/>
          <w14:textFill>
            <w14:solidFill>
              <w14:schemeClr w14:val="tx1"/>
            </w14:solidFill>
          </w14:textFill>
        </w:rPr>
        <w:t>）</w:t>
      </w:r>
    </w:p>
    <w:p>
      <w:pPr>
        <w:spacing w:line="600" w:lineRule="exact"/>
        <w:ind w:firstLine="640" w:firstLineChars="200"/>
        <w:outlineLvl w:val="1"/>
        <w:rPr>
          <w:rStyle w:val="26"/>
          <w:rFonts w:ascii="黑体" w:hAnsi="黑体" w:eastAsia="黑体"/>
          <w:b w:val="0"/>
        </w:rPr>
      </w:pPr>
      <w:bookmarkStart w:id="32" w:name="_Toc15396607"/>
      <w:bookmarkStart w:id="33" w:name="_Toc15377209"/>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6"/>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8年一般公共预算财政拨款支出229.26万元，占本年支出合计的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7年相比，一般公共预算财政拨款支总计</w:t>
      </w:r>
      <w:r>
        <w:rPr>
          <w:rFonts w:hint="eastAsia" w:ascii="仿宋" w:hAnsi="仿宋" w:eastAsia="仿宋"/>
          <w:color w:val="000000"/>
          <w:sz w:val="32"/>
          <w:szCs w:val="32"/>
          <w:lang w:val="en-US" w:eastAsia="zh-CN"/>
        </w:rPr>
        <w:t>增加52.84</w:t>
      </w:r>
      <w:r>
        <w:rPr>
          <w:rFonts w:hint="eastAsia" w:ascii="仿宋" w:hAnsi="仿宋" w:eastAsia="仿宋"/>
          <w:color w:val="000000"/>
          <w:sz w:val="32"/>
          <w:szCs w:val="32"/>
        </w:rPr>
        <w:t xml:space="preserve"> 万元，</w:t>
      </w:r>
      <w:r>
        <w:rPr>
          <w:rFonts w:hint="eastAsia" w:ascii="仿宋" w:hAnsi="仿宋" w:eastAsia="仿宋"/>
          <w:color w:val="000000"/>
          <w:sz w:val="32"/>
          <w:szCs w:val="32"/>
          <w:lang w:val="en-US" w:eastAsia="zh-CN"/>
        </w:rPr>
        <w:t>增长29.95</w:t>
      </w:r>
      <w:r>
        <w:rPr>
          <w:rFonts w:ascii="仿宋" w:hAnsi="仿宋" w:eastAsia="仿宋"/>
          <w:color w:val="000000"/>
          <w:sz w:val="32"/>
          <w:szCs w:val="32"/>
        </w:rPr>
        <w:t>%</w:t>
      </w:r>
      <w:r>
        <w:rPr>
          <w:rFonts w:hint="eastAsia" w:ascii="仿宋" w:hAnsi="仿宋" w:eastAsia="仿宋"/>
          <w:color w:val="000000"/>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pPr>
      <w:r>
        <w:drawing>
          <wp:inline distT="0" distB="0" distL="114300" distR="114300">
            <wp:extent cx="4201160" cy="2552700"/>
            <wp:effectExtent l="4445" t="5080" r="23495" b="13970"/>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（图5：一般公共预算财政拨款支出决算变动情况）（</w:t>
      </w:r>
      <w:r>
        <w:rPr>
          <w:rFonts w:hint="eastAsia" w:ascii="仿宋" w:hAnsi="仿宋" w:eastAsia="仿宋"/>
          <w:color w:val="000000" w:themeColor="text1"/>
          <w:sz w:val="28"/>
          <w:szCs w:val="28"/>
          <w:lang w:val="en-US" w:eastAsia="zh-CN"/>
          <w14:textFill>
            <w14:solidFill>
              <w14:schemeClr w14:val="tx1"/>
            </w14:solidFill>
          </w14:textFill>
        </w:rPr>
        <w:t>单位：万元</w:t>
      </w:r>
      <w:r>
        <w:rPr>
          <w:rFonts w:hint="eastAsia" w:ascii="仿宋" w:hAnsi="仿宋" w:eastAsia="仿宋"/>
          <w:color w:val="000000" w:themeColor="text1"/>
          <w:sz w:val="28"/>
          <w:szCs w:val="28"/>
          <w14:textFill>
            <w14:solidFill>
              <w14:schemeClr w14:val="tx1"/>
            </w14:solidFill>
          </w14:textFill>
        </w:rPr>
        <w:t>）</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color w:val="000000"/>
          <w:sz w:val="32"/>
          <w:szCs w:val="32"/>
        </w:rPr>
        <w:t>229.26</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教育支出（类）</w:t>
      </w:r>
      <w:r>
        <w:rPr>
          <w:rFonts w:hint="eastAsia" w:ascii="仿宋" w:hAnsi="仿宋" w:eastAsia="仿宋"/>
          <w:color w:val="000000" w:themeColor="text1"/>
          <w:sz w:val="32"/>
          <w:szCs w:val="32"/>
          <w14:textFill>
            <w14:solidFill>
              <w14:schemeClr w14:val="tx1"/>
            </w14:solidFill>
          </w14:textFill>
        </w:rPr>
        <w:t>197.58万元，占</w:t>
      </w:r>
      <w:r>
        <w:rPr>
          <w:rFonts w:hint="eastAsia" w:ascii="仿宋" w:hAnsi="仿宋" w:eastAsia="仿宋"/>
          <w:color w:val="000000" w:themeColor="text1"/>
          <w:sz w:val="32"/>
          <w:szCs w:val="32"/>
          <w:lang w:val="en-US" w:eastAsia="zh-CN"/>
          <w14:textFill>
            <w14:solidFill>
              <w14:schemeClr w14:val="tx1"/>
            </w14:solidFill>
          </w14:textFill>
        </w:rPr>
        <w:t>86.18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color w:val="000000" w:themeColor="text1"/>
          <w:sz w:val="32"/>
          <w:szCs w:val="32"/>
          <w14:textFill>
            <w14:solidFill>
              <w14:schemeClr w14:val="tx1"/>
            </w14:solidFill>
          </w14:textFill>
        </w:rPr>
        <w:t>社会保障和就业（类）</w:t>
      </w:r>
      <w:r>
        <w:rPr>
          <w:rFonts w:hint="eastAsia" w:ascii="仿宋" w:hAnsi="仿宋" w:eastAsia="仿宋"/>
          <w:color w:val="000000" w:themeColor="text1"/>
          <w:sz w:val="32"/>
          <w:szCs w:val="32"/>
          <w14:textFill>
            <w14:solidFill>
              <w14:schemeClr w14:val="tx1"/>
            </w14:solidFill>
          </w14:textFill>
        </w:rPr>
        <w:t>支出12.07万元，占</w:t>
      </w:r>
      <w:r>
        <w:rPr>
          <w:rFonts w:hint="eastAsia" w:ascii="仿宋" w:hAnsi="仿宋" w:eastAsia="仿宋"/>
          <w:color w:val="000000" w:themeColor="text1"/>
          <w:sz w:val="32"/>
          <w:szCs w:val="32"/>
          <w:lang w:val="en-US" w:eastAsia="zh-CN"/>
          <w14:textFill>
            <w14:solidFill>
              <w14:schemeClr w14:val="tx1"/>
            </w14:solidFill>
          </w14:textFill>
        </w:rPr>
        <w:t>5.96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医疗卫生支出</w:t>
      </w:r>
      <w:r>
        <w:rPr>
          <w:rFonts w:hint="eastAsia" w:ascii="仿宋" w:hAnsi="仿宋" w:eastAsia="仿宋"/>
          <w:b/>
          <w:color w:val="000000" w:themeColor="text1"/>
          <w:sz w:val="32"/>
          <w:szCs w:val="32"/>
          <w14:textFill>
            <w14:solidFill>
              <w14:schemeClr w14:val="tx1"/>
            </w14:solidFill>
          </w14:textFill>
        </w:rPr>
        <w:t>（类）</w:t>
      </w:r>
      <w:r>
        <w:rPr>
          <w:rFonts w:hint="eastAsia" w:ascii="仿宋" w:hAnsi="仿宋" w:eastAsia="仿宋"/>
          <w:color w:val="000000" w:themeColor="text1"/>
          <w:sz w:val="32"/>
          <w:szCs w:val="32"/>
          <w14:textFill>
            <w14:solidFill>
              <w14:schemeClr w14:val="tx1"/>
            </w14:solidFill>
          </w14:textFill>
        </w:rPr>
        <w:t>5.94万元，占</w:t>
      </w:r>
      <w:r>
        <w:rPr>
          <w:rFonts w:hint="eastAsia" w:ascii="仿宋" w:hAnsi="仿宋" w:eastAsia="仿宋"/>
          <w:color w:val="000000" w:themeColor="text1"/>
          <w:sz w:val="32"/>
          <w:szCs w:val="32"/>
          <w:lang w:val="en-US" w:eastAsia="zh-CN"/>
          <w14:textFill>
            <w14:solidFill>
              <w14:schemeClr w14:val="tx1"/>
            </w14:solidFill>
          </w14:textFill>
        </w:rPr>
        <w:t>2.59</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r>
        <w:rPr>
          <w:rFonts w:hint="eastAsia" w:ascii="仿宋" w:hAnsi="仿宋" w:eastAsia="仿宋"/>
          <w:b/>
          <w:bCs/>
          <w:color w:val="000000" w:themeColor="text1"/>
          <w:sz w:val="32"/>
          <w:szCs w:val="32"/>
          <w14:textFill>
            <w14:solidFill>
              <w14:schemeClr w14:val="tx1"/>
            </w14:solidFill>
          </w14:textFill>
        </w:rPr>
        <w:t>住房保障支出（类）</w:t>
      </w:r>
      <w:r>
        <w:rPr>
          <w:rFonts w:hint="eastAsia" w:ascii="仿宋" w:hAnsi="仿宋" w:eastAsia="仿宋"/>
          <w:color w:val="000000" w:themeColor="text1"/>
          <w:sz w:val="32"/>
          <w:szCs w:val="32"/>
          <w14:textFill>
            <w14:solidFill>
              <w14:schemeClr w14:val="tx1"/>
            </w14:solidFill>
          </w14:textFill>
        </w:rPr>
        <w:t>13.67万元，占</w:t>
      </w:r>
      <w:r>
        <w:rPr>
          <w:rFonts w:hint="eastAsia" w:ascii="仿宋" w:hAnsi="仿宋" w:eastAsia="仿宋"/>
          <w:color w:val="000000" w:themeColor="text1"/>
          <w:sz w:val="32"/>
          <w:szCs w:val="32"/>
          <w:lang w:val="en-US" w:eastAsia="zh-CN"/>
          <w14:textFill>
            <w14:solidFill>
              <w14:schemeClr w14:val="tx1"/>
            </w14:solidFill>
          </w14:textFill>
        </w:rPr>
        <w:t>5.26</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pPr>
      <w: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jc w:val="center"/>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w:t>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8460"/>
      <w:bookmarkStart w:id="38" w:name="_Toc15377444"/>
      <w:bookmarkStart w:id="39" w:name="_Toc15377213"/>
      <w:r>
        <w:rPr>
          <w:rFonts w:hint="eastAsia" w:ascii="仿宋" w:hAnsi="仿宋" w:eastAsia="仿宋"/>
          <w:b/>
          <w:color w:val="000000" w:themeColor="text1"/>
          <w:sz w:val="32"/>
          <w:szCs w:val="32"/>
          <w14:textFill>
            <w14:solidFill>
              <w14:schemeClr w14:val="tx1"/>
            </w14:solidFill>
          </w14:textFill>
        </w:rPr>
        <w:t>2018年</w:t>
      </w:r>
      <w:r>
        <w:rPr>
          <w:rFonts w:hint="eastAsia" w:ascii="仿宋" w:hAnsi="仿宋" w:eastAsia="仿宋"/>
          <w:b/>
          <w:color w:val="000000" w:themeColor="text1"/>
          <w:sz w:val="32"/>
          <w:szCs w:val="32"/>
          <w:lang w:val="en-US"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般公共预算支出决算数为229.25</w:t>
      </w:r>
      <w:r>
        <w:rPr>
          <w:rFonts w:hint="eastAsia" w:ascii="仿宋" w:hAnsi="仿宋" w:eastAsia="仿宋"/>
          <w:b/>
          <w:color w:val="000000" w:themeColor="text1"/>
          <w:sz w:val="32"/>
          <w:szCs w:val="32"/>
          <w:lang w:val="en-US" w:eastAsia="zh-CN"/>
          <w14:textFill>
            <w14:solidFill>
              <w14:schemeClr w14:val="tx1"/>
            </w14:solidFill>
          </w14:textFill>
        </w:rPr>
        <w:t>万元</w:t>
      </w:r>
      <w:r>
        <w:rPr>
          <w:rFonts w:hint="eastAsia" w:ascii="仿宋" w:hAnsi="仿宋" w:eastAsia="仿宋"/>
          <w:color w:val="000000" w:themeColor="text1"/>
          <w:sz w:val="32"/>
          <w:szCs w:val="32"/>
          <w14:textFill>
            <w14:solidFill>
              <w14:schemeClr w14:val="tx1"/>
            </w14:solidFill>
          </w14:textFill>
        </w:rPr>
        <w:t>，</w:t>
      </w:r>
      <w:r>
        <w:rPr>
          <w:rStyle w:val="15"/>
          <w:rFonts w:hint="eastAsia" w:ascii="仿宋" w:hAnsi="仿宋" w:eastAsia="仿宋"/>
          <w:bCs/>
          <w:color w:val="000000" w:themeColor="text1"/>
          <w:sz w:val="32"/>
          <w:szCs w:val="32"/>
          <w14:textFill>
            <w14:solidFill>
              <w14:schemeClr w14:val="tx1"/>
            </w14:solidFill>
          </w14:textFill>
        </w:rPr>
        <w:t>完成</w:t>
      </w:r>
      <w:r>
        <w:rPr>
          <w:rStyle w:val="15"/>
          <w:rFonts w:hint="eastAsia" w:ascii="仿宋" w:hAnsi="仿宋" w:eastAsia="仿宋"/>
          <w:bCs/>
          <w:color w:val="000000"/>
          <w:sz w:val="32"/>
          <w:szCs w:val="32"/>
        </w:rPr>
        <w:t>预算</w:t>
      </w:r>
      <w:r>
        <w:rPr>
          <w:rStyle w:val="15"/>
          <w:rFonts w:hint="eastAsia" w:ascii="仿宋" w:hAnsi="仿宋" w:eastAsia="仿宋"/>
          <w:bCs/>
          <w:color w:val="000000"/>
          <w:sz w:val="32"/>
          <w:szCs w:val="32"/>
          <w:lang w:val="en-US" w:eastAsia="zh-CN"/>
        </w:rPr>
        <w:t>96.4</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1.</w:t>
      </w:r>
      <w:r>
        <w:rPr>
          <w:rStyle w:val="15"/>
          <w:rFonts w:hint="eastAsia" w:ascii="仿宋" w:hAnsi="仿宋" w:eastAsia="仿宋"/>
          <w:bCs/>
          <w:color w:val="000000"/>
          <w:sz w:val="32"/>
          <w:szCs w:val="32"/>
        </w:rPr>
        <w:t>教育（类）教育管理事务（款）其他教育管理事务支出（项）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支出决算为197.58万元，完成预算</w:t>
      </w:r>
      <w:r>
        <w:rPr>
          <w:rStyle w:val="15"/>
          <w:rFonts w:hint="eastAsia" w:ascii="仿宋" w:hAnsi="仿宋" w:eastAsia="仿宋"/>
          <w:b w:val="0"/>
          <w:bCs/>
          <w:color w:val="000000"/>
          <w:sz w:val="32"/>
          <w:szCs w:val="32"/>
          <w:lang w:val="en-US" w:eastAsia="zh-CN"/>
        </w:rPr>
        <w:t>95.85</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，决算数小于预算数的主要原因是</w:t>
      </w:r>
      <w:r>
        <w:rPr>
          <w:rStyle w:val="15"/>
          <w:rFonts w:hint="eastAsia" w:ascii="仿宋" w:hAnsi="仿宋" w:eastAsia="仿宋"/>
          <w:b w:val="0"/>
          <w:bCs/>
          <w:color w:val="000000"/>
          <w:sz w:val="32"/>
          <w:szCs w:val="32"/>
          <w:lang w:val="en-US" w:eastAsia="zh-CN"/>
        </w:rPr>
        <w:t>年底有少部分费用未及时支出</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2</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社会保障和就业（类）行政事业单位离退休（款）机关事业单位基本养老保险缴费支出★（项）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支出决算为12.07万元，完成预算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hint="eastAsia" w:ascii="仿宋" w:hAnsi="仿宋" w:eastAsia="仿宋"/>
          <w:bCs/>
          <w:color w:val="000000"/>
          <w:sz w:val="32"/>
          <w:szCs w:val="32"/>
          <w:lang w:val="en-US" w:eastAsia="zh-CN"/>
        </w:rPr>
        <w:t>3</w:t>
      </w:r>
      <w:r>
        <w:rPr>
          <w:rStyle w:val="15"/>
          <w:rFonts w:ascii="仿宋" w:hAnsi="仿宋" w:eastAsia="仿宋"/>
          <w:bCs/>
          <w:color w:val="000000"/>
          <w:sz w:val="32"/>
          <w:szCs w:val="32"/>
        </w:rPr>
        <w:t>.</w:t>
      </w:r>
      <w:r>
        <w:rPr>
          <w:rStyle w:val="15"/>
          <w:rFonts w:hint="eastAsia" w:ascii="仿宋" w:hAnsi="仿宋" w:eastAsia="仿宋"/>
          <w:bCs/>
          <w:color w:val="000000"/>
          <w:sz w:val="32"/>
          <w:szCs w:val="32"/>
        </w:rPr>
        <w:t>医疗卫生与计划生育（类）行政事业单位医疗★（款）事业单位医疗★（项）</w:t>
      </w:r>
      <w:r>
        <w:rPr>
          <w:rStyle w:val="15"/>
          <w:rFonts w:ascii="仿宋" w:hAnsi="仿宋" w:eastAsia="仿宋"/>
          <w:bCs/>
          <w:color w:val="000000"/>
          <w:sz w:val="32"/>
          <w:szCs w:val="32"/>
        </w:rPr>
        <w:t>:</w:t>
      </w:r>
      <w:r>
        <w:rPr>
          <w:rStyle w:val="15"/>
          <w:rFonts w:hint="eastAsia" w:ascii="仿宋" w:hAnsi="仿宋" w:eastAsia="仿宋"/>
          <w:b w:val="0"/>
          <w:bCs/>
          <w:color w:val="000000"/>
          <w:sz w:val="32"/>
          <w:szCs w:val="32"/>
        </w:rPr>
        <w:t>支出决算为5.94万元，完成预算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5"/>
          <w:rFonts w:ascii="仿宋" w:hAnsi="仿宋" w:eastAsia="仿宋"/>
          <w:bCs/>
          <w:color w:val="000000"/>
          <w:sz w:val="32"/>
          <w:szCs w:val="32"/>
        </w:rPr>
        <w:t>4.</w:t>
      </w:r>
      <w:r>
        <w:rPr>
          <w:rStyle w:val="15"/>
          <w:rFonts w:hint="eastAsia" w:ascii="仿宋" w:hAnsi="仿宋" w:eastAsia="仿宋"/>
          <w:bCs/>
          <w:color w:val="000000"/>
          <w:sz w:val="32"/>
          <w:szCs w:val="32"/>
        </w:rPr>
        <w:t>住房保障支出（类）住房改革支出（款）住房公积金（项）</w:t>
      </w:r>
      <w:r>
        <w:rPr>
          <w:rStyle w:val="15"/>
          <w:rFonts w:ascii="仿宋" w:hAnsi="仿宋" w:eastAsia="仿宋"/>
          <w:bCs/>
          <w:color w:val="000000"/>
          <w:sz w:val="32"/>
          <w:szCs w:val="32"/>
        </w:rPr>
        <w:t>:</w:t>
      </w:r>
      <w:r>
        <w:rPr>
          <w:rStyle w:val="15"/>
          <w:rFonts w:ascii="仿宋" w:hAnsi="仿宋" w:eastAsia="仿宋"/>
          <w:b w:val="0"/>
          <w:bCs/>
          <w:color w:val="000000"/>
          <w:sz w:val="32"/>
          <w:szCs w:val="32"/>
        </w:rPr>
        <w:t xml:space="preserve"> </w:t>
      </w:r>
      <w:r>
        <w:rPr>
          <w:rStyle w:val="15"/>
          <w:rFonts w:hint="eastAsia" w:ascii="仿宋" w:hAnsi="仿宋" w:eastAsia="仿宋"/>
          <w:b w:val="0"/>
          <w:bCs/>
          <w:color w:val="000000"/>
          <w:sz w:val="32"/>
          <w:szCs w:val="32"/>
        </w:rPr>
        <w:t>支出决算为13.67万元，完成预算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（数据来源财决</w:t>
      </w:r>
      <w:r>
        <w:rPr>
          <w:rFonts w:ascii="仿宋" w:hAnsi="仿宋" w:eastAsia="仿宋"/>
          <w:b/>
          <w:color w:val="000000"/>
          <w:sz w:val="32"/>
          <w:szCs w:val="32"/>
        </w:rPr>
        <w:t>08</w:t>
      </w:r>
      <w:r>
        <w:rPr>
          <w:rFonts w:hint="eastAsia" w:ascii="仿宋" w:hAnsi="仿宋" w:eastAsia="仿宋"/>
          <w:b/>
          <w:color w:val="000000"/>
          <w:sz w:val="32"/>
          <w:szCs w:val="32"/>
        </w:rPr>
        <w:t>表，罗列全部功能分类科目至项级。上述“预算”口径为调整预算数。增减变动原因为决算数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和调整预算数</w:t>
      </w:r>
      <w:r>
        <w:rPr>
          <w:rFonts w:ascii="仿宋" w:hAnsi="仿宋" w:eastAsia="仿宋"/>
          <w:b/>
          <w:color w:val="000000"/>
          <w:sz w:val="32"/>
          <w:szCs w:val="32"/>
        </w:rPr>
        <w:t>&lt;</w:t>
      </w:r>
      <w:r>
        <w:rPr>
          <w:rFonts w:hint="eastAsia" w:ascii="仿宋" w:hAnsi="仿宋" w:eastAsia="仿宋"/>
          <w:b/>
          <w:color w:val="000000"/>
          <w:sz w:val="32"/>
          <w:szCs w:val="32"/>
        </w:rPr>
        <w:t>项级</w:t>
      </w:r>
      <w:r>
        <w:rPr>
          <w:rFonts w:ascii="仿宋" w:hAnsi="仿宋" w:eastAsia="仿宋"/>
          <w:b/>
          <w:color w:val="000000"/>
          <w:sz w:val="32"/>
          <w:szCs w:val="32"/>
        </w:rPr>
        <w:t>&gt;</w:t>
      </w:r>
      <w:r>
        <w:rPr>
          <w:rFonts w:hint="eastAsia" w:ascii="仿宋" w:hAnsi="仿宋" w:eastAsia="仿宋"/>
          <w:b/>
          <w:color w:val="000000"/>
          <w:sz w:val="32"/>
          <w:szCs w:val="32"/>
        </w:rPr>
        <w:t>比较，与预算数持平可以不写原因。）</w:t>
      </w:r>
    </w:p>
    <w:p>
      <w:pPr>
        <w:tabs>
          <w:tab w:val="right" w:pos="8306"/>
        </w:tabs>
        <w:spacing w:line="600" w:lineRule="exact"/>
        <w:ind w:firstLine="640"/>
        <w:outlineLvl w:val="1"/>
        <w:rPr>
          <w:rStyle w:val="26"/>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6"/>
          <w:rFonts w:hint="eastAsia" w:ascii="黑体" w:hAnsi="黑体" w:eastAsia="黑体"/>
          <w:b w:val="0"/>
        </w:rPr>
        <w:t>般公共预算财政拨款基本支出决算情况说明</w:t>
      </w:r>
      <w:bookmarkEnd w:id="40"/>
      <w:bookmarkEnd w:id="41"/>
      <w:r>
        <w:rPr>
          <w:rStyle w:val="26"/>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8年一般公共预算财政拨款基本支出139.26万元，其中：</w:t>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rPr>
        <w:t>人员经费137.37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公用经费1.86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6"/>
          <w:rFonts w:ascii="黑体" w:hAnsi="黑体" w:eastAsia="黑体"/>
          <w:b w:val="0"/>
        </w:rPr>
      </w:pPr>
      <w:bookmarkStart w:id="42" w:name="_Toc15396609"/>
      <w:bookmarkStart w:id="43" w:name="_Toc15377215"/>
      <w:r>
        <w:rPr>
          <w:rFonts w:hint="eastAsia" w:ascii="黑体" w:eastAsia="黑体"/>
          <w:color w:val="000000"/>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8年“三公”经费财政拨款支出决算为2.41万元，完成预算</w:t>
      </w:r>
      <w:r>
        <w:rPr>
          <w:rFonts w:hint="eastAsia" w:ascii="仿宋" w:hAnsi="仿宋" w:eastAsia="仿宋"/>
          <w:color w:val="000000"/>
          <w:sz w:val="32"/>
          <w:szCs w:val="32"/>
          <w:lang w:val="en-US" w:eastAsia="zh-CN"/>
        </w:rPr>
        <w:t>321.33</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决算数大于</w:t>
      </w:r>
      <w:r>
        <w:rPr>
          <w:rFonts w:hint="eastAsia" w:ascii="仿宋" w:hAnsi="仿宋" w:eastAsia="仿宋"/>
          <w:color w:val="000000"/>
          <w:sz w:val="32"/>
          <w:szCs w:val="32"/>
        </w:rPr>
        <w:t>预算数的主要原因是</w:t>
      </w:r>
      <w:r>
        <w:rPr>
          <w:rFonts w:hint="eastAsia" w:ascii="仿宋" w:hAnsi="仿宋" w:eastAsia="仿宋"/>
          <w:color w:val="000000"/>
          <w:sz w:val="32"/>
          <w:szCs w:val="32"/>
          <w:lang w:val="en-US" w:eastAsia="zh-CN"/>
        </w:rPr>
        <w:t>自考、成考、普通高考等考试监测专用车的</w:t>
      </w:r>
      <w:r>
        <w:rPr>
          <w:rFonts w:hint="eastAsia" w:ascii="仿宋" w:hAnsi="仿宋" w:eastAsia="仿宋"/>
          <w:color w:val="000000"/>
          <w:sz w:val="32"/>
          <w:szCs w:val="32"/>
        </w:rPr>
        <w:t>运行维护费</w:t>
      </w:r>
      <w:r>
        <w:rPr>
          <w:rFonts w:hint="eastAsia" w:ascii="仿宋" w:hAnsi="仿宋" w:eastAsia="仿宋"/>
          <w:color w:val="000000"/>
          <w:sz w:val="32"/>
          <w:szCs w:val="32"/>
          <w:lang w:val="en-US" w:eastAsia="zh-CN"/>
        </w:rPr>
        <w:t>增加</w:t>
      </w:r>
      <w:r>
        <w:rPr>
          <w:rFonts w:hint="eastAsia" w:ascii="仿宋" w:hAnsi="仿宋" w:eastAsia="仿宋"/>
          <w:color w:val="000000"/>
          <w:sz w:val="32"/>
          <w:szCs w:val="32"/>
        </w:rPr>
        <w:t>。</w:t>
      </w:r>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sz w:val="32"/>
          <w:szCs w:val="32"/>
        </w:rPr>
        <w:t>（上述“预算”口径为调整预</w:t>
      </w:r>
      <w:r>
        <w:rPr>
          <w:rFonts w:hint="eastAsia" w:ascii="仿宋" w:hAnsi="仿宋" w:eastAsia="仿宋"/>
          <w:b/>
          <w:color w:val="000000" w:themeColor="text1"/>
          <w:sz w:val="32"/>
          <w:szCs w:val="32"/>
          <w14:textFill>
            <w14:solidFill>
              <w14:schemeClr w14:val="tx1"/>
            </w14:solidFill>
          </w14:textFill>
        </w:rPr>
        <w:t>算数，包括政府性基金支出决算情况。）</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2.41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。具体情况如下：</w:t>
      </w:r>
    </w:p>
    <w:p>
      <w:pPr>
        <w:keepNext w:val="0"/>
        <w:keepLines w:val="0"/>
        <w:pageBreakBefore w:val="0"/>
        <w:widowControl w:val="0"/>
        <w:kinsoku/>
        <w:wordWrap/>
        <w:overflowPunct/>
        <w:topLinePunct w:val="0"/>
        <w:autoSpaceDE/>
        <w:autoSpaceDN/>
        <w:bidi w:val="0"/>
        <w:adjustRightInd/>
        <w:snapToGrid/>
        <w:spacing w:line="240" w:lineRule="auto"/>
        <w:ind w:firstLine="641"/>
        <w:jc w:val="center"/>
        <w:textAlignment w:val="auto"/>
        <w:rPr>
          <w:rFonts w:ascii="仿宋" w:hAnsi="仿宋" w:eastAsia="仿宋"/>
          <w:color w:val="000000"/>
          <w:sz w:val="32"/>
          <w:szCs w:val="32"/>
        </w:rPr>
      </w:pPr>
      <w:r>
        <w:drawing>
          <wp:inline distT="0" distB="0" distL="114300" distR="114300">
            <wp:extent cx="4572000" cy="2743200"/>
            <wp:effectExtent l="4445" t="4445" r="14605" b="14605"/>
            <wp:docPr id="8"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hint="eastAsia" w:ascii="仿宋" w:hAnsi="仿宋" w:eastAsia="仿宋"/>
          <w:color w:val="000000"/>
          <w:sz w:val="32"/>
          <w:szCs w:val="32"/>
        </w:rPr>
        <w:t>（图8：“三公”经费财政拨款支出结构）</w:t>
      </w:r>
      <w:r>
        <w:rPr>
          <w:rFonts w:hint="eastAsia" w:ascii="仿宋" w:hAnsi="仿宋" w:eastAsia="仿宋"/>
          <w:color w:val="000000"/>
          <w:sz w:val="21"/>
          <w:szCs w:val="21"/>
        </w:rPr>
        <w:t>（</w:t>
      </w:r>
      <w:r>
        <w:rPr>
          <w:rFonts w:hint="eastAsia" w:ascii="仿宋" w:hAnsi="仿宋" w:eastAsia="仿宋"/>
          <w:color w:val="000000"/>
          <w:sz w:val="21"/>
          <w:szCs w:val="21"/>
          <w:lang w:val="en-US" w:eastAsia="zh-CN"/>
        </w:rPr>
        <w:t>单位：万元</w:t>
      </w:r>
      <w:r>
        <w:rPr>
          <w:rFonts w:hint="eastAsia" w:ascii="仿宋" w:hAnsi="仿宋" w:eastAsia="仿宋"/>
          <w:color w:val="000000"/>
          <w:sz w:val="21"/>
          <w:szCs w:val="21"/>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2.41</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100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71.34</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val="en-US" w:eastAsia="zh-CN"/>
        </w:rPr>
        <w:t>厉行节约，严控支出</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辆，其中：轿车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其他用车1辆</w:t>
      </w:r>
      <w:r>
        <w:rPr>
          <w:rFonts w:hint="eastAsia" w:ascii="仿宋_GB2312" w:eastAsia="仿宋_GB2312"/>
          <w:color w:val="000000"/>
          <w:sz w:val="32"/>
          <w:szCs w:val="32"/>
        </w:rPr>
        <w:t>。</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2.41</w:t>
      </w:r>
      <w:r>
        <w:rPr>
          <w:rFonts w:hint="eastAsia" w:ascii="仿宋_GB2312" w:eastAsia="仿宋_GB2312"/>
          <w:color w:val="000000"/>
          <w:sz w:val="32"/>
          <w:szCs w:val="32"/>
        </w:rPr>
        <w:t>万元。主要用于</w:t>
      </w:r>
      <w:r>
        <w:rPr>
          <w:rFonts w:hint="eastAsia" w:ascii="仿宋_GB2312" w:eastAsia="仿宋_GB2312"/>
          <w:color w:val="000000"/>
          <w:sz w:val="32"/>
          <w:szCs w:val="32"/>
          <w:lang w:val="en-US" w:eastAsia="zh-CN"/>
        </w:rPr>
        <w:t>招生考试工作</w:t>
      </w:r>
      <w:r>
        <w:rPr>
          <w:rFonts w:hint="eastAsia" w:ascii="仿宋_GB2312" w:eastAsia="仿宋_GB2312"/>
          <w:color w:val="000000"/>
          <w:sz w:val="32"/>
          <w:szCs w:val="32"/>
        </w:rPr>
        <w:t>等所需的公务用车燃料费、维修费、过路过桥费、保险费等支出。</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5"/>
          <w:rFonts w:hint="eastAsia" w:ascii="仿宋" w:hAnsi="仿宋" w:eastAsia="仿宋"/>
          <w:b w:val="0"/>
          <w:bCs/>
          <w:color w:val="000000"/>
          <w:sz w:val="32"/>
          <w:szCs w:val="32"/>
        </w:rPr>
        <w:t>完成预算</w:t>
      </w:r>
      <w:r>
        <w:rPr>
          <w:rStyle w:val="15"/>
          <w:rFonts w:hint="eastAsia" w:ascii="仿宋" w:hAnsi="仿宋" w:eastAsia="仿宋"/>
          <w:b w:val="0"/>
          <w:bCs/>
          <w:color w:val="000000"/>
          <w:sz w:val="32"/>
          <w:szCs w:val="32"/>
          <w:lang w:val="en-US" w:eastAsia="zh-CN"/>
        </w:rPr>
        <w:t>0</w:t>
      </w:r>
      <w:r>
        <w:rPr>
          <w:rStyle w:val="15"/>
          <w:rFonts w:ascii="仿宋" w:hAnsi="仿宋" w:eastAsia="仿宋"/>
          <w:b w:val="0"/>
          <w:bCs/>
          <w:color w:val="000000"/>
          <w:sz w:val="32"/>
          <w:szCs w:val="32"/>
        </w:rPr>
        <w:t>%</w:t>
      </w:r>
      <w:r>
        <w:rPr>
          <w:rStyle w:val="15"/>
          <w:rFonts w:hint="eastAsia" w:ascii="仿宋" w:hAnsi="仿宋" w:eastAsia="仿宋"/>
          <w:b w:val="0"/>
          <w:bCs/>
          <w:color w:val="000000"/>
          <w:sz w:val="32"/>
          <w:szCs w:val="32"/>
        </w:rPr>
        <w:t>。</w:t>
      </w:r>
    </w:p>
    <w:p>
      <w:pPr>
        <w:spacing w:line="600" w:lineRule="exact"/>
        <w:ind w:firstLine="643" w:firstLineChars="200"/>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w:t>
      </w:r>
    </w:p>
    <w:p>
      <w:pPr>
        <w:spacing w:line="600" w:lineRule="exact"/>
        <w:ind w:firstLine="640"/>
        <w:rPr>
          <w:rFonts w:hint="eastAsia"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bookmarkStart w:id="46" w:name="_Toc15396610"/>
      <w:bookmarkStart w:id="47" w:name="_Toc15377218"/>
    </w:p>
    <w:p>
      <w:pPr>
        <w:spacing w:line="600" w:lineRule="exact"/>
        <w:ind w:firstLine="640"/>
        <w:outlineLvl w:val="1"/>
        <w:rPr>
          <w:rStyle w:val="26"/>
          <w:rFonts w:ascii="黑体" w:hAnsi="黑体" w:eastAsia="黑体"/>
        </w:rPr>
      </w:pPr>
      <w:r>
        <w:rPr>
          <w:rFonts w:hint="eastAsia" w:ascii="黑体" w:eastAsia="黑体"/>
          <w:color w:val="000000"/>
          <w:sz w:val="32"/>
          <w:szCs w:val="32"/>
        </w:rPr>
        <w:t>八、</w:t>
      </w:r>
      <w:r>
        <w:rPr>
          <w:rStyle w:val="26"/>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firstLine="640"/>
        <w:outlineLvl w:val="1"/>
        <w:rPr>
          <w:rStyle w:val="26"/>
          <w:rFonts w:ascii="黑体" w:hAnsi="黑体" w:eastAsia="黑体"/>
          <w:b w:val="0"/>
        </w:rPr>
      </w:pPr>
      <w:bookmarkStart w:id="48" w:name="_Toc15396611"/>
      <w:bookmarkStart w:id="49" w:name="_Toc15377219"/>
      <w:r>
        <w:rPr>
          <w:rStyle w:val="26"/>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pStyle w:val="24"/>
        <w:numPr>
          <w:ilvl w:val="0"/>
          <w:numId w:val="3"/>
        </w:numPr>
        <w:spacing w:line="580" w:lineRule="exact"/>
        <w:ind w:firstLineChars="0"/>
        <w:rPr>
          <w:rStyle w:val="26"/>
          <w:rFonts w:ascii="黑体" w:hAnsi="黑体" w:eastAsia="黑体"/>
          <w:b w:val="0"/>
        </w:rPr>
      </w:pPr>
      <w:r>
        <w:rPr>
          <w:rStyle w:val="26"/>
          <w:rFonts w:hint="eastAsia" w:ascii="黑体" w:hAnsi="黑体" w:eastAsia="黑体"/>
          <w:b w:val="0"/>
        </w:rPr>
        <w:t>预算绩效情况说明</w:t>
      </w:r>
    </w:p>
    <w:p>
      <w:pPr>
        <w:numPr>
          <w:ilvl w:val="0"/>
          <w:numId w:val="4"/>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个项目开展了绩效目标完成情况梳理填报。</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w:t>
      </w:r>
      <w:r>
        <w:rPr>
          <w:rFonts w:hint="eastAsia" w:ascii="仿宋_GB2312" w:hAnsi="仿宋_GB2312" w:eastAsia="仿宋_GB2312" w:cs="仿宋_GB2312"/>
          <w:sz w:val="32"/>
          <w:szCs w:val="32"/>
          <w:lang w:val="en-US" w:eastAsia="zh-CN"/>
        </w:rPr>
        <w:t>达到了设定的效果</w:t>
      </w:r>
      <w:r>
        <w:rPr>
          <w:rFonts w:hint="eastAsia" w:ascii="仿宋_GB2312" w:hAnsi="仿宋_GB2312" w:eastAsia="仿宋_GB2312" w:cs="仿宋_GB2312"/>
          <w:sz w:val="32"/>
          <w:szCs w:val="32"/>
        </w:rPr>
        <w:t>。本部门还自行组织了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个项目绩效评价，从评价情况来</w:t>
      </w:r>
      <w:r>
        <w:rPr>
          <w:rFonts w:hint="eastAsia" w:ascii="仿宋_GB2312" w:hAnsi="仿宋_GB2312" w:eastAsia="仿宋_GB2312" w:cs="仿宋_GB2312"/>
          <w:sz w:val="32"/>
          <w:szCs w:val="32"/>
          <w:lang w:val="en-US" w:eastAsia="zh-CN"/>
        </w:rPr>
        <w:t>看实行了全程控制、提高了项目的完成质量</w:t>
      </w:r>
      <w:r>
        <w:rPr>
          <w:rFonts w:hint="eastAsia" w:ascii="仿宋_GB2312" w:hAnsi="仿宋_GB2312" w:eastAsia="仿宋_GB2312" w:cs="仿宋_GB2312"/>
          <w:sz w:val="32"/>
          <w:szCs w:val="32"/>
        </w:rPr>
        <w:t>。</w:t>
      </w:r>
    </w:p>
    <w:p>
      <w:pPr>
        <w:numPr>
          <w:ilvl w:val="0"/>
          <w:numId w:val="4"/>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p>
    <w:p>
      <w:pPr>
        <w:numPr>
          <w:ilvl w:val="0"/>
          <w:numId w:val="0"/>
        </w:numPr>
        <w:spacing w:line="580" w:lineRule="exact"/>
        <w:ind w:firstLine="960" w:firstLineChars="3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本部门在2018年度部门决算中反映“高考、成考、自考经费</w:t>
      </w:r>
      <w:r>
        <w:rPr>
          <w:rFonts w:hint="eastAsia" w:ascii="仿宋_GB2312" w:hAnsi="仿宋_GB2312" w:eastAsia="仿宋_GB2312" w:cs="仿宋_GB2312"/>
          <w:sz w:val="32"/>
          <w:szCs w:val="32"/>
          <w:lang w:eastAsia="zh-CN"/>
        </w:rPr>
        <w:t>、标准化考点和职位中心建设和维护</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个项目绩效目标实际完成情况。（本单位部门项目绩效目标个数在5个以上的，选取5个项目进行公开，目标个数在5个以下的，全部进行公开，公开内容包括完成情况综述和完成情况表）。</w:t>
      </w:r>
    </w:p>
    <w:p>
      <w:pPr>
        <w:numPr>
          <w:ilvl w:val="0"/>
          <w:numId w:val="5"/>
        </w:numPr>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高考、成考、自考经费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75.85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189.63</w:t>
      </w:r>
      <w:r>
        <w:rPr>
          <w:rFonts w:hint="eastAsia" w:ascii="仿宋_GB2312" w:hAnsi="仿宋_GB2312" w:eastAsia="仿宋_GB2312" w:cs="仿宋_GB2312"/>
          <w:sz w:val="32"/>
          <w:szCs w:val="32"/>
        </w:rPr>
        <w:t>%。通过项目实施，保障支持、促进、提高</w:t>
      </w:r>
      <w:r>
        <w:rPr>
          <w:rFonts w:hint="eastAsia" w:ascii="仿宋_GB2312" w:hAnsi="仿宋_GB2312" w:eastAsia="仿宋_GB2312" w:cs="仿宋_GB2312"/>
          <w:sz w:val="32"/>
          <w:szCs w:val="32"/>
          <w:lang w:val="en-US" w:eastAsia="zh-CN"/>
        </w:rPr>
        <w:t>了项目支付的及时性</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val="en-US" w:eastAsia="zh-CN"/>
        </w:rPr>
        <w:t>随着社会经济迅速发展、社会各界对教育重视程度越来越高、参加自考、成考的人数不断增加，造成年初对项目预算不足。</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加强对各项参考人员的精准预估，不断提高项目预算质量。</w:t>
      </w:r>
    </w:p>
    <w:p>
      <w:pPr>
        <w:numPr>
          <w:ilvl w:val="0"/>
          <w:numId w:val="5"/>
        </w:numPr>
        <w:spacing w:line="580" w:lineRule="exact"/>
        <w:ind w:firstLine="640" w:firstLineChars="200"/>
        <w:rPr>
          <w:rFonts w:hint="eastAsia" w:ascii="仿宋_GB2312" w:hAnsi="仿宋_GB2312" w:eastAsia="仿宋_GB2312" w:cs="仿宋_GB2312"/>
          <w:sz w:val="32"/>
          <w:szCs w:val="32"/>
          <w:lang w:val="en-US" w:eastAsia="zh-CN"/>
        </w:rPr>
      </w:pPr>
    </w:p>
    <w:tbl>
      <w:tblPr>
        <w:tblStyle w:val="13"/>
        <w:tblpPr w:leftFromText="180" w:rightFromText="180" w:vertAnchor="text" w:horzAnchor="page" w:tblpXSpec="center" w:tblpY="423"/>
        <w:tblOverlap w:val="never"/>
        <w:tblW w:w="8381" w:type="dxa"/>
        <w:tblInd w:w="0" w:type="dxa"/>
        <w:tblLayout w:type="fixed"/>
        <w:tblCellMar>
          <w:top w:w="0" w:type="dxa"/>
          <w:left w:w="0" w:type="dxa"/>
          <w:bottom w:w="0" w:type="dxa"/>
          <w:right w:w="0" w:type="dxa"/>
        </w:tblCellMar>
      </w:tblPr>
      <w:tblGrid>
        <w:gridCol w:w="390"/>
        <w:gridCol w:w="1367"/>
        <w:gridCol w:w="1025"/>
        <w:gridCol w:w="1882"/>
        <w:gridCol w:w="2130"/>
        <w:gridCol w:w="1587"/>
      </w:tblGrid>
      <w:tr>
        <w:tblPrEx>
          <w:tblCellMar>
            <w:top w:w="0" w:type="dxa"/>
            <w:left w:w="0" w:type="dxa"/>
            <w:bottom w:w="0" w:type="dxa"/>
            <w:right w:w="0" w:type="dxa"/>
          </w:tblCellMar>
        </w:tblPrEx>
        <w:trPr>
          <w:trHeight w:val="1034" w:hRule="atLeast"/>
        </w:trPr>
        <w:tc>
          <w:tcPr>
            <w:tcW w:w="8381" w:type="dxa"/>
            <w:gridSpan w:val="6"/>
            <w:tcMar>
              <w:top w:w="15" w:type="dxa"/>
              <w:left w:w="15" w:type="dxa"/>
              <w:bottom w:w="0" w:type="dxa"/>
              <w:right w:w="15" w:type="dxa"/>
            </w:tcMar>
            <w:vAlign w:val="center"/>
          </w:tcPr>
          <w:p>
            <w:pPr>
              <w:pStyle w:val="24"/>
              <w:widowControl/>
              <w:ind w:left="0" w:leftChars="0" w:firstLine="0" w:firstLineChars="0"/>
              <w:jc w:val="center"/>
              <w:textAlignment w:val="center"/>
              <w:rPr>
                <w:rFonts w:ascii="宋体" w:hAnsi="宋体" w:cs="宋体"/>
                <w:color w:val="000000"/>
                <w:sz w:val="36"/>
                <w:szCs w:val="36"/>
              </w:rPr>
            </w:pPr>
            <w:r>
              <w:rPr>
                <w:rFonts w:hint="eastAsia" w:ascii="黑体" w:hAnsi="黑体" w:eastAsia="黑体" w:cs="宋体"/>
                <w:bCs/>
                <w:color w:val="000000"/>
                <w:kern w:val="0"/>
                <w:sz w:val="36"/>
                <w:szCs w:val="36"/>
                <w:lang w:bidi="ar"/>
              </w:rPr>
              <w:t>项目支出绩效目标完成情况表</w:t>
            </w:r>
            <w:r>
              <w:rPr>
                <w:rFonts w:hint="eastAsia" w:ascii="宋体" w:hAnsi="宋体" w:cs="宋体"/>
                <w:b/>
                <w:bCs/>
                <w:color w:val="000000"/>
                <w:kern w:val="0"/>
                <w:sz w:val="36"/>
                <w:szCs w:val="36"/>
                <w:lang w:bidi="ar"/>
              </w:rPr>
              <w:br w:type="textWrapping"/>
            </w:r>
            <w:r>
              <w:rPr>
                <w:rFonts w:hint="eastAsia" w:ascii="宋体" w:hAnsi="宋体" w:cs="宋体"/>
                <w:color w:val="000000"/>
                <w:kern w:val="0"/>
                <w:sz w:val="36"/>
                <w:szCs w:val="36"/>
                <w:lang w:bidi="ar"/>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559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24"/>
                <w:szCs w:val="24"/>
              </w:rPr>
              <w:t>高考、成考、自考经费</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5599"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达川区大学中专招生委员会办公室</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40</w:t>
            </w:r>
          </w:p>
        </w:tc>
        <w:tc>
          <w:tcPr>
            <w:tcW w:w="21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15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75.85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90</w:t>
            </w:r>
          </w:p>
        </w:tc>
        <w:tc>
          <w:tcPr>
            <w:tcW w:w="21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15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90</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21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15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37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27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组织好各项考务活动，达到预期目标（高考25万、成考5万、自考10万）</w:t>
            </w:r>
          </w:p>
        </w:tc>
        <w:tc>
          <w:tcPr>
            <w:tcW w:w="3717"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组织好了各项教务活动，圆满完成预定目标（高考45万、成考12万、自考18.85万</w:t>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21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预期指标值(包含数字及文字描述)</w:t>
            </w:r>
          </w:p>
        </w:tc>
        <w:tc>
          <w:tcPr>
            <w:tcW w:w="15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年底完成进度</w:t>
            </w:r>
            <w:r>
              <w:rPr>
                <w:rFonts w:hint="eastAsia" w:ascii="宋体" w:hAnsi="宋体" w:cs="宋体"/>
                <w:i w:val="0"/>
                <w:color w:val="000000"/>
                <w:kern w:val="0"/>
                <w:sz w:val="24"/>
                <w:szCs w:val="24"/>
                <w:u w:val="none"/>
                <w:lang w:val="en-US" w:eastAsia="zh-CN" w:bidi="ar"/>
              </w:rPr>
              <w:t>95%</w:t>
            </w: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成本测算</w:t>
            </w:r>
          </w:p>
        </w:tc>
        <w:tc>
          <w:tcPr>
            <w:tcW w:w="21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高考25万、成考5万、自考10万</w:t>
            </w:r>
          </w:p>
        </w:tc>
        <w:tc>
          <w:tcPr>
            <w:tcW w:w="15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高考45万、成考12万、自考18.85万，（综合完成189.63%）</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color w:val="000000"/>
                <w:kern w:val="0"/>
                <w:sz w:val="24"/>
                <w:szCs w:val="24"/>
                <w:u w:val="none"/>
                <w:lang w:val="en-US" w:eastAsia="zh-CN" w:bidi="ar"/>
              </w:rPr>
              <w:t>效益指标</w:t>
            </w:r>
            <w:r>
              <w:rPr>
                <w:rFonts w:hint="eastAsia" w:ascii="宋体" w:hAnsi="宋体" w:eastAsia="宋体" w:cs="宋体"/>
                <w:i w:val="0"/>
                <w:color w:val="000000"/>
                <w:kern w:val="0"/>
                <w:sz w:val="24"/>
                <w:szCs w:val="24"/>
                <w:u w:val="none"/>
                <w:lang w:val="en-US" w:eastAsia="zh-CN" w:bidi="ar"/>
              </w:rPr>
              <w:tab/>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color w:val="000000"/>
                <w:kern w:val="0"/>
                <w:sz w:val="24"/>
                <w:szCs w:val="24"/>
                <w:u w:val="none"/>
                <w:lang w:val="en-US" w:eastAsia="zh-CN" w:bidi="ar"/>
              </w:rPr>
              <w:t>阶段性</w:t>
            </w: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color w:val="000000"/>
                <w:kern w:val="0"/>
                <w:sz w:val="24"/>
                <w:szCs w:val="24"/>
                <w:u w:val="none"/>
                <w:lang w:val="en-US" w:eastAsia="zh-CN" w:bidi="ar"/>
              </w:rPr>
              <w:t>拟达成效</w:t>
            </w:r>
          </w:p>
        </w:tc>
        <w:tc>
          <w:tcPr>
            <w:tcW w:w="21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组织好各项考务活动，达到预期目标</w:t>
            </w:r>
          </w:p>
        </w:tc>
        <w:tc>
          <w:tcPr>
            <w:tcW w:w="15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组织好</w:t>
            </w:r>
            <w:r>
              <w:rPr>
                <w:rFonts w:hint="eastAsia" w:ascii="宋体" w:hAnsi="宋体" w:cs="宋体"/>
                <w:i w:val="0"/>
                <w:color w:val="000000"/>
                <w:kern w:val="0"/>
                <w:sz w:val="24"/>
                <w:szCs w:val="24"/>
                <w:u w:val="none"/>
                <w:lang w:val="en-US" w:eastAsia="zh-CN" w:bidi="ar"/>
              </w:rPr>
              <w:t>了</w:t>
            </w:r>
            <w:r>
              <w:rPr>
                <w:rFonts w:hint="eastAsia" w:ascii="宋体" w:hAnsi="宋体" w:eastAsia="宋体" w:cs="宋体"/>
                <w:i w:val="0"/>
                <w:color w:val="000000"/>
                <w:kern w:val="0"/>
                <w:sz w:val="24"/>
                <w:szCs w:val="24"/>
                <w:u w:val="none"/>
                <w:lang w:val="en-US" w:eastAsia="zh-CN" w:bidi="ar"/>
              </w:rPr>
              <w:t>各项考务活动，达到</w:t>
            </w:r>
            <w:r>
              <w:rPr>
                <w:rFonts w:hint="eastAsia" w:ascii="宋体" w:hAnsi="宋体" w:cs="宋体"/>
                <w:i w:val="0"/>
                <w:color w:val="000000"/>
                <w:kern w:val="0"/>
                <w:sz w:val="24"/>
                <w:szCs w:val="24"/>
                <w:u w:val="none"/>
                <w:lang w:val="en-US" w:eastAsia="zh-CN" w:bidi="ar"/>
              </w:rPr>
              <w:t>了</w:t>
            </w:r>
            <w:r>
              <w:rPr>
                <w:rFonts w:hint="eastAsia" w:ascii="宋体" w:hAnsi="宋体" w:eastAsia="宋体" w:cs="宋体"/>
                <w:i w:val="0"/>
                <w:color w:val="000000"/>
                <w:kern w:val="0"/>
                <w:sz w:val="24"/>
                <w:szCs w:val="24"/>
                <w:u w:val="none"/>
                <w:lang w:val="en-US" w:eastAsia="zh-CN" w:bidi="ar"/>
              </w:rPr>
              <w:t>预期目标</w:t>
            </w:r>
            <w:r>
              <w:rPr>
                <w:rFonts w:hint="eastAsia" w:ascii="宋体" w:hAnsi="宋体" w:cs="宋体"/>
                <w:i w:val="0"/>
                <w:color w:val="000000"/>
                <w:kern w:val="0"/>
                <w:sz w:val="24"/>
                <w:szCs w:val="24"/>
                <w:u w:val="none"/>
                <w:lang w:val="en-US" w:eastAsia="zh-CN" w:bidi="ar"/>
              </w:rPr>
              <w:t>，并超额完成预算指标</w:t>
            </w:r>
          </w:p>
        </w:tc>
      </w:tr>
      <w:tr>
        <w:tblPrEx>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szCs w:val="24"/>
                <w:lang w:val="en-US"/>
              </w:rPr>
            </w:pPr>
            <w:r>
              <w:rPr>
                <w:rFonts w:hint="eastAsia" w:ascii="宋体" w:hAnsi="宋体" w:cs="宋体"/>
                <w:color w:val="000000"/>
                <w:sz w:val="24"/>
                <w:szCs w:val="24"/>
                <w:lang w:val="en-US" w:eastAsia="zh-CN"/>
              </w:rPr>
              <w:t>无投诉</w:t>
            </w:r>
          </w:p>
        </w:tc>
        <w:tc>
          <w:tcPr>
            <w:tcW w:w="188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好评率100%</w:t>
            </w:r>
          </w:p>
        </w:tc>
        <w:tc>
          <w:tcPr>
            <w:tcW w:w="213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无投诉</w:t>
            </w:r>
          </w:p>
        </w:tc>
        <w:tc>
          <w:tcPr>
            <w:tcW w:w="158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无投诉</w:t>
            </w:r>
          </w:p>
        </w:tc>
      </w:tr>
    </w:tbl>
    <w:p>
      <w:pPr>
        <w:numPr>
          <w:ilvl w:val="0"/>
          <w:numId w:val="0"/>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标准化考点和职位中心建设和维护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项目绩效目标完成情况综述。项目全年预算数</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11.15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223</w:t>
      </w:r>
      <w:r>
        <w:rPr>
          <w:rFonts w:hint="eastAsia" w:ascii="仿宋_GB2312" w:hAnsi="仿宋_GB2312" w:eastAsia="仿宋_GB2312" w:cs="仿宋_GB2312"/>
          <w:sz w:val="32"/>
          <w:szCs w:val="32"/>
        </w:rPr>
        <w:t>%。通过项目实施，保障支持、促进、提高</w:t>
      </w:r>
      <w:r>
        <w:rPr>
          <w:rFonts w:hint="eastAsia" w:ascii="仿宋_GB2312" w:hAnsi="仿宋_GB2312" w:eastAsia="仿宋_GB2312" w:cs="仿宋_GB2312"/>
          <w:sz w:val="32"/>
          <w:szCs w:val="32"/>
          <w:lang w:val="en-US" w:eastAsia="zh-CN"/>
        </w:rPr>
        <w:t>了项目支付的及时性</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val="en-US" w:eastAsia="zh-CN"/>
        </w:rPr>
        <w:t>随着信息化的迅速发展、各种高科技作弊手段花样越来越多，为预防作弊建设标准化考场经费投入也越来越多，造成年初对项目预算不足。</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val="en-US" w:eastAsia="zh-CN"/>
        </w:rPr>
        <w:t>加强预算的准确性，不断提高项目预算质量。</w:t>
      </w:r>
    </w:p>
    <w:tbl>
      <w:tblPr>
        <w:tblStyle w:val="13"/>
        <w:tblpPr w:leftFromText="180" w:rightFromText="180" w:vertAnchor="text" w:horzAnchor="page" w:tblpXSpec="center" w:tblpY="423"/>
        <w:tblOverlap w:val="never"/>
        <w:tblW w:w="8516" w:type="dxa"/>
        <w:tblInd w:w="0" w:type="dxa"/>
        <w:tblLayout w:type="fixed"/>
        <w:tblCellMar>
          <w:top w:w="0" w:type="dxa"/>
          <w:left w:w="0" w:type="dxa"/>
          <w:bottom w:w="0" w:type="dxa"/>
          <w:right w:w="0" w:type="dxa"/>
        </w:tblCellMar>
      </w:tblPr>
      <w:tblGrid>
        <w:gridCol w:w="390"/>
        <w:gridCol w:w="1367"/>
        <w:gridCol w:w="1025"/>
        <w:gridCol w:w="2392"/>
        <w:gridCol w:w="1869"/>
        <w:gridCol w:w="1473"/>
      </w:tblGrid>
      <w:tr>
        <w:tblPrEx>
          <w:tblCellMar>
            <w:top w:w="0" w:type="dxa"/>
            <w:left w:w="0" w:type="dxa"/>
            <w:bottom w:w="0" w:type="dxa"/>
            <w:right w:w="0" w:type="dxa"/>
          </w:tblCellMar>
        </w:tblPrEx>
        <w:trPr>
          <w:trHeight w:val="1034" w:hRule="atLeast"/>
        </w:trPr>
        <w:tc>
          <w:tcPr>
            <w:tcW w:w="8516" w:type="dxa"/>
            <w:gridSpan w:val="6"/>
            <w:tcMar>
              <w:top w:w="15" w:type="dxa"/>
              <w:left w:w="15" w:type="dxa"/>
              <w:bottom w:w="0" w:type="dxa"/>
              <w:right w:w="15" w:type="dxa"/>
            </w:tcMar>
            <w:vAlign w:val="center"/>
          </w:tcPr>
          <w:p>
            <w:pPr>
              <w:pStyle w:val="24"/>
              <w:widowControl/>
              <w:ind w:left="0" w:leftChars="0" w:firstLine="0" w:firstLineChars="0"/>
              <w:jc w:val="center"/>
              <w:textAlignment w:val="center"/>
              <w:rPr>
                <w:rFonts w:hint="eastAsia" w:ascii="黑体" w:hAnsi="黑体" w:eastAsia="黑体" w:cs="宋体"/>
                <w:bCs/>
                <w:color w:val="000000"/>
                <w:kern w:val="0"/>
                <w:sz w:val="36"/>
                <w:szCs w:val="36"/>
                <w:lang w:bidi="ar"/>
              </w:rPr>
            </w:pPr>
            <w:r>
              <w:rPr>
                <w:rFonts w:hint="eastAsia" w:ascii="黑体" w:hAnsi="黑体" w:eastAsia="黑体" w:cs="宋体"/>
                <w:bCs/>
                <w:color w:val="000000"/>
                <w:kern w:val="0"/>
                <w:sz w:val="36"/>
                <w:szCs w:val="36"/>
                <w:lang w:bidi="ar"/>
              </w:rPr>
              <w:t>项目支出绩效目标完成情况表</w:t>
            </w:r>
          </w:p>
          <w:p>
            <w:pPr>
              <w:pStyle w:val="24"/>
              <w:widowControl/>
              <w:ind w:left="0" w:leftChars="0" w:firstLine="0" w:firstLineChars="0"/>
              <w:jc w:val="center"/>
              <w:textAlignment w:val="center"/>
              <w:rPr>
                <w:rFonts w:ascii="宋体" w:hAnsi="宋体" w:cs="宋体"/>
                <w:color w:val="000000"/>
                <w:sz w:val="36"/>
                <w:szCs w:val="36"/>
              </w:rPr>
            </w:pPr>
            <w:r>
              <w:rPr>
                <w:rFonts w:hint="eastAsia" w:ascii="宋体" w:hAnsi="宋体" w:cs="宋体"/>
                <w:color w:val="000000"/>
                <w:kern w:val="0"/>
                <w:sz w:val="36"/>
                <w:szCs w:val="36"/>
                <w:lang w:bidi="ar"/>
              </w:rPr>
              <w:t>(2018 年度)</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项目名称</w:t>
            </w:r>
          </w:p>
        </w:tc>
        <w:tc>
          <w:tcPr>
            <w:tcW w:w="573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仿宋_GB2312" w:hAnsi="仿宋_GB2312" w:eastAsia="仿宋_GB2312" w:cs="仿宋_GB2312"/>
                <w:sz w:val="32"/>
                <w:szCs w:val="32"/>
              </w:rPr>
              <w:t>标准化考点和职位中心建设和维护</w:t>
            </w:r>
          </w:p>
        </w:tc>
      </w:tr>
      <w:tr>
        <w:tblPrEx>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预算单位</w:t>
            </w:r>
          </w:p>
        </w:tc>
        <w:tc>
          <w:tcPr>
            <w:tcW w:w="573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达川区大学中专招生委员会办公室</w:t>
            </w:r>
          </w:p>
        </w:tc>
      </w:tr>
      <w:tr>
        <w:tblPrEx>
          <w:tblCellMar>
            <w:top w:w="0" w:type="dxa"/>
            <w:left w:w="0" w:type="dxa"/>
            <w:bottom w:w="0" w:type="dxa"/>
            <w:right w:w="0" w:type="dxa"/>
          </w:tblCellMar>
        </w:tblPrEx>
        <w:trPr>
          <w:trHeight w:val="2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执行数:</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11.15</w:t>
            </w:r>
          </w:p>
        </w:tc>
      </w:tr>
      <w:tr>
        <w:tblPrEx>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其中-财政拨款:</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11.1</w:t>
            </w:r>
          </w:p>
        </w:tc>
      </w:tr>
      <w:tr>
        <w:tblPrEx>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其它资金:</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0</w:t>
            </w:r>
          </w:p>
        </w:tc>
      </w:tr>
      <w:tr>
        <w:tblPrEx>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预期目标</w:t>
            </w:r>
          </w:p>
        </w:tc>
        <w:tc>
          <w:tcPr>
            <w:tcW w:w="33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实际完成目标</w:t>
            </w:r>
          </w:p>
        </w:tc>
      </w:tr>
      <w:tr>
        <w:tblPrEx>
          <w:tblCellMar>
            <w:top w:w="0" w:type="dxa"/>
            <w:left w:w="0" w:type="dxa"/>
            <w:bottom w:w="0" w:type="dxa"/>
            <w:right w:w="0" w:type="dxa"/>
          </w:tblCellMar>
        </w:tblPrEx>
        <w:trPr>
          <w:trHeight w:val="1604"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cs="宋体"/>
                <w:color w:val="000000"/>
                <w:sz w:val="24"/>
                <w:lang w:val="en-US" w:eastAsia="zh-CN"/>
              </w:rPr>
            </w:pPr>
          </w:p>
          <w:p>
            <w:pPr>
              <w:widowControl/>
              <w:jc w:val="left"/>
              <w:textAlignment w:val="center"/>
              <w:rPr>
                <w:rFonts w:hint="eastAsia" w:ascii="宋体" w:hAnsi="宋体" w:cs="宋体"/>
                <w:color w:val="000000"/>
                <w:sz w:val="24"/>
                <w:lang w:val="en-US" w:eastAsia="zh-CN"/>
              </w:rPr>
            </w:pPr>
          </w:p>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建设多个标准化考点和职位中心建设和维护</w:t>
            </w:r>
            <w:r>
              <w:rPr>
                <w:rFonts w:hint="eastAsia" w:ascii="宋体" w:hAnsi="宋体" w:cs="宋体"/>
                <w:color w:val="000000"/>
                <w:sz w:val="24"/>
                <w:lang w:val="en-US" w:eastAsia="zh-CN"/>
              </w:rPr>
              <w:tab/>
            </w:r>
          </w:p>
        </w:tc>
        <w:tc>
          <w:tcPr>
            <w:tcW w:w="334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建设了多个标准化考点和职位中心建设和维护</w:t>
            </w:r>
            <w:r>
              <w:rPr>
                <w:rFonts w:hint="eastAsia" w:ascii="宋体" w:hAnsi="宋体" w:cs="宋体"/>
                <w:color w:val="000000"/>
                <w:sz w:val="24"/>
                <w:lang w:val="en-US" w:eastAsia="zh-CN"/>
              </w:rPr>
              <w:tab/>
            </w:r>
          </w:p>
        </w:tc>
      </w:tr>
      <w:tr>
        <w:tblPrEx>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三级指标</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预期指标值(包含数字及文字描述)</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实际完成指标值(包含数字及文字描述)</w:t>
            </w:r>
          </w:p>
        </w:tc>
      </w:tr>
      <w:tr>
        <w:tblPrEx>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年底完成进度</w:t>
            </w:r>
            <w:r>
              <w:rPr>
                <w:rFonts w:hint="eastAsia" w:ascii="宋体" w:hAnsi="宋体" w:cs="宋体"/>
                <w:i w:val="0"/>
                <w:color w:val="000000"/>
                <w:kern w:val="0"/>
                <w:sz w:val="24"/>
                <w:szCs w:val="24"/>
                <w:u w:val="none"/>
                <w:lang w:val="en-US" w:eastAsia="zh-CN" w:bidi="ar"/>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成本测算</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标准化考点建设3万元、职位中心建设和维护2万元</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标准化考点建设8万元、职位中心建设和维护3.1万元</w:t>
            </w:r>
          </w:p>
        </w:tc>
      </w:tr>
      <w:tr>
        <w:tblPrEx>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0"/>
                <w:szCs w:val="20"/>
                <w:u w:val="none"/>
                <w:lang w:val="en-US" w:eastAsia="zh-CN" w:bidi="ar"/>
              </w:rPr>
              <w:t>效益指标</w:t>
            </w:r>
            <w:r>
              <w:rPr>
                <w:rFonts w:hint="eastAsia" w:ascii="宋体" w:hAnsi="宋体" w:eastAsia="宋体" w:cs="宋体"/>
                <w:i w:val="0"/>
                <w:color w:val="000000"/>
                <w:kern w:val="0"/>
                <w:sz w:val="20"/>
                <w:szCs w:val="20"/>
                <w:u w:val="none"/>
                <w:lang w:val="en-US" w:eastAsia="zh-CN" w:bidi="ar"/>
              </w:rPr>
              <w:tab/>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color w:val="000000"/>
                <w:kern w:val="0"/>
                <w:sz w:val="24"/>
                <w:szCs w:val="24"/>
                <w:u w:val="none"/>
                <w:lang w:val="en-US" w:eastAsia="zh-CN" w:bidi="ar"/>
              </w:rPr>
              <w:t>阶段性</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szCs w:val="24"/>
              </w:rPr>
            </w:pPr>
            <w:r>
              <w:rPr>
                <w:rFonts w:hint="eastAsia" w:ascii="宋体" w:hAnsi="宋体" w:eastAsia="宋体" w:cs="宋体"/>
                <w:i w:val="0"/>
                <w:color w:val="000000"/>
                <w:kern w:val="0"/>
                <w:sz w:val="24"/>
                <w:szCs w:val="24"/>
                <w:u w:val="none"/>
                <w:lang w:val="en-US" w:eastAsia="zh-CN" w:bidi="ar"/>
              </w:rPr>
              <w:t>拟达成效</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组织好各项考务活动，达到预期目标</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default" w:ascii="宋体" w:hAnsi="宋体" w:eastAsia="宋体" w:cs="宋体"/>
                <w:color w:val="000000"/>
                <w:sz w:val="24"/>
                <w:szCs w:val="24"/>
                <w:lang w:val="en-US" w:eastAsia="zh-CN"/>
              </w:rPr>
            </w:pPr>
            <w:r>
              <w:rPr>
                <w:rFonts w:hint="eastAsia" w:ascii="宋体" w:hAnsi="宋体" w:eastAsia="宋体" w:cs="宋体"/>
                <w:i w:val="0"/>
                <w:color w:val="000000"/>
                <w:kern w:val="0"/>
                <w:sz w:val="24"/>
                <w:szCs w:val="24"/>
                <w:u w:val="none"/>
                <w:lang w:val="en-US" w:eastAsia="zh-CN" w:bidi="ar"/>
              </w:rPr>
              <w:t>组织好</w:t>
            </w:r>
            <w:r>
              <w:rPr>
                <w:rFonts w:hint="eastAsia" w:ascii="宋体" w:hAnsi="宋体" w:cs="宋体"/>
                <w:i w:val="0"/>
                <w:color w:val="000000"/>
                <w:kern w:val="0"/>
                <w:sz w:val="24"/>
                <w:szCs w:val="24"/>
                <w:u w:val="none"/>
                <w:lang w:val="en-US" w:eastAsia="zh-CN" w:bidi="ar"/>
              </w:rPr>
              <w:t>了</w:t>
            </w:r>
            <w:r>
              <w:rPr>
                <w:rFonts w:hint="eastAsia" w:ascii="宋体" w:hAnsi="宋体" w:eastAsia="宋体" w:cs="宋体"/>
                <w:i w:val="0"/>
                <w:color w:val="000000"/>
                <w:kern w:val="0"/>
                <w:sz w:val="24"/>
                <w:szCs w:val="24"/>
                <w:u w:val="none"/>
                <w:lang w:val="en-US" w:eastAsia="zh-CN" w:bidi="ar"/>
              </w:rPr>
              <w:t>各项考务活动，达到</w:t>
            </w:r>
            <w:r>
              <w:rPr>
                <w:rFonts w:hint="eastAsia" w:ascii="宋体" w:hAnsi="宋体" w:cs="宋体"/>
                <w:i w:val="0"/>
                <w:color w:val="000000"/>
                <w:kern w:val="0"/>
                <w:sz w:val="24"/>
                <w:szCs w:val="24"/>
                <w:u w:val="none"/>
                <w:lang w:val="en-US" w:eastAsia="zh-CN" w:bidi="ar"/>
              </w:rPr>
              <w:t>了</w:t>
            </w:r>
            <w:r>
              <w:rPr>
                <w:rFonts w:hint="eastAsia" w:ascii="宋体" w:hAnsi="宋体" w:eastAsia="宋体" w:cs="宋体"/>
                <w:i w:val="0"/>
                <w:color w:val="000000"/>
                <w:kern w:val="0"/>
                <w:sz w:val="24"/>
                <w:szCs w:val="24"/>
                <w:u w:val="none"/>
                <w:lang w:val="en-US" w:eastAsia="zh-CN" w:bidi="ar"/>
              </w:rPr>
              <w:t>预期目标</w:t>
            </w:r>
            <w:r>
              <w:rPr>
                <w:rFonts w:hint="eastAsia" w:ascii="宋体" w:hAnsi="宋体" w:cs="宋体"/>
                <w:i w:val="0"/>
                <w:color w:val="000000"/>
                <w:kern w:val="0"/>
                <w:sz w:val="24"/>
                <w:szCs w:val="24"/>
                <w:u w:val="none"/>
                <w:lang w:val="en-US" w:eastAsia="zh-CN" w:bidi="ar"/>
              </w:rPr>
              <w:t>，并超额完成预算指标</w:t>
            </w:r>
          </w:p>
        </w:tc>
      </w:tr>
      <w:tr>
        <w:tblPrEx>
          <w:tblCellMar>
            <w:top w:w="0" w:type="dxa"/>
            <w:left w:w="0" w:type="dxa"/>
            <w:bottom w:w="0" w:type="dxa"/>
            <w:right w:w="0" w:type="dxa"/>
          </w:tblCellMar>
        </w:tblPrEx>
        <w:trPr>
          <w:trHeight w:val="60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cs="宋体"/>
                <w:color w:val="000000"/>
                <w:sz w:val="24"/>
                <w:szCs w:val="24"/>
                <w:lang w:val="en-US"/>
              </w:rPr>
            </w:pPr>
            <w:r>
              <w:rPr>
                <w:rFonts w:hint="eastAsia" w:ascii="宋体" w:hAnsi="宋体" w:cs="宋体"/>
                <w:color w:val="000000"/>
                <w:sz w:val="24"/>
                <w:szCs w:val="24"/>
                <w:lang w:val="en-US" w:eastAsia="zh-CN"/>
              </w:rPr>
              <w:t>无投诉</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好评率100%</w:t>
            </w:r>
          </w:p>
        </w:tc>
        <w:tc>
          <w:tcPr>
            <w:tcW w:w="186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szCs w:val="24"/>
                <w:lang w:val="en-US" w:eastAsia="zh-CN"/>
              </w:rPr>
            </w:pPr>
            <w:r>
              <w:rPr>
                <w:rFonts w:hint="eastAsia" w:ascii="宋体" w:hAnsi="宋体" w:cs="宋体"/>
                <w:color w:val="000000"/>
                <w:sz w:val="24"/>
                <w:szCs w:val="24"/>
                <w:lang w:val="en-US" w:eastAsia="zh-CN"/>
              </w:rPr>
              <w:t>无投诉</w:t>
            </w:r>
          </w:p>
        </w:tc>
        <w:tc>
          <w:tcPr>
            <w:tcW w:w="1473"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无投诉</w:t>
            </w:r>
          </w:p>
        </w:tc>
      </w:tr>
    </w:tbl>
    <w:p>
      <w:pPr>
        <w:numPr>
          <w:ilvl w:val="0"/>
          <w:numId w:val="4"/>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本部门按要求对2018年部门整体支出绩效评价情况开展自评，《四川省达州市达川区大学中专招生委员会办公室部门2018年部门整体支出绩效评价报告》见附件。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本部门自行组织对其他教育管理事务支出项目开展了绩效评价，《其他教育管理事务支出项目2018年绩效评价报告》见附件。</w:t>
      </w:r>
    </w:p>
    <w:p>
      <w:pPr>
        <w:spacing w:line="600" w:lineRule="exact"/>
        <w:ind w:firstLine="800" w:firstLineChars="250"/>
        <w:outlineLvl w:val="1"/>
        <w:rPr>
          <w:rStyle w:val="26"/>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6"/>
          <w:rFonts w:hint="eastAsia" w:ascii="黑体" w:hAnsi="黑体" w:eastAsia="黑体"/>
        </w:rPr>
        <w:t>一、</w:t>
      </w:r>
      <w:r>
        <w:rPr>
          <w:rStyle w:val="26"/>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w:t>
      </w:r>
      <w:r>
        <w:rPr>
          <w:rFonts w:hint="eastAsia" w:ascii="仿宋" w:hAnsi="仿宋" w:eastAsia="仿宋"/>
          <w:b/>
          <w:color w:val="000000"/>
          <w:sz w:val="32"/>
          <w:szCs w:val="32"/>
          <w:lang w:val="en-US" w:eastAsia="zh-CN"/>
        </w:rPr>
        <w:t>单位</w:t>
      </w:r>
      <w:r>
        <w:rPr>
          <w:rFonts w:hint="eastAsia" w:ascii="仿宋" w:hAnsi="仿宋" w:eastAsia="仿宋"/>
          <w:b/>
          <w:color w:val="000000"/>
          <w:sz w:val="32"/>
          <w:szCs w:val="32"/>
        </w:rPr>
        <w:t>运行经费支出情况</w:t>
      </w:r>
      <w:bookmarkEnd w:id="52"/>
    </w:p>
    <w:p>
      <w:pPr>
        <w:spacing w:line="600" w:lineRule="exact"/>
        <w:ind w:firstLine="640" w:firstLineChars="200"/>
        <w:rPr>
          <w:rFonts w:hint="default" w:ascii="仿宋_GB2312" w:eastAsia="仿宋_GB2312"/>
          <w:color w:val="000000" w:themeColor="text1"/>
          <w:sz w:val="32"/>
          <w:szCs w:val="32"/>
          <w:lang w:val="en-US"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8年，达州市达川区大学中专招生委员会办公室</w:t>
      </w:r>
      <w:r>
        <w:rPr>
          <w:rFonts w:hint="eastAsia" w:ascii="仿宋_GB2312" w:eastAsia="仿宋_GB2312"/>
          <w:color w:val="000000"/>
          <w:sz w:val="32"/>
          <w:szCs w:val="32"/>
          <w:lang w:val="en-US" w:eastAsia="zh-CN"/>
        </w:rPr>
        <w:t>单位</w:t>
      </w:r>
      <w:r>
        <w:rPr>
          <w:rFonts w:hint="eastAsia" w:ascii="仿宋_GB2312" w:eastAsia="仿宋_GB2312"/>
          <w:color w:val="000000"/>
          <w:sz w:val="32"/>
          <w:szCs w:val="32"/>
        </w:rPr>
        <w:t>运行经费支出1.86万元，比</w:t>
      </w:r>
      <w:r>
        <w:rPr>
          <w:rFonts w:ascii="仿宋_GB2312" w:eastAsia="仿宋_GB2312"/>
          <w:color w:val="000000"/>
          <w:sz w:val="32"/>
          <w:szCs w:val="32"/>
        </w:rPr>
        <w:t>201</w:t>
      </w:r>
      <w:r>
        <w:rPr>
          <w:rFonts w:hint="eastAsia" w:ascii="仿宋_GB2312" w:eastAsia="仿宋_GB2312"/>
          <w:color w:val="000000"/>
          <w:sz w:val="32"/>
          <w:szCs w:val="32"/>
        </w:rPr>
        <w:t>7年减少</w:t>
      </w:r>
      <w:r>
        <w:rPr>
          <w:rFonts w:hint="eastAsia" w:ascii="仿宋_GB2312" w:eastAsia="仿宋_GB2312"/>
          <w:color w:val="000000"/>
          <w:sz w:val="32"/>
          <w:szCs w:val="32"/>
          <w:lang w:val="en-US" w:eastAsia="zh-CN"/>
        </w:rPr>
        <w:t>33</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94.66</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eastAsia="仿宋_GB2312"/>
          <w:color w:val="000000" w:themeColor="text1"/>
          <w:sz w:val="32"/>
          <w:szCs w:val="32"/>
          <w:lang w:val="en-US" w:eastAsia="zh-CN"/>
          <w14:textFill>
            <w14:solidFill>
              <w14:schemeClr w14:val="tx1"/>
            </w14:solidFill>
          </w14:textFill>
        </w:rPr>
        <w:t>部分经费2018年底未支付和压减了费用支出。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日，达州市达川区大学中专招生委员会办公室共有车辆</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辆，其中：部级领导干部用车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辆、一般执法执勤用车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辆、特种专业技术用车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辆，</w:t>
      </w:r>
      <w:r>
        <w:rPr>
          <w:rFonts w:hint="eastAsia" w:ascii="仿宋_GB2312" w:eastAsia="仿宋_GB2312"/>
          <w:color w:val="000000" w:themeColor="text1"/>
          <w:sz w:val="32"/>
          <w:szCs w:val="32"/>
          <w14:textFill>
            <w14:solidFill>
              <w14:schemeClr w14:val="tx1"/>
            </w14:solidFill>
          </w14:textFill>
        </w:rPr>
        <w:t>其他用车主要是用于</w:t>
      </w:r>
      <w:r>
        <w:rPr>
          <w:rFonts w:hint="eastAsia" w:ascii="仿宋_GB2312" w:eastAsia="仿宋_GB2312"/>
          <w:color w:val="000000" w:themeColor="text1"/>
          <w:sz w:val="32"/>
          <w:szCs w:val="32"/>
          <w:lang w:val="en-US" w:eastAsia="zh-CN"/>
          <w14:textFill>
            <w14:solidFill>
              <w14:schemeClr w14:val="tx1"/>
            </w14:solidFill>
          </w14:textFill>
        </w:rPr>
        <w:t>招生考试工作的开展。</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5"/>
          <w:rFonts w:ascii="黑体" w:hAnsi="黑体" w:eastAsia="黑体"/>
          <w:b w:val="0"/>
        </w:rPr>
      </w:pPr>
      <w:bookmarkStart w:id="55" w:name="_Toc15377225"/>
      <w:bookmarkStart w:id="56" w:name="_Toc15396613"/>
      <w:r>
        <w:rPr>
          <w:rFonts w:hint="eastAsia" w:ascii="黑体" w:hAnsi="黑体" w:eastAsia="黑体"/>
          <w:b/>
          <w:color w:val="000000"/>
          <w:sz w:val="44"/>
          <w:szCs w:val="44"/>
        </w:rPr>
        <w:t>名</w:t>
      </w:r>
      <w:r>
        <w:rPr>
          <w:rStyle w:val="25"/>
          <w:rFonts w:hint="eastAsia" w:ascii="黑体" w:hAnsi="黑体" w:eastAsia="黑体"/>
          <w:b w:val="0"/>
        </w:rPr>
        <w:t>词解释</w:t>
      </w:r>
      <w:bookmarkEnd w:id="55"/>
      <w:bookmarkEnd w:id="56"/>
    </w:p>
    <w:p>
      <w:pPr>
        <w:pStyle w:val="23"/>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其他收入：指单位取得的除上述收入以外的各项收入。主要是财政专户资金等。</w:t>
      </w:r>
    </w:p>
    <w:p>
      <w:pPr>
        <w:pStyle w:val="23"/>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年初结转和结余：指以前年度尚未完成、结转到本年按有关规定继续使用的资金。</w:t>
      </w:r>
    </w:p>
    <w:p>
      <w:pPr>
        <w:pStyle w:val="23"/>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color w:val="auto"/>
          <w:kern w:val="0"/>
          <w:sz w:val="32"/>
          <w:szCs w:val="32"/>
        </w:rPr>
      </w:pPr>
      <w:r>
        <w:rPr>
          <w:rFonts w:hint="eastAsia" w:ascii="仿宋_GB2312" w:eastAsia="仿宋_GB2312"/>
          <w:color w:val="auto"/>
          <w:sz w:val="32"/>
          <w:szCs w:val="32"/>
          <w:lang w:val="en-US" w:eastAsia="zh-CN"/>
        </w:rPr>
        <w:t>5</w:t>
      </w:r>
      <w:r>
        <w:rPr>
          <w:rFonts w:ascii="仿宋_GB2312" w:eastAsia="仿宋_GB2312"/>
          <w:color w:val="auto"/>
          <w:sz w:val="32"/>
          <w:szCs w:val="32"/>
        </w:rPr>
        <w:t>.</w:t>
      </w:r>
      <w:r>
        <w:rPr>
          <w:rFonts w:hint="eastAsia" w:ascii="仿宋_GB2312" w:eastAsia="仿宋_GB2312"/>
          <w:color w:val="auto"/>
          <w:kern w:val="0"/>
          <w:sz w:val="32"/>
          <w:szCs w:val="32"/>
        </w:rPr>
        <w:t>教育（类）教育管理事务（款）行政运行（项）:指反映行政单位的基本支出。</w:t>
      </w:r>
    </w:p>
    <w:p>
      <w:pPr>
        <w:ind w:firstLine="627" w:firstLineChars="196"/>
        <w:rPr>
          <w:rFonts w:ascii="仿宋_GB2312" w:eastAsia="仿宋_GB2312"/>
          <w:color w:val="auto"/>
          <w:kern w:val="0"/>
          <w:sz w:val="32"/>
          <w:szCs w:val="32"/>
        </w:rPr>
      </w:pPr>
      <w:r>
        <w:rPr>
          <w:rFonts w:hint="eastAsia" w:ascii="仿宋_GB2312" w:eastAsia="仿宋_GB2312"/>
          <w:color w:val="auto"/>
          <w:kern w:val="0"/>
          <w:sz w:val="32"/>
          <w:szCs w:val="32"/>
          <w:lang w:val="en-US" w:eastAsia="zh-CN"/>
        </w:rPr>
        <w:t>6</w:t>
      </w:r>
      <w:r>
        <w:rPr>
          <w:rFonts w:hint="eastAsia" w:ascii="仿宋_GB2312" w:eastAsia="仿宋_GB2312"/>
          <w:color w:val="auto"/>
          <w:kern w:val="0"/>
          <w:sz w:val="32"/>
          <w:szCs w:val="32"/>
        </w:rPr>
        <w:t>.教育（类）教育管理事务（款）一般行政管理事务（项）：指反映行政单位未单独设置项级科目的其他项目支出。</w:t>
      </w:r>
    </w:p>
    <w:p>
      <w:pPr>
        <w:ind w:firstLine="627" w:firstLineChars="196"/>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7</w:t>
      </w:r>
      <w:r>
        <w:rPr>
          <w:rFonts w:hint="eastAsia" w:ascii="仿宋_GB2312" w:eastAsia="仿宋_GB2312"/>
          <w:color w:val="auto"/>
          <w:kern w:val="0"/>
          <w:sz w:val="32"/>
          <w:szCs w:val="32"/>
        </w:rPr>
        <w:t>.教育（类）普通教育（款）学前教育（项）:反映各部门举办的学前教育支出。</w:t>
      </w:r>
    </w:p>
    <w:p>
      <w:pPr>
        <w:ind w:firstLine="627" w:firstLineChars="196"/>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8</w:t>
      </w:r>
      <w:r>
        <w:rPr>
          <w:rFonts w:hint="eastAsia" w:ascii="仿宋_GB2312" w:eastAsia="仿宋_GB2312"/>
          <w:color w:val="auto"/>
          <w:kern w:val="0"/>
          <w:sz w:val="32"/>
          <w:szCs w:val="32"/>
        </w:rPr>
        <w:t>.教育（类）普通教育（款）小学教育（项）:反映各部门举办的小学教育支出。政府各部门对社会中介组织等举办的小学的资助，如各类捐赠、补贴等，也在本科目中反映。</w:t>
      </w:r>
    </w:p>
    <w:p>
      <w:pPr>
        <w:ind w:firstLine="627" w:firstLineChars="196"/>
        <w:rPr>
          <w:rFonts w:hint="eastAsia" w:ascii="仿宋_GB2312" w:eastAsia="仿宋_GB2312"/>
          <w:color w:val="auto"/>
          <w:kern w:val="0"/>
          <w:sz w:val="32"/>
          <w:szCs w:val="32"/>
        </w:rPr>
      </w:pPr>
      <w:r>
        <w:rPr>
          <w:rFonts w:hint="eastAsia" w:ascii="仿宋_GB2312" w:eastAsia="仿宋_GB2312"/>
          <w:color w:val="auto"/>
          <w:kern w:val="0"/>
          <w:sz w:val="32"/>
          <w:szCs w:val="32"/>
        </w:rPr>
        <w:t>9.教育（类）普通教育（款）初中教育（项）:反映各部门举办的初中教育支出。政府各部门对社会中介组织等举办的初中的资助，如捐赠、补贴等，也在本科目中反映。</w:t>
      </w:r>
    </w:p>
    <w:p>
      <w:pPr>
        <w:ind w:firstLine="627" w:firstLineChars="196"/>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10</w:t>
      </w:r>
      <w:r>
        <w:rPr>
          <w:rFonts w:hint="eastAsia" w:ascii="仿宋_GB2312" w:eastAsia="仿宋_GB2312"/>
          <w:color w:val="auto"/>
          <w:kern w:val="0"/>
          <w:sz w:val="32"/>
          <w:szCs w:val="32"/>
        </w:rPr>
        <w:t>.教育（类）普通教育（款）高中教育（项）: 反映各部门举办的高级中学教育支出。政府各部门对社会中介组织等举办的高级中学的资助，如捐赠、补贴等，也在本科目中反映。</w:t>
      </w:r>
    </w:p>
    <w:p>
      <w:pPr>
        <w:ind w:firstLine="627" w:firstLineChars="196"/>
        <w:rPr>
          <w:rFonts w:ascii="仿宋_GB2312" w:eastAsia="仿宋_GB2312"/>
          <w:color w:val="auto"/>
          <w:kern w:val="0"/>
          <w:sz w:val="32"/>
          <w:szCs w:val="32"/>
        </w:rPr>
      </w:pPr>
      <w:r>
        <w:rPr>
          <w:rFonts w:hint="eastAsia" w:ascii="仿宋_GB2312" w:eastAsia="仿宋_GB2312"/>
          <w:color w:val="auto"/>
          <w:kern w:val="0"/>
          <w:sz w:val="32"/>
          <w:szCs w:val="32"/>
        </w:rPr>
        <w:t>1</w:t>
      </w:r>
      <w:r>
        <w:rPr>
          <w:rFonts w:hint="eastAsia" w:ascii="仿宋_GB2312" w:eastAsia="仿宋_GB2312"/>
          <w:color w:val="auto"/>
          <w:kern w:val="0"/>
          <w:sz w:val="32"/>
          <w:szCs w:val="32"/>
          <w:lang w:val="en-US" w:eastAsia="zh-CN"/>
        </w:rPr>
        <w:t>1</w:t>
      </w:r>
      <w:r>
        <w:rPr>
          <w:rFonts w:hint="eastAsia" w:ascii="仿宋_GB2312" w:eastAsia="仿宋_GB2312"/>
          <w:color w:val="auto"/>
          <w:kern w:val="0"/>
          <w:sz w:val="32"/>
          <w:szCs w:val="32"/>
        </w:rPr>
        <w:t>.教育（类）普通教育（款）其他普通教育支出（项）: 指反映除学前教育、小学教育、初中教育、高中教育、高等教育等项目以外其他用于普通教育方面的支出。</w:t>
      </w:r>
    </w:p>
    <w:p>
      <w:pPr>
        <w:ind w:firstLine="627" w:firstLineChars="196"/>
        <w:rPr>
          <w:rFonts w:hint="eastAsia" w:ascii="仿宋_GB2312" w:eastAsia="仿宋_GB2312"/>
          <w:color w:val="auto"/>
          <w:kern w:val="0"/>
          <w:sz w:val="32"/>
          <w:szCs w:val="32"/>
        </w:rPr>
      </w:pPr>
      <w:r>
        <w:rPr>
          <w:rFonts w:hint="eastAsia" w:ascii="仿宋_GB2312" w:eastAsia="仿宋_GB2312"/>
          <w:color w:val="auto"/>
          <w:kern w:val="0"/>
          <w:sz w:val="32"/>
          <w:szCs w:val="32"/>
        </w:rPr>
        <w:t>1</w:t>
      </w:r>
      <w:r>
        <w:rPr>
          <w:rFonts w:hint="eastAsia" w:ascii="仿宋_GB2312" w:eastAsia="仿宋_GB2312"/>
          <w:color w:val="auto"/>
          <w:kern w:val="0"/>
          <w:sz w:val="32"/>
          <w:szCs w:val="32"/>
          <w:lang w:val="en-US" w:eastAsia="zh-CN"/>
        </w:rPr>
        <w:t>2</w:t>
      </w:r>
      <w:r>
        <w:rPr>
          <w:rFonts w:hint="eastAsia" w:ascii="仿宋_GB2312" w:eastAsia="仿宋_GB2312"/>
          <w:color w:val="auto"/>
          <w:kern w:val="0"/>
          <w:sz w:val="32"/>
          <w:szCs w:val="32"/>
        </w:rPr>
        <w:t>.教育（类）职业教育（款）技校教育（项）:反映工业、交通、劳动保障等部门举办的技工学校支出。</w:t>
      </w:r>
    </w:p>
    <w:p>
      <w:pPr>
        <w:ind w:firstLine="627" w:firstLineChars="196"/>
        <w:rPr>
          <w:rFonts w:hint="eastAsia" w:ascii="仿宋_GB2312" w:eastAsia="仿宋_GB2312"/>
          <w:color w:val="auto"/>
          <w:kern w:val="0"/>
          <w:sz w:val="32"/>
          <w:szCs w:val="32"/>
        </w:rPr>
      </w:pPr>
      <w:r>
        <w:rPr>
          <w:rFonts w:hint="eastAsia" w:ascii="仿宋_GB2312" w:eastAsia="仿宋_GB2312"/>
          <w:color w:val="auto"/>
          <w:kern w:val="0"/>
          <w:sz w:val="32"/>
          <w:szCs w:val="32"/>
        </w:rPr>
        <w:t>1</w:t>
      </w:r>
      <w:r>
        <w:rPr>
          <w:rFonts w:hint="eastAsia" w:ascii="仿宋_GB2312" w:eastAsia="仿宋_GB2312"/>
          <w:color w:val="auto"/>
          <w:kern w:val="0"/>
          <w:sz w:val="32"/>
          <w:szCs w:val="32"/>
          <w:lang w:val="en-US" w:eastAsia="zh-CN"/>
        </w:rPr>
        <w:t>3</w:t>
      </w:r>
      <w:r>
        <w:rPr>
          <w:rFonts w:hint="eastAsia" w:ascii="仿宋_GB2312" w:eastAsia="仿宋_GB2312"/>
          <w:color w:val="auto"/>
          <w:kern w:val="0"/>
          <w:sz w:val="32"/>
          <w:szCs w:val="32"/>
        </w:rPr>
        <w:t>.教育（类）职业教育（款）职业高中教育（项）:反映各部门举办的职业中学、农业中学（含普通高中改制的）半工（农）半读中学的支出或补助费。</w:t>
      </w:r>
    </w:p>
    <w:p>
      <w:pPr>
        <w:ind w:firstLine="627" w:firstLineChars="196"/>
        <w:rPr>
          <w:rFonts w:ascii="仿宋_GB2312" w:eastAsia="仿宋_GB2312"/>
          <w:color w:val="auto"/>
          <w:kern w:val="0"/>
          <w:sz w:val="32"/>
          <w:szCs w:val="32"/>
        </w:rPr>
      </w:pPr>
      <w:r>
        <w:rPr>
          <w:rFonts w:hint="eastAsia" w:ascii="仿宋_GB2312" w:eastAsia="仿宋_GB2312"/>
          <w:color w:val="auto"/>
          <w:kern w:val="0"/>
          <w:sz w:val="32"/>
          <w:szCs w:val="32"/>
        </w:rPr>
        <w:t>14.社会保障和就业支出（类）行政事业单位离退休（款）机关事业单位基本养老保险缴费支出（项）:</w:t>
      </w:r>
      <w:r>
        <w:rPr>
          <w:rFonts w:ascii="仿宋_GB2312" w:eastAsia="仿宋_GB2312"/>
          <w:color w:val="auto"/>
          <w:kern w:val="0"/>
          <w:sz w:val="32"/>
          <w:szCs w:val="32"/>
        </w:rPr>
        <w:t>指反映机关事业单位实施养老保险制度由单位缴纳的基本保险费支出。</w:t>
      </w:r>
    </w:p>
    <w:p>
      <w:pPr>
        <w:ind w:firstLine="627" w:firstLineChars="196"/>
        <w:rPr>
          <w:rFonts w:ascii="仿宋_GB2312" w:eastAsia="仿宋_GB2312"/>
          <w:color w:val="auto"/>
          <w:kern w:val="0"/>
          <w:sz w:val="32"/>
          <w:szCs w:val="32"/>
          <w:u w:val="single"/>
        </w:rPr>
      </w:pPr>
      <w:r>
        <w:rPr>
          <w:rFonts w:hint="eastAsia" w:ascii="仿宋_GB2312" w:eastAsia="仿宋_GB2312"/>
          <w:color w:val="auto"/>
          <w:kern w:val="0"/>
          <w:sz w:val="32"/>
          <w:szCs w:val="32"/>
        </w:rPr>
        <w:t>15.社会保障和就业支出（类）行政事业单位离退休（款）机关事业单位职业年金缴费支出（项）:反映机关事业单位实施养老保险制度由单位实际缴纳的职业年金支出。</w:t>
      </w:r>
    </w:p>
    <w:p>
      <w:pPr>
        <w:ind w:firstLine="627" w:firstLineChars="196"/>
        <w:rPr>
          <w:rFonts w:ascii="仿宋_GB2312" w:eastAsia="仿宋_GB2312"/>
          <w:color w:val="auto"/>
          <w:kern w:val="0"/>
          <w:sz w:val="32"/>
          <w:szCs w:val="32"/>
        </w:rPr>
      </w:pPr>
      <w:r>
        <w:rPr>
          <w:rFonts w:hint="eastAsia" w:ascii="仿宋_GB2312" w:eastAsia="仿宋_GB2312"/>
          <w:color w:val="auto"/>
          <w:kern w:val="0"/>
          <w:sz w:val="32"/>
          <w:szCs w:val="32"/>
        </w:rPr>
        <w:t>1</w:t>
      </w:r>
      <w:r>
        <w:rPr>
          <w:rFonts w:hint="eastAsia" w:ascii="仿宋_GB2312" w:eastAsia="仿宋_GB2312"/>
          <w:color w:val="auto"/>
          <w:kern w:val="0"/>
          <w:sz w:val="32"/>
          <w:szCs w:val="32"/>
          <w:lang w:val="en-US" w:eastAsia="zh-CN"/>
        </w:rPr>
        <w:t>6</w:t>
      </w:r>
      <w:r>
        <w:rPr>
          <w:rFonts w:hint="eastAsia" w:ascii="仿宋_GB2312" w:eastAsia="仿宋_GB2312"/>
          <w:color w:val="auto"/>
          <w:kern w:val="0"/>
          <w:sz w:val="32"/>
          <w:szCs w:val="32"/>
        </w:rPr>
        <w:t>.医疗卫生与计划生育支出（类）行政事业单位医疗（款）行政单位医疗（项）: 指反映财政部门集中安排的行政单位基本医疗保险缴费经费，未参加医疗保险的行政单位的公费医疗经费，按国家规定享受离休人员、红军老展示待遇人员的医疗经费。</w:t>
      </w:r>
    </w:p>
    <w:p>
      <w:pPr>
        <w:ind w:firstLine="627" w:firstLineChars="196"/>
        <w:rPr>
          <w:rFonts w:ascii="仿宋_GB2312" w:eastAsia="仿宋_GB2312"/>
          <w:color w:val="auto"/>
          <w:kern w:val="0"/>
          <w:sz w:val="32"/>
          <w:szCs w:val="32"/>
        </w:rPr>
      </w:pPr>
      <w:r>
        <w:rPr>
          <w:rFonts w:hint="eastAsia" w:ascii="仿宋_GB2312" w:eastAsia="仿宋_GB2312"/>
          <w:color w:val="auto"/>
          <w:kern w:val="0"/>
          <w:sz w:val="32"/>
          <w:szCs w:val="32"/>
        </w:rPr>
        <w:t>1</w:t>
      </w:r>
      <w:r>
        <w:rPr>
          <w:rFonts w:hint="eastAsia" w:ascii="仿宋_GB2312" w:eastAsia="仿宋_GB2312"/>
          <w:color w:val="auto"/>
          <w:kern w:val="0"/>
          <w:sz w:val="32"/>
          <w:szCs w:val="32"/>
          <w:lang w:val="en-US" w:eastAsia="zh-CN"/>
        </w:rPr>
        <w:t>7</w:t>
      </w:r>
      <w:r>
        <w:rPr>
          <w:rFonts w:hint="eastAsia" w:ascii="仿宋_GB2312" w:eastAsia="仿宋_GB2312"/>
          <w:color w:val="auto"/>
          <w:kern w:val="0"/>
          <w:sz w:val="32"/>
          <w:szCs w:val="32"/>
        </w:rPr>
        <w:t>.住房保障支出（类）住房改革支出（款）住房公积金（项）:指反映行政事业单位按人力资源和社会保障部、财政部规定的基本工资和津补贴及规定比例为职工缴纳的住房公积金。</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18</w:t>
      </w:r>
      <w:r>
        <w:rPr>
          <w:rFonts w:ascii="仿宋_GB2312" w:eastAsia="仿宋_GB2312"/>
          <w:color w:val="auto"/>
          <w:sz w:val="32"/>
          <w:szCs w:val="32"/>
        </w:rPr>
        <w:t>.</w:t>
      </w:r>
      <w:r>
        <w:rPr>
          <w:rFonts w:hint="eastAsia" w:ascii="仿宋_GB2312" w:eastAsia="仿宋_GB2312"/>
          <w:color w:val="auto"/>
          <w:sz w:val="32"/>
          <w:szCs w:val="32"/>
        </w:rPr>
        <w:t>基本支出：指为保障机构正常运转、完成日常工作任务而发生的人员支出和公用支出。</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19</w:t>
      </w:r>
      <w:r>
        <w:rPr>
          <w:rFonts w:ascii="仿宋_GB2312" w:eastAsia="仿宋_GB2312"/>
          <w:color w:val="auto"/>
          <w:sz w:val="32"/>
          <w:szCs w:val="32"/>
        </w:rPr>
        <w:t>.</w:t>
      </w:r>
      <w:r>
        <w:rPr>
          <w:rFonts w:hint="eastAsia" w:ascii="仿宋_GB2312" w:eastAsia="仿宋_GB2312"/>
          <w:color w:val="auto"/>
          <w:sz w:val="32"/>
          <w:szCs w:val="32"/>
        </w:rPr>
        <w:t>项目支出：指在基本支出之外为完成特定行政任务和事业发展目标所发生的支出。</w:t>
      </w:r>
      <w:r>
        <w:rPr>
          <w:rFonts w:ascii="仿宋_GB2312" w:eastAsia="仿宋_GB2312"/>
          <w:color w:val="auto"/>
          <w:sz w:val="32"/>
          <w:szCs w:val="32"/>
        </w:rPr>
        <w:t xml:space="preserve"> </w:t>
      </w:r>
    </w:p>
    <w:p>
      <w:pPr>
        <w:pStyle w:val="23"/>
        <w:ind w:firstLine="640" w:firstLineChars="200"/>
        <w:rPr>
          <w:rFonts w:ascii="仿宋_GB2312" w:eastAsia="仿宋_GB2312"/>
          <w:color w:val="auto"/>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0</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ind w:firstLine="640" w:firstLineChars="200"/>
        <w:rPr>
          <w:rFonts w:ascii="仿宋" w:hAnsi="仿宋" w:eastAsia="仿宋"/>
          <w:b/>
          <w:color w:val="000000"/>
          <w:sz w:val="32"/>
          <w:szCs w:val="32"/>
        </w:rPr>
      </w:pPr>
      <w:r>
        <w:rPr>
          <w:rFonts w:hint="eastAsia" w:ascii="仿宋_GB2312" w:eastAsia="仿宋_GB2312"/>
          <w:color w:val="auto"/>
          <w:sz w:val="32"/>
          <w:szCs w:val="32"/>
        </w:rPr>
        <w:t>2</w:t>
      </w:r>
      <w:r>
        <w:rPr>
          <w:rFonts w:hint="eastAsia" w:ascii="仿宋_GB2312" w:eastAsia="仿宋_GB2312"/>
          <w:color w:val="auto"/>
          <w:sz w:val="32"/>
          <w:szCs w:val="32"/>
          <w:lang w:val="en-US" w:eastAsia="zh-CN"/>
        </w:rPr>
        <w:t>1</w:t>
      </w:r>
      <w:r>
        <w:rPr>
          <w:rFonts w:ascii="仿宋_GB2312" w:eastAsia="仿宋_GB2312"/>
          <w:color w:val="auto"/>
          <w:sz w:val="32"/>
          <w:szCs w:val="32"/>
        </w:rPr>
        <w:t>.</w:t>
      </w:r>
      <w:r>
        <w:rPr>
          <w:rFonts w:hint="eastAsia" w:ascii="仿宋_GB2312" w:eastAsia="仿宋_GB2312"/>
          <w:color w:val="auto"/>
          <w:sz w:val="32"/>
          <w:szCs w:val="32"/>
          <w:lang w:val="en-US" w:eastAsia="zh-CN"/>
        </w:rPr>
        <w:t>单位</w:t>
      </w:r>
      <w:r>
        <w:rPr>
          <w:rFonts w:hint="eastAsia" w:ascii="仿宋_GB2312" w:eastAsia="仿宋_GB2312"/>
          <w:color w:val="auto"/>
          <w:sz w:val="32"/>
          <w:szCs w:val="32"/>
        </w:rPr>
        <w:t>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bookmarkStart w:id="57" w:name="_Toc15377226"/>
      <w:r>
        <w:rPr>
          <w:rFonts w:ascii="宋体"/>
          <w:b/>
          <w:color w:val="000000"/>
          <w:sz w:val="44"/>
          <w:szCs w:val="44"/>
        </w:rPr>
        <w:br w:type="page"/>
      </w:r>
      <w:bookmarkStart w:id="58" w:name="_Toc15396614"/>
      <w:r>
        <w:rPr>
          <w:rFonts w:hint="eastAsia" w:ascii="黑体" w:hAnsi="黑体" w:eastAsia="黑体"/>
          <w:color w:val="000000"/>
          <w:sz w:val="44"/>
          <w:szCs w:val="44"/>
        </w:rPr>
        <w:t>第</w:t>
      </w:r>
      <w:r>
        <w:rPr>
          <w:rStyle w:val="25"/>
          <w:rFonts w:hint="eastAsia" w:ascii="黑体" w:hAnsi="黑体" w:eastAsia="黑体"/>
          <w:b w:val="0"/>
        </w:rPr>
        <w:t>四部分 附件</w:t>
      </w:r>
      <w:bookmarkEnd w:id="58"/>
    </w:p>
    <w:p>
      <w:pPr>
        <w:pStyle w:val="3"/>
        <w:rPr>
          <w:rStyle w:val="25"/>
          <w:rFonts w:ascii="仿宋" w:hAnsi="仿宋" w:eastAsia="仿宋"/>
          <w:b w:val="0"/>
          <w:bCs w:val="0"/>
          <w:sz w:val="32"/>
          <w:szCs w:val="32"/>
        </w:rPr>
      </w:pPr>
      <w:bookmarkStart w:id="59" w:name="_Toc15396615"/>
      <w:r>
        <w:rPr>
          <w:rStyle w:val="25"/>
          <w:rFonts w:hint="eastAsia" w:ascii="仿宋" w:hAnsi="仿宋" w:eastAsia="仿宋"/>
          <w:b w:val="0"/>
          <w:bCs w:val="0"/>
          <w:sz w:val="32"/>
          <w:szCs w:val="32"/>
        </w:rPr>
        <w:t>附件1</w:t>
      </w:r>
      <w:bookmarkEnd w:id="59"/>
    </w:p>
    <w:p>
      <w:pPr>
        <w:spacing w:line="600" w:lineRule="exact"/>
        <w:jc w:val="center"/>
        <w:outlineLvl w:val="0"/>
        <w:rPr>
          <w:rFonts w:hint="eastAsia" w:ascii="黑体" w:hAnsi="黑体" w:eastAsia="黑体" w:cs="方正小标宋简体"/>
          <w:sz w:val="36"/>
          <w:szCs w:val="36"/>
        </w:rPr>
      </w:pPr>
      <w:bookmarkStart w:id="60" w:name="_Toc15396616"/>
      <w:r>
        <w:rPr>
          <w:rFonts w:hint="eastAsia" w:ascii="黑体" w:hAnsi="黑体" w:eastAsia="黑体" w:cs="方正小标宋简体"/>
          <w:sz w:val="36"/>
          <w:szCs w:val="36"/>
        </w:rPr>
        <w:t>达州市达川区大学中专招生委员会办公室部门</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60"/>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达州市达川区大学中专招生委员会办公室(达川区高等教育自学考试委员会办公室)是达川区大学中专招生委员会(达川区高等教育自学考试委员会)的常设机构，是负责全区大中专招生和高等教育自学考试工作的职能机构，设在达川区通达西路150号。属于财政全额拨款的独立核算的事业单位，隶属于达州市达川区教科局下属事业单位，与201</w:t>
      </w:r>
      <w:r>
        <w:rPr>
          <w:rFonts w:hint="eastAsia" w:ascii="仿宋" w:hAnsi="仿宋" w:eastAsia="仿宋" w:cs="仿宋_GB2312"/>
          <w:sz w:val="32"/>
          <w:szCs w:val="32"/>
          <w:lang w:val="en-US" w:eastAsia="zh-CN"/>
        </w:rPr>
        <w:t>7</w:t>
      </w:r>
      <w:r>
        <w:rPr>
          <w:rFonts w:ascii="仿宋" w:hAnsi="仿宋" w:eastAsia="仿宋" w:cs="仿宋_GB2312"/>
          <w:sz w:val="32"/>
          <w:szCs w:val="32"/>
        </w:rPr>
        <w:t>年比较无增减变化。</w:t>
      </w:r>
    </w:p>
    <w:p>
      <w:pPr>
        <w:numPr>
          <w:ilvl w:val="0"/>
          <w:numId w:val="7"/>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机构职能</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200"/>
        <w:jc w:val="left"/>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（1）贯彻执行国家招生、自学考试的方针、政策和法规。</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200"/>
        <w:jc w:val="left"/>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（2）负责全区普通高校(含艺术、体育院校)招生、报名、考试、体检及建档工作。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200"/>
        <w:jc w:val="left"/>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（3）负责全区各类中等专业学校招生、报名、考试和管理工作。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640" w:firstLineChars="200"/>
        <w:jc w:val="left"/>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（4）负责空军和民航飞行学员招生工作。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（5）负责全国各类成人高校和成人中专招生工作。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（6）负责高等、中等教育自学考试工作。</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仿宋" w:hAnsi="仿宋" w:eastAsia="仿宋" w:cs="仿宋_GB2312"/>
          <w:sz w:val="32"/>
          <w:szCs w:val="32"/>
          <w:lang w:val="en-US" w:eastAsia="zh-CN"/>
        </w:rPr>
      </w:pPr>
      <w:r>
        <w:rPr>
          <w:rFonts w:hint="eastAsia" w:ascii="仿宋" w:hAnsi="仿宋" w:eastAsia="仿宋" w:cs="仿宋_GB2312"/>
          <w:kern w:val="2"/>
          <w:sz w:val="32"/>
          <w:szCs w:val="32"/>
          <w:lang w:val="en-US" w:eastAsia="zh-CN" w:bidi="ar-SA"/>
        </w:rPr>
        <w:t>（7）承办区政府和区教科局交办的其它事项。</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（三）人员概况</w:t>
      </w:r>
    </w:p>
    <w:p>
      <w:pPr>
        <w:spacing w:line="580" w:lineRule="exact"/>
        <w:ind w:firstLine="640" w:firstLineChars="200"/>
        <w:rPr>
          <w:rFonts w:ascii="微软雅黑" w:hAnsi="微软雅黑" w:eastAsia="微软雅黑" w:cs="微软雅黑"/>
          <w:i w:val="0"/>
          <w:caps w:val="0"/>
          <w:color w:val="323232"/>
          <w:spacing w:val="0"/>
          <w:sz w:val="24"/>
          <w:szCs w:val="24"/>
          <w:shd w:val="clear" w:fill="FFFFFF"/>
        </w:rPr>
      </w:pPr>
      <w:r>
        <w:rPr>
          <w:rFonts w:hint="eastAsia" w:ascii="仿宋" w:hAnsi="仿宋" w:eastAsia="仿宋" w:cs="仿宋_GB2312"/>
          <w:kern w:val="2"/>
          <w:sz w:val="32"/>
          <w:szCs w:val="32"/>
          <w:lang w:val="en-US" w:eastAsia="zh-CN" w:bidi="ar-SA"/>
        </w:rPr>
        <w:t>2018年我单位编制数12人，年末实有人数为11人。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600" w:lineRule="exact"/>
        <w:ind w:firstLine="640" w:firstLineChars="200"/>
        <w:rPr>
          <w:rFonts w:ascii="仿宋" w:hAnsi="仿宋" w:eastAsia="仿宋" w:cs="仿宋_GB2312"/>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8年财政拨款2018年度收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总计211.13万元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。与2017年相比，收</w:t>
      </w:r>
      <w:r>
        <w:rPr>
          <w:rFonts w:hint="eastAsia" w:ascii="仿宋" w:hAnsi="仿宋" w:eastAsia="仿宋"/>
          <w:color w:val="000000"/>
          <w:sz w:val="32"/>
          <w:szCs w:val="32"/>
          <w:lang w:val="en-US" w:eastAsia="zh-CN"/>
        </w:rPr>
        <w:t>入增加18.44万元，增长9.57%，</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招生任务和招生考场等信息化建设支出的增加。</w:t>
      </w:r>
    </w:p>
    <w:p>
      <w:pPr>
        <w:numPr>
          <w:ilvl w:val="0"/>
          <w:numId w:val="7"/>
        </w:numPr>
        <w:spacing w:line="580" w:lineRule="exact"/>
        <w:ind w:left="0" w:leftChars="0"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numPr>
          <w:ilvl w:val="0"/>
          <w:numId w:val="0"/>
        </w:numPr>
        <w:spacing w:line="580" w:lineRule="exact"/>
        <w:ind w:left="0" w:leftChars="0" w:firstLine="640" w:firstLineChars="200"/>
        <w:jc w:val="left"/>
        <w:rPr>
          <w:rFonts w:ascii="仿宋" w:hAnsi="仿宋" w:eastAsia="仿宋" w:cs="仿宋_GB2312"/>
          <w:sz w:val="32"/>
          <w:szCs w:val="32"/>
        </w:rPr>
      </w:pPr>
      <w:r>
        <w:rPr>
          <w:rFonts w:hint="eastAsia" w:ascii="仿宋" w:hAnsi="仿宋" w:eastAsia="仿宋"/>
          <w:color w:val="000000"/>
          <w:sz w:val="32"/>
          <w:szCs w:val="32"/>
        </w:rPr>
        <w:t>支</w:t>
      </w:r>
      <w:r>
        <w:rPr>
          <w:rFonts w:hint="eastAsia" w:ascii="仿宋" w:hAnsi="仿宋" w:eastAsia="仿宋"/>
          <w:color w:val="000000"/>
          <w:sz w:val="32"/>
          <w:szCs w:val="32"/>
          <w:lang w:val="en-US" w:eastAsia="zh-CN"/>
        </w:rPr>
        <w:t>出总计229.26 万元，</w:t>
      </w:r>
      <w:r>
        <w:rPr>
          <w:rFonts w:hint="eastAsia" w:ascii="仿宋" w:hAnsi="仿宋" w:eastAsia="仿宋"/>
          <w:color w:val="000000"/>
          <w:sz w:val="32"/>
          <w:szCs w:val="32"/>
        </w:rPr>
        <w:t>2017年相比，支总计</w:t>
      </w:r>
      <w:r>
        <w:rPr>
          <w:rFonts w:hint="eastAsia" w:ascii="仿宋" w:hAnsi="仿宋" w:eastAsia="仿宋"/>
          <w:color w:val="000000"/>
          <w:sz w:val="32"/>
          <w:szCs w:val="32"/>
          <w:lang w:val="en-US" w:eastAsia="zh-CN"/>
        </w:rPr>
        <w:t>增加52.84</w:t>
      </w:r>
      <w:r>
        <w:rPr>
          <w:rFonts w:hint="eastAsia" w:ascii="仿宋" w:hAnsi="仿宋" w:eastAsia="仿宋"/>
          <w:color w:val="000000"/>
          <w:sz w:val="32"/>
          <w:szCs w:val="32"/>
        </w:rPr>
        <w:t xml:space="preserve"> 万元，</w:t>
      </w:r>
      <w:r>
        <w:rPr>
          <w:rFonts w:hint="eastAsia" w:ascii="仿宋" w:hAnsi="仿宋" w:eastAsia="仿宋"/>
          <w:color w:val="000000"/>
          <w:sz w:val="32"/>
          <w:szCs w:val="32"/>
          <w:lang w:val="en-US" w:eastAsia="zh-CN"/>
        </w:rPr>
        <w:t>增长29.95</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en-US" w:eastAsia="zh-CN"/>
        </w:rPr>
        <w:t>招生任务和招生考场等信息化建设支出的增加。</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严格部门预算编制，提高预算编制的质量，加强综合财政预算管理，切实提高财政资金使用效益。</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科学编制预算。严格遵循政府预算统一性、完整性、年度性、可靠性、公开性和分类性原则，切实落实区财政局相关预算要求，结合实际，保证预算编制的科学、合理、规范、准确、完整、效益。</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严格经费收支。坚持综合预算、零基预算、细化预算的原则，科学编制完整的部门综合收支计划，细化收支预算，规范收支行为。</w:t>
      </w:r>
    </w:p>
    <w:p>
      <w:pPr>
        <w:spacing w:line="580" w:lineRule="exact"/>
        <w:ind w:firstLine="640" w:firstLineChars="200"/>
        <w:rPr>
          <w:rFonts w:hint="eastAsia" w:ascii="仿宋" w:hAnsi="仿宋" w:eastAsia="仿宋"/>
          <w:sz w:val="32"/>
          <w:szCs w:val="32"/>
          <w:lang w:eastAsia="zh-CN"/>
        </w:rPr>
      </w:pPr>
      <w:r>
        <w:rPr>
          <w:rFonts w:ascii="仿宋" w:hAnsi="仿宋" w:eastAsia="仿宋"/>
          <w:sz w:val="32"/>
          <w:szCs w:val="32"/>
        </w:rPr>
        <w:t>3.</w:t>
      </w:r>
      <w:r>
        <w:rPr>
          <w:rFonts w:hint="eastAsia" w:ascii="仿宋" w:hAnsi="仿宋" w:eastAsia="仿宋"/>
          <w:sz w:val="32"/>
          <w:szCs w:val="32"/>
        </w:rPr>
        <w:t>维护预算严肃性。严格执行并维护预算的严肃性，预算前展开调研，多方研究，一经确定严格执行，不随意调整，也不无故追加</w:t>
      </w:r>
      <w:r>
        <w:rPr>
          <w:rFonts w:hint="eastAsia" w:ascii="仿宋" w:hAnsi="仿宋" w:eastAsia="仿宋"/>
          <w:sz w:val="32"/>
          <w:szCs w:val="32"/>
          <w:lang w:eastAsia="zh-CN"/>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部门预算执行进度情况。</w:t>
      </w:r>
    </w:p>
    <w:p>
      <w:pPr>
        <w:tabs>
          <w:tab w:val="left" w:pos="312"/>
        </w:tabs>
        <w:spacing w:line="560" w:lineRule="exact"/>
        <w:ind w:left="0" w:leftChars="0" w:firstLine="640" w:firstLineChars="200"/>
        <w:jc w:val="left"/>
        <w:rPr>
          <w:rFonts w:hint="eastAsia" w:ascii="仿宋" w:hAnsi="仿宋" w:eastAsia="仿宋"/>
          <w:sz w:val="32"/>
          <w:szCs w:val="32"/>
        </w:rPr>
      </w:pPr>
      <w:r>
        <w:rPr>
          <w:rFonts w:hint="eastAsia" w:ascii="仿宋" w:hAnsi="仿宋" w:eastAsia="仿宋"/>
          <w:sz w:val="32"/>
          <w:szCs w:val="32"/>
        </w:rPr>
        <w:t>按《预算法》和财政有关规定，职工工资等人员经费按月发放，公务费按季申报，项目支出按项目实施情况经我单位和区财政审核无误后按项目进度拨付。在支付方式上，工资和项目资金实行财政直接支付；公用经费根据资金用途选择财政直接支付、申请授权支付，并尽量采取公务卡支付或转账支付，尽量减少现金支出。</w:t>
      </w:r>
    </w:p>
    <w:p>
      <w:pPr>
        <w:tabs>
          <w:tab w:val="left" w:pos="312"/>
        </w:tabs>
        <w:spacing w:line="560" w:lineRule="exact"/>
        <w:ind w:left="640"/>
        <w:rPr>
          <w:rFonts w:ascii="仿宋" w:hAnsi="仿宋" w:eastAsia="仿宋"/>
          <w:sz w:val="32"/>
          <w:szCs w:val="32"/>
        </w:rPr>
      </w:pPr>
      <w:r>
        <w:rPr>
          <w:rFonts w:hint="eastAsia" w:ascii="仿宋" w:hAnsi="仿宋" w:eastAsia="仿宋"/>
          <w:sz w:val="32"/>
          <w:szCs w:val="32"/>
        </w:rPr>
        <w:t>2.预算约束刚性情况。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在执行各项资金预算中，严格按照中央、省、市、区各级财务规定，管好、用好每笔资金。在专项项目资金使用过程中，严格按照项目资金管理办法的规定做好项目实施和监管，切实做到专款专用，从而发挥好项目资金对项目实施的促进作用；对涉及专项资金支出额度较大时，必须专题研究决定，杜绝违规违法事件的发生。</w:t>
      </w:r>
    </w:p>
    <w:p>
      <w:pPr>
        <w:spacing w:line="560" w:lineRule="exact"/>
        <w:ind w:firstLine="640" w:firstLineChars="200"/>
        <w:rPr>
          <w:rFonts w:ascii="楷体" w:hAnsi="楷体" w:eastAsia="楷体" w:cs="楷体"/>
          <w:sz w:val="32"/>
          <w:szCs w:val="32"/>
        </w:rPr>
      </w:pPr>
      <w:r>
        <w:rPr>
          <w:rFonts w:ascii="楷体" w:hAnsi="楷体" w:eastAsia="楷体" w:cs="楷体"/>
          <w:sz w:val="32"/>
          <w:szCs w:val="32"/>
        </w:rPr>
        <w:t>3.</w:t>
      </w:r>
      <w:r>
        <w:rPr>
          <w:rFonts w:hint="eastAsia" w:ascii="楷体" w:hAnsi="楷体" w:eastAsia="楷体" w:cs="楷体"/>
          <w:sz w:val="32"/>
          <w:szCs w:val="32"/>
        </w:rPr>
        <w:t>行政运行成本控制情况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）机关节能降耗。</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认真开展厉行节约反对浪费规定学习的同时，倡导全体机关工作人员弘扬艰苦奋斗、勤俭节约的优良作风，进一步推进建设节约型机关。办公室、会议室等尽量采用自然光，尽可能少开灯或不开灯；做到离开办公室随手关灯，杜绝“长明灯”、“白昼灯”；下班后自觉关闭各类电器设备电源；强化节水意识，切实做到节约每一滴水，使广大干部职工养成良好的节水习惯；加强办公用品的使用管理，规范办公用品的采购，积极推行网络办公，尽量在电子媒介上撰写、修改文稿，加快推进无纸化办公。</w:t>
      </w:r>
    </w:p>
    <w:p>
      <w:pPr>
        <w:numPr>
          <w:ilvl w:val="0"/>
          <w:numId w:val="8"/>
        </w:numPr>
        <w:spacing w:line="560" w:lineRule="exact"/>
        <w:ind w:firstLine="640" w:firstLineChars="200"/>
        <w:rPr>
          <w:rFonts w:ascii="仿宋" w:hAnsi="仿宋" w:eastAsia="仿宋"/>
          <w:sz w:val="32"/>
          <w:szCs w:val="32"/>
        </w:rPr>
      </w:pPr>
      <w:r>
        <w:rPr>
          <w:rFonts w:hint="eastAsia" w:ascii="仿宋" w:hAnsi="仿宋" w:eastAsia="仿宋"/>
          <w:sz w:val="32"/>
          <w:szCs w:val="32"/>
        </w:rPr>
        <w:t>“三公”支出逐年递减。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严格执行中央八项规定和省、市、区相关规定，着力控制“三公”经费预算支出。全年无因公出国（境）费用支出；精减会议活动，减少会议费支出；严格执行党政机关厉行节约反对浪费条例，加强内部财务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（三）结果应用情况。</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政府采购实施情况。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按照《预算法》和《政府采购法》规定编制政府采购预算和实施政府采购计划，按规定做好备案工作。</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、资产管理。</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固定资产实行“统一管理，分级负责”。设置固定资产的管理部门，统一建账、核算，统一登记、监督管理和维修。各科室是固定资产的使用部门，并负责固定资产的保管和使用。同时，根据《行政事业单位资产清查核实管理办法》开展了资产清查工作。</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）资产管理信息系统建设情况。已将所有资产全部录入行政事业单位资产管理系统，并指定专人负责管理系统。</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）资产清查情况。启动全单位资产清查，并将资产清查结果上报了相关主管部门。</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）资产报表上报情况。安排专人负责国有资产清查及报表上报工作。在资产清查结束后，已上报清查报表、清查工作报告等国有资产报表数据。</w:t>
      </w:r>
      <w:r>
        <w:rPr>
          <w:rFonts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内控制度管理。</w:t>
      </w:r>
      <w:r>
        <w:rPr>
          <w:rFonts w:ascii="仿宋" w:hAnsi="仿宋" w:eastAsia="仿宋"/>
          <w:sz w:val="32"/>
          <w:szCs w:val="32"/>
        </w:rPr>
        <w:t>2017</w:t>
      </w:r>
      <w:r>
        <w:rPr>
          <w:rFonts w:hint="eastAsia" w:ascii="仿宋" w:hAnsi="仿宋" w:eastAsia="仿宋"/>
          <w:sz w:val="32"/>
          <w:szCs w:val="32"/>
        </w:rPr>
        <w:t>年，我会抽派人力，根据本会实际，制定了《财务内控制度》，从多方面规范了经费开支行为，严格审签制度，切实把控财务风险。同时，严格执行上级有关财务管理规定，落实“三重一大”制度，确保财务整体的安全、顺畅，防止违法违纪现象发生。</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信息公开。按照相关规定，落实工作人员按要求对</w:t>
      </w:r>
      <w:r>
        <w:rPr>
          <w:rFonts w:ascii="仿宋" w:hAnsi="仿宋" w:eastAsia="仿宋"/>
          <w:sz w:val="32"/>
          <w:szCs w:val="32"/>
        </w:rPr>
        <w:t>201</w:t>
      </w:r>
      <w:r>
        <w:rPr>
          <w:rFonts w:hint="eastAsia" w:ascii="仿宋" w:hAnsi="仿宋" w:eastAsia="仿宋"/>
          <w:sz w:val="32"/>
          <w:szCs w:val="32"/>
        </w:rPr>
        <w:t>8年预决算信息进行了公开，确保公开透明。</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绩效管理。通过对单位的工作和运营目标进行分解，设定各股室绩效目标，对股室和个人的绩效进行沟通、反馈、考评，从而将个人、股室与单位目标有机结合，提高单位整体绩效，促进职工工作积极性和单位发展动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依法接受财政监督情况。按照财政部门相关要求，开展了</w:t>
      </w:r>
      <w:r>
        <w:rPr>
          <w:rFonts w:ascii="仿宋" w:hAnsi="仿宋" w:eastAsia="仿宋"/>
          <w:sz w:val="32"/>
          <w:szCs w:val="32"/>
        </w:rPr>
        <w:t>201</w:t>
      </w:r>
      <w:r>
        <w:rPr>
          <w:rFonts w:hint="eastAsia" w:ascii="仿宋" w:hAnsi="仿宋" w:eastAsia="仿宋"/>
          <w:sz w:val="32"/>
          <w:szCs w:val="32"/>
        </w:rPr>
        <w:t>8年度财政监督检查的自查自纠工作，并报送了自查自纠报告及报表。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黑体" w:hAnsi="黑体" w:eastAsia="黑体" w:cs="黑体"/>
          <w:sz w:val="32"/>
          <w:szCs w:val="32"/>
        </w:rPr>
      </w:pPr>
      <w:r>
        <w:rPr>
          <w:rFonts w:ascii="黑体" w:hAnsi="黑体" w:eastAsia="黑体" w:cs="黑体"/>
          <w:sz w:val="32"/>
          <w:szCs w:val="32"/>
        </w:rPr>
        <w:t>四、评价结论及建议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 w:hAnsi="仿宋" w:eastAsia="仿宋" w:cs="仿宋_GB2312"/>
          <w:sz w:val="32"/>
          <w:szCs w:val="32"/>
        </w:rPr>
      </w:pPr>
      <w:r>
        <w:rPr>
          <w:rFonts w:ascii="仿宋" w:hAnsi="仿宋" w:eastAsia="仿宋" w:cs="仿宋_GB2312"/>
          <w:sz w:val="32"/>
          <w:szCs w:val="32"/>
        </w:rPr>
        <w:t>（一）评价结论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达到了预期效果，按质按量超额完成年初预算。</w:t>
      </w:r>
    </w:p>
    <w:p>
      <w:pPr>
        <w:keepNext w:val="0"/>
        <w:keepLines w:val="0"/>
        <w:pageBreakBefore w:val="0"/>
        <w:numPr>
          <w:ilvl w:val="0"/>
          <w:numId w:val="9"/>
        </w:numPr>
        <w:kinsoku/>
        <w:wordWrap/>
        <w:overflowPunct/>
        <w:topLinePunct w:val="0"/>
        <w:autoSpaceDE/>
        <w:autoSpaceDN/>
        <w:bidi w:val="0"/>
        <w:adjustRightInd/>
        <w:snapToGrid/>
        <w:spacing w:line="580" w:lineRule="exact"/>
        <w:ind w:left="-220" w:leftChars="0" w:firstLine="640" w:firstLineChars="200"/>
        <w:textAlignment w:val="auto"/>
        <w:rPr>
          <w:rFonts w:ascii="仿宋" w:hAnsi="仿宋" w:eastAsia="仿宋" w:cs="仿宋_GB2312"/>
          <w:sz w:val="32"/>
          <w:szCs w:val="32"/>
        </w:rPr>
      </w:pPr>
      <w:r>
        <w:rPr>
          <w:rFonts w:ascii="仿宋" w:hAnsi="仿宋" w:eastAsia="仿宋" w:cs="仿宋_GB2312"/>
          <w:sz w:val="32"/>
          <w:szCs w:val="32"/>
        </w:rPr>
        <w:t>存在问题</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1.少数参加招生考试的工作人员对培训中的要求没有认真学习、领会、落实到行动中，考场上精力不够集中。</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2.个别普通高中及中职学校对招生工作的重视程度还不够，特别是对国家的高校单独招生政策宣传不力，分级选拔人才不够重视，致使单招报考率较低；个别学校对初中毕业生报考五年制高职、中专这一块的学生不闻不问，经调研，大多初中毕业生及家长还不知晓高校的3+2招生政策，私自交易生源，结果是学生志愿填写无人指导，档案无人送交，耽误了考生的正常录取，致使我区3+2招生模式报考率和录取率较低，在社会上却造成了一定的不良影响。</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ascii="仿宋" w:hAnsi="仿宋" w:eastAsia="仿宋" w:cs="仿宋_GB2312"/>
          <w:sz w:val="32"/>
          <w:szCs w:val="32"/>
        </w:rPr>
      </w:pPr>
      <w:r>
        <w:rPr>
          <w:rFonts w:hint="eastAsia" w:ascii="仿宋" w:hAnsi="仿宋" w:eastAsia="仿宋" w:cs="仿宋_GB2312"/>
          <w:kern w:val="2"/>
          <w:sz w:val="32"/>
          <w:szCs w:val="32"/>
          <w:lang w:val="en-US" w:eastAsia="zh-CN" w:bidi="ar-SA"/>
        </w:rPr>
        <w:t>3.加强招生队伍建设，切实提高招生人员素质。各完中负责招生的人员变动，不能保持一定的稳定性，给招生工作造成一定的影响。有的学校材料、考试经费不能按时上交，学生错误信息不能及时更正。</w:t>
      </w:r>
    </w:p>
    <w:p>
      <w:pPr>
        <w:keepNext w:val="0"/>
        <w:keepLines w:val="0"/>
        <w:pageBreakBefore w:val="0"/>
        <w:numPr>
          <w:ilvl w:val="0"/>
          <w:numId w:val="9"/>
        </w:numPr>
        <w:kinsoku/>
        <w:wordWrap/>
        <w:overflowPunct/>
        <w:topLinePunct w:val="0"/>
        <w:autoSpaceDE/>
        <w:autoSpaceDN/>
        <w:bidi w:val="0"/>
        <w:adjustRightInd/>
        <w:snapToGrid/>
        <w:spacing w:line="580" w:lineRule="exact"/>
        <w:ind w:left="-220" w:leftChars="0" w:firstLine="640" w:firstLineChars="200"/>
        <w:textAlignment w:val="auto"/>
        <w:rPr>
          <w:rFonts w:ascii="仿宋" w:hAnsi="仿宋" w:eastAsia="仿宋" w:cs="仿宋_GB2312"/>
          <w:sz w:val="32"/>
          <w:szCs w:val="32"/>
        </w:rPr>
      </w:pPr>
      <w:r>
        <w:rPr>
          <w:rFonts w:ascii="仿宋" w:hAnsi="仿宋" w:eastAsia="仿宋" w:cs="仿宋_GB2312"/>
          <w:sz w:val="32"/>
          <w:szCs w:val="32"/>
        </w:rPr>
        <w:t>改进建议。</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 w:hAnsi="仿宋" w:eastAsia="仿宋" w:cs="仿宋_GB2312"/>
          <w:kern w:val="2"/>
          <w:sz w:val="32"/>
          <w:szCs w:val="32"/>
          <w:lang w:val="en-US" w:eastAsia="zh-CN" w:bidi="ar-SA"/>
        </w:rPr>
      </w:pPr>
      <w:r>
        <w:rPr>
          <w:rFonts w:hint="eastAsia" w:ascii="仿宋" w:hAnsi="仿宋" w:eastAsia="仿宋" w:cs="仿宋_GB2312"/>
          <w:kern w:val="2"/>
          <w:sz w:val="32"/>
          <w:szCs w:val="32"/>
          <w:lang w:val="en-US" w:eastAsia="zh-CN" w:bidi="ar-SA"/>
        </w:rPr>
        <w:t>随着我区高中毕业生持续增长，同时民办学校考生和社会考生也在大量增加，而招生考试工作的要求越来越高，越来越严，工作程序每年也在变化，因此工作难度也随之增大。进一步加大保障投入，提升各标准化考场设施，我们定将扎实工作，建立健全岗位责任制，明确职责与分工；树立全心全意为人民服务的宗旨，强化服务意识，努力做到优质、高效、热情、周到地为考生服务。为建设平安达川献好策、服好务。</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5"/>
          <w:rFonts w:ascii="仿宋" w:hAnsi="仿宋" w:eastAsia="仿宋"/>
          <w:b w:val="0"/>
          <w:bCs w:val="0"/>
          <w:sz w:val="32"/>
          <w:szCs w:val="32"/>
        </w:rPr>
      </w:pPr>
      <w:bookmarkStart w:id="61" w:name="_Toc15396617"/>
      <w:r>
        <w:rPr>
          <w:rStyle w:val="25"/>
          <w:rFonts w:hint="eastAsia" w:ascii="仿宋" w:hAnsi="仿宋" w:eastAsia="仿宋"/>
          <w:b w:val="0"/>
          <w:bCs w:val="0"/>
          <w:sz w:val="32"/>
          <w:szCs w:val="32"/>
        </w:rPr>
        <w:t>附件2</w:t>
      </w:r>
      <w:bookmarkEnd w:id="61"/>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2018年达州市达川区大学中专招生委员会其他教育管理事务项目支出绩效评价报告</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6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rPr>
        <w:t>对象为具有达州市达川区辖区内户籍，</w:t>
      </w:r>
      <w:r>
        <w:rPr>
          <w:rFonts w:hint="eastAsia" w:ascii="仿宋" w:hAnsi="仿宋" w:eastAsia="仿宋"/>
          <w:sz w:val="32"/>
          <w:szCs w:val="32"/>
          <w:lang w:val="en-US" w:eastAsia="zh-CN"/>
        </w:rPr>
        <w:t>以及工作在本区内参加自考、成考和普通高考的；对达川区内所设考场进行标准化建设。</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总体看，我单位预算编制及执行决算较为准确，支出管理较为规范，财务管理制度较完善，部门整体绩效较好。部门支出绩效自评得分为</w:t>
      </w:r>
      <w:r>
        <w:rPr>
          <w:rFonts w:hint="eastAsia" w:ascii="仿宋" w:hAnsi="仿宋" w:eastAsia="仿宋"/>
          <w:sz w:val="32"/>
          <w:szCs w:val="32"/>
          <w:lang w:val="en-US" w:eastAsia="zh-CN"/>
        </w:rPr>
        <w:t>89</w:t>
      </w:r>
      <w:r>
        <w:rPr>
          <w:rFonts w:hint="eastAsia" w:ascii="仿宋" w:hAnsi="仿宋" w:eastAsia="仿宋"/>
          <w:sz w:val="32"/>
          <w:szCs w:val="32"/>
        </w:rPr>
        <w:t>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（1）资金计划及到位。高考、成人自考专项业务经费到位75.85</w:t>
      </w:r>
      <w:r>
        <w:rPr>
          <w:rFonts w:hint="eastAsia" w:ascii="仿宋" w:hAnsi="仿宋" w:eastAsia="仿宋"/>
          <w:sz w:val="32"/>
          <w:szCs w:val="32"/>
          <w:lang w:val="en-US" w:eastAsia="zh-CN"/>
        </w:rPr>
        <w:t>万元</w:t>
      </w:r>
      <w:r>
        <w:rPr>
          <w:rFonts w:hint="eastAsia" w:ascii="仿宋" w:hAnsi="仿宋" w:eastAsia="仿宋"/>
          <w:sz w:val="32"/>
          <w:szCs w:val="32"/>
          <w:lang w:eastAsia="zh-CN"/>
        </w:rPr>
        <w:t>，标准化考点的指挥中心运转</w:t>
      </w:r>
      <w:r>
        <w:rPr>
          <w:rFonts w:hint="eastAsia" w:ascii="仿宋" w:hAnsi="仿宋" w:eastAsia="仿宋"/>
          <w:sz w:val="32"/>
          <w:szCs w:val="32"/>
          <w:lang w:val="en-US" w:eastAsia="zh-CN"/>
        </w:rPr>
        <w:t>专项业务经费到位11.15万元</w:t>
      </w:r>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（2）资金使用</w:t>
      </w:r>
      <w:r>
        <w:rPr>
          <w:rFonts w:hint="eastAsia" w:ascii="仿宋" w:hAnsi="仿宋" w:eastAsia="仿宋"/>
          <w:sz w:val="32"/>
          <w:szCs w:val="32"/>
          <w:lang w:eastAsia="zh-CN"/>
        </w:rPr>
        <w:t>。</w:t>
      </w:r>
      <w:r>
        <w:rPr>
          <w:rFonts w:hint="eastAsia" w:ascii="仿宋" w:hAnsi="仿宋" w:eastAsia="仿宋"/>
          <w:sz w:val="32"/>
          <w:szCs w:val="32"/>
        </w:rPr>
        <w:t>根据</w:t>
      </w:r>
      <w:r>
        <w:rPr>
          <w:rFonts w:hint="eastAsia" w:ascii="仿宋" w:hAnsi="仿宋" w:eastAsia="仿宋"/>
          <w:sz w:val="32"/>
          <w:szCs w:val="32"/>
          <w:lang w:val="en-US" w:eastAsia="zh-CN"/>
        </w:rPr>
        <w:t>项目</w:t>
      </w:r>
      <w:r>
        <w:rPr>
          <w:rFonts w:hint="eastAsia" w:ascii="仿宋" w:hAnsi="仿宋" w:eastAsia="仿宋"/>
          <w:sz w:val="32"/>
          <w:szCs w:val="32"/>
        </w:rPr>
        <w:t>实际</w:t>
      </w:r>
      <w:r>
        <w:rPr>
          <w:rFonts w:hint="eastAsia" w:ascii="仿宋" w:hAnsi="仿宋" w:eastAsia="仿宋"/>
          <w:sz w:val="32"/>
          <w:szCs w:val="32"/>
          <w:lang w:val="en-US" w:eastAsia="zh-CN"/>
        </w:rPr>
        <w:t>开展情况</w:t>
      </w:r>
      <w:r>
        <w:rPr>
          <w:rFonts w:hint="eastAsia" w:ascii="仿宋" w:hAnsi="仿宋" w:eastAsia="仿宋"/>
          <w:sz w:val="32"/>
          <w:szCs w:val="32"/>
        </w:rPr>
        <w:t>结算并付款。</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hint="default" w:ascii="仿宋" w:hAnsi="仿宋" w:eastAsia="仿宋" w:cs="仿宋_GB2312"/>
          <w:sz w:val="32"/>
          <w:szCs w:val="32"/>
          <w:lang w:val="en-US" w:eastAsia="zh-CN"/>
        </w:rPr>
      </w:pPr>
      <w:r>
        <w:rPr>
          <w:rFonts w:hint="eastAsia" w:ascii="仿宋" w:hAnsi="仿宋" w:eastAsia="仿宋" w:cs="仿宋_GB2312"/>
          <w:sz w:val="32"/>
          <w:szCs w:val="32"/>
          <w:lang w:val="en-US" w:eastAsia="zh-CN"/>
        </w:rPr>
        <w:t>对“</w:t>
      </w:r>
      <w:r>
        <w:rPr>
          <w:rFonts w:hint="eastAsia" w:ascii="仿宋" w:hAnsi="仿宋" w:eastAsia="仿宋"/>
          <w:sz w:val="32"/>
          <w:szCs w:val="32"/>
        </w:rPr>
        <w:t>高考、成人自考</w:t>
      </w:r>
      <w:r>
        <w:rPr>
          <w:rFonts w:hint="eastAsia" w:ascii="仿宋" w:hAnsi="仿宋" w:eastAsia="仿宋"/>
          <w:sz w:val="32"/>
          <w:szCs w:val="32"/>
          <w:lang w:val="en-US" w:eastAsia="zh-CN"/>
        </w:rPr>
        <w:t>经费、标准化考点的指挥中心运转”进行全程监控、全程管理。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组织自考2次</w:t>
      </w:r>
      <w:r>
        <w:rPr>
          <w:rFonts w:hint="eastAsia" w:ascii="仿宋" w:hAnsi="仿宋" w:eastAsia="仿宋"/>
          <w:sz w:val="32"/>
          <w:szCs w:val="32"/>
        </w:rPr>
        <w:t>，</w:t>
      </w:r>
      <w:r>
        <w:rPr>
          <w:rFonts w:hint="eastAsia" w:ascii="仿宋" w:hAnsi="仿宋" w:eastAsia="仿宋"/>
          <w:sz w:val="32"/>
          <w:szCs w:val="32"/>
          <w:lang w:val="en-US" w:eastAsia="zh-CN"/>
        </w:rPr>
        <w:t>普通高考1次</w:t>
      </w:r>
      <w:r>
        <w:rPr>
          <w:rFonts w:hint="eastAsia" w:ascii="仿宋" w:hAnsi="仿宋" w:eastAsia="仿宋"/>
          <w:sz w:val="32"/>
          <w:szCs w:val="32"/>
        </w:rPr>
        <w:t>，</w:t>
      </w:r>
      <w:r>
        <w:rPr>
          <w:rFonts w:hint="eastAsia" w:ascii="仿宋" w:hAnsi="仿宋" w:eastAsia="仿宋"/>
          <w:sz w:val="32"/>
          <w:szCs w:val="32"/>
          <w:lang w:val="en-US" w:eastAsia="zh-CN"/>
        </w:rPr>
        <w:t>成人考虑1次，进本区内所有考场进行了标准化改造升级。</w:t>
      </w:r>
      <w:r>
        <w:rPr>
          <w:rFonts w:hint="eastAsia" w:ascii="仿宋" w:hAnsi="仿宋" w:eastAsia="仿宋"/>
          <w:sz w:val="32"/>
          <w:szCs w:val="32"/>
        </w:rPr>
        <w:t>落实资金</w:t>
      </w:r>
      <w:r>
        <w:rPr>
          <w:rFonts w:hint="eastAsia" w:ascii="仿宋" w:hAnsi="仿宋" w:eastAsia="仿宋"/>
          <w:sz w:val="32"/>
          <w:szCs w:val="32"/>
          <w:lang w:val="en-US" w:eastAsia="zh-CN"/>
        </w:rPr>
        <w:t>87</w:t>
      </w:r>
      <w:r>
        <w:rPr>
          <w:rFonts w:hint="eastAsia" w:ascii="仿宋" w:hAnsi="仿宋" w:eastAsia="仿宋"/>
          <w:sz w:val="32"/>
          <w:szCs w:val="32"/>
        </w:rPr>
        <w:t>万元。</w:t>
      </w:r>
    </w:p>
    <w:p>
      <w:pPr>
        <w:numPr>
          <w:ilvl w:val="0"/>
          <w:numId w:val="1"/>
        </w:numPr>
        <w:spacing w:line="580" w:lineRule="exact"/>
        <w:ind w:left="1360" w:leftChars="0" w:hanging="720" w:firstLineChars="0"/>
        <w:rPr>
          <w:rFonts w:ascii="仿宋" w:hAnsi="仿宋" w:eastAsia="仿宋" w:cs="仿宋_GB2312"/>
          <w:sz w:val="32"/>
          <w:szCs w:val="32"/>
        </w:rPr>
      </w:pPr>
      <w:r>
        <w:rPr>
          <w:rFonts w:ascii="仿宋" w:hAnsi="仿宋" w:eastAsia="仿宋" w:cs="仿宋_GB2312"/>
          <w:sz w:val="32"/>
          <w:szCs w:val="32"/>
        </w:rPr>
        <w:t>存在主要问题</w:t>
      </w:r>
    </w:p>
    <w:p>
      <w:pPr>
        <w:spacing w:line="560" w:lineRule="exact"/>
        <w:ind w:firstLine="640" w:firstLineChars="200"/>
        <w:rPr>
          <w:rFonts w:ascii="仿宋" w:hAnsi="仿宋" w:eastAsia="仿宋" w:cs="仿宋_GB2312"/>
          <w:sz w:val="32"/>
          <w:szCs w:val="32"/>
        </w:rPr>
      </w:pPr>
      <w:r>
        <w:rPr>
          <w:rFonts w:hint="eastAsia" w:ascii="仿宋" w:hAnsi="仿宋" w:eastAsia="仿宋"/>
          <w:sz w:val="32"/>
          <w:szCs w:val="32"/>
        </w:rPr>
        <w:t>一是预算不够明确和细化。预算执行力度还要进一步加强。预算编制的前瞻度不够</w:t>
      </w:r>
      <w:r>
        <w:rPr>
          <w:rFonts w:ascii="仿宋" w:hAnsi="仿宋" w:eastAsia="仿宋"/>
          <w:sz w:val="32"/>
          <w:szCs w:val="32"/>
        </w:rPr>
        <w:t>,</w:t>
      </w:r>
      <w:r>
        <w:rPr>
          <w:rFonts w:hint="eastAsia" w:ascii="仿宋" w:hAnsi="仿宋" w:eastAsia="仿宋"/>
          <w:sz w:val="32"/>
          <w:szCs w:val="32"/>
        </w:rPr>
        <w:t>对当年度新情况、新问题加强前瞻性、针对性研究不多，预算和实际支出调整较大。二是单位缺少专业的会计人员。三是各项管理制度还待进一步完善。</w:t>
      </w:r>
    </w:p>
    <w:p>
      <w:pPr>
        <w:numPr>
          <w:ilvl w:val="0"/>
          <w:numId w:val="1"/>
        </w:numPr>
        <w:spacing w:line="580" w:lineRule="exact"/>
        <w:ind w:left="1360" w:leftChars="0" w:hanging="720" w:firstLineChars="0"/>
        <w:rPr>
          <w:rFonts w:ascii="仿宋" w:hAnsi="仿宋" w:eastAsia="仿宋" w:cs="仿宋_GB2312"/>
          <w:sz w:val="32"/>
          <w:szCs w:val="32"/>
        </w:rPr>
      </w:pPr>
      <w:r>
        <w:rPr>
          <w:rFonts w:ascii="仿宋" w:hAnsi="仿宋" w:eastAsia="仿宋" w:cs="仿宋_GB2312"/>
          <w:sz w:val="32"/>
          <w:szCs w:val="32"/>
        </w:rPr>
        <w:t>相关措施建议</w:t>
      </w:r>
    </w:p>
    <w:p>
      <w:pPr>
        <w:spacing w:line="560" w:lineRule="exac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细化预算编制工作，将进一步重视预算的编制工作，加强单位内部机构的预算管理意识，科学规划预算编制的精确度，提高财政资金使用效率，加强内部预算编制的审核和预算控制指标的下达，尽量减少预算资金的调整、结转和结余的情形。</w:t>
      </w:r>
    </w:p>
    <w:p>
      <w:pPr>
        <w:spacing w:line="560" w:lineRule="exac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建议财政部门加强对各单位财务人员队伍建设的重视，加强对财务人员做好各项财务工作的指导和培训，尤其是加强《新预算法》等新的会计制度学习和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spacing w:line="580" w:lineRule="exact"/>
        <w:ind w:firstLine="640" w:firstLineChars="200"/>
        <w:rPr>
          <w:rFonts w:ascii="仿宋_GB2312" w:hAnsi="仿宋_GB2312" w:eastAsia="仿宋_GB2312" w:cs="仿宋_GB2312"/>
          <w:sz w:val="32"/>
          <w:szCs w:val="32"/>
        </w:rPr>
      </w:pPr>
      <w:r>
        <w:rPr>
          <w:rFonts w:ascii="仿宋" w:hAnsi="仿宋" w:eastAsia="仿宋"/>
          <w:sz w:val="32"/>
          <w:szCs w:val="32"/>
        </w:rPr>
        <w:t>3</w:t>
      </w:r>
      <w:r>
        <w:rPr>
          <w:rFonts w:hint="eastAsia" w:ascii="仿宋" w:hAnsi="仿宋" w:eastAsia="仿宋"/>
          <w:sz w:val="32"/>
          <w:szCs w:val="32"/>
        </w:rPr>
        <w:t>、进一步完善和落实相关管理制度，加强内部控制管理制度学习，严格遵照相关制度贯彻落实到位，做到精细化管理。</w:t>
      </w:r>
    </w:p>
    <w:p>
      <w:pPr>
        <w:spacing w:line="600" w:lineRule="exact"/>
        <w:jc w:val="center"/>
        <w:outlineLvl w:val="0"/>
        <w:rPr>
          <w:rStyle w:val="25"/>
          <w:rFonts w:ascii="黑体" w:hAnsi="黑体" w:eastAsia="黑体"/>
          <w:b w:val="0"/>
        </w:rPr>
      </w:pPr>
      <w:bookmarkStart w:id="62" w:name="_Toc15396618"/>
      <w:r>
        <w:rPr>
          <w:rFonts w:hint="eastAsia" w:ascii="黑体" w:hAnsi="黑体" w:eastAsia="黑体"/>
          <w:color w:val="000000"/>
          <w:sz w:val="44"/>
          <w:szCs w:val="44"/>
        </w:rPr>
        <w:t>第</w:t>
      </w:r>
      <w:r>
        <w:rPr>
          <w:rStyle w:val="25"/>
          <w:rFonts w:hint="eastAsia" w:ascii="黑体" w:hAnsi="黑体" w:eastAsia="黑体"/>
          <w:b w:val="0"/>
        </w:rPr>
        <w:t>五部分 附表</w:t>
      </w:r>
      <w:bookmarkEnd w:id="57"/>
      <w:bookmarkEnd w:id="62"/>
    </w:p>
    <w:p>
      <w:pPr>
        <w:pStyle w:val="3"/>
        <w:rPr>
          <w:rFonts w:ascii="仿宋" w:hAnsi="仿宋" w:eastAsia="仿宋"/>
          <w:color w:val="000000"/>
        </w:rPr>
      </w:pPr>
      <w:bookmarkStart w:id="63" w:name="_Toc15396619"/>
      <w:r>
        <w:rPr>
          <w:rFonts w:hint="eastAsia" w:ascii="仿宋" w:hAnsi="仿宋" w:eastAsia="仿宋"/>
          <w:b w:val="0"/>
          <w:color w:val="000000"/>
        </w:rPr>
        <w:t>一、收</w:t>
      </w:r>
      <w:r>
        <w:rPr>
          <w:rStyle w:val="26"/>
          <w:rFonts w:hint="eastAsia" w:ascii="仿宋" w:hAnsi="仿宋" w:eastAsia="仿宋"/>
          <w:b w:val="0"/>
          <w:bCs w:val="0"/>
        </w:rPr>
        <w:t>入支出决算总表</w:t>
      </w:r>
      <w:bookmarkEnd w:id="63"/>
    </w:p>
    <w:p>
      <w:pPr>
        <w:pStyle w:val="3"/>
        <w:rPr>
          <w:rFonts w:ascii="仿宋" w:hAnsi="仿宋" w:eastAsia="仿宋"/>
          <w:color w:val="000000"/>
        </w:rPr>
      </w:pPr>
      <w:bookmarkStart w:id="64" w:name="_Toc15396620"/>
      <w:r>
        <w:rPr>
          <w:rFonts w:hint="eastAsia" w:ascii="仿宋" w:hAnsi="仿宋" w:eastAsia="仿宋"/>
          <w:b w:val="0"/>
          <w:color w:val="000000"/>
        </w:rPr>
        <w:t>二、收</w:t>
      </w:r>
      <w:r>
        <w:rPr>
          <w:rStyle w:val="26"/>
          <w:rFonts w:hint="eastAsia" w:ascii="仿宋" w:hAnsi="仿宋" w:eastAsia="仿宋"/>
          <w:b w:val="0"/>
          <w:bCs w:val="0"/>
        </w:rPr>
        <w:t>入总表</w:t>
      </w:r>
      <w:bookmarkEnd w:id="64"/>
    </w:p>
    <w:p>
      <w:pPr>
        <w:pStyle w:val="3"/>
        <w:rPr>
          <w:rFonts w:ascii="仿宋" w:hAnsi="仿宋" w:eastAsia="仿宋"/>
          <w:color w:val="000000"/>
        </w:rPr>
      </w:pPr>
      <w:bookmarkStart w:id="65" w:name="_Toc15396621"/>
      <w:r>
        <w:rPr>
          <w:rStyle w:val="26"/>
          <w:rFonts w:hint="eastAsia" w:ascii="仿宋" w:hAnsi="仿宋" w:eastAsia="仿宋"/>
          <w:b w:val="0"/>
          <w:bCs w:val="0"/>
        </w:rPr>
        <w:t>三、</w:t>
      </w:r>
      <w:r>
        <w:rPr>
          <w:rFonts w:hint="eastAsia" w:ascii="仿宋" w:hAnsi="仿宋" w:eastAsia="仿宋"/>
          <w:b w:val="0"/>
          <w:color w:val="000000"/>
        </w:rPr>
        <w:t>支</w:t>
      </w:r>
      <w:r>
        <w:rPr>
          <w:rStyle w:val="26"/>
          <w:rFonts w:hint="eastAsia" w:ascii="仿宋" w:hAnsi="仿宋" w:eastAsia="仿宋"/>
          <w:b w:val="0"/>
          <w:bCs w:val="0"/>
        </w:rPr>
        <w:t>出总表</w:t>
      </w:r>
      <w:bookmarkEnd w:id="65"/>
    </w:p>
    <w:p>
      <w:pPr>
        <w:pStyle w:val="3"/>
        <w:rPr>
          <w:rFonts w:ascii="仿宋" w:hAnsi="仿宋" w:eastAsia="仿宋"/>
          <w:b w:val="0"/>
          <w:color w:val="000000"/>
        </w:rPr>
      </w:pPr>
      <w:bookmarkStart w:id="66" w:name="_Toc15396622"/>
      <w:r>
        <w:rPr>
          <w:rStyle w:val="26"/>
          <w:rFonts w:hint="eastAsia" w:ascii="仿宋" w:hAnsi="仿宋" w:eastAsia="仿宋"/>
          <w:b w:val="0"/>
          <w:bCs w:val="0"/>
        </w:rPr>
        <w:t>四、</w:t>
      </w:r>
      <w:r>
        <w:rPr>
          <w:rFonts w:hint="eastAsia" w:ascii="仿宋" w:hAnsi="仿宋" w:eastAsia="仿宋"/>
          <w:b w:val="0"/>
          <w:color w:val="000000"/>
        </w:rPr>
        <w:t>财</w:t>
      </w:r>
      <w:r>
        <w:rPr>
          <w:rStyle w:val="26"/>
          <w:rFonts w:hint="eastAsia" w:ascii="仿宋" w:hAnsi="仿宋" w:eastAsia="仿宋"/>
          <w:b w:val="0"/>
          <w:bCs w:val="0"/>
        </w:rPr>
        <w:t>政拨款收入支出决算总表</w:t>
      </w:r>
      <w:bookmarkEnd w:id="66"/>
    </w:p>
    <w:p>
      <w:pPr>
        <w:pStyle w:val="3"/>
        <w:rPr>
          <w:rFonts w:ascii="仿宋" w:hAnsi="仿宋" w:eastAsia="仿宋"/>
          <w:color w:val="000000"/>
        </w:rPr>
      </w:pPr>
      <w:bookmarkStart w:id="67" w:name="_Toc15396623"/>
      <w:r>
        <w:rPr>
          <w:rStyle w:val="26"/>
          <w:rFonts w:hint="eastAsia" w:ascii="仿宋" w:hAnsi="仿宋" w:eastAsia="仿宋"/>
          <w:b w:val="0"/>
          <w:bCs w:val="0"/>
        </w:rPr>
        <w:t>五、</w:t>
      </w:r>
      <w:r>
        <w:rPr>
          <w:rFonts w:hint="eastAsia" w:ascii="仿宋" w:hAnsi="仿宋" w:eastAsia="仿宋"/>
          <w:b w:val="0"/>
          <w:color w:val="000000"/>
        </w:rPr>
        <w:t>财</w:t>
      </w:r>
      <w:r>
        <w:rPr>
          <w:rStyle w:val="26"/>
          <w:rFonts w:hint="eastAsia" w:ascii="仿宋" w:hAnsi="仿宋" w:eastAsia="仿宋"/>
          <w:b w:val="0"/>
          <w:bCs w:val="0"/>
        </w:rPr>
        <w:t>政拨款支出决算明细表（政府经济分类科目）</w:t>
      </w:r>
      <w:bookmarkEnd w:id="67"/>
    </w:p>
    <w:p>
      <w:pPr>
        <w:pStyle w:val="3"/>
        <w:rPr>
          <w:rFonts w:ascii="仿宋" w:hAnsi="仿宋" w:eastAsia="仿宋"/>
          <w:color w:val="000000"/>
        </w:rPr>
      </w:pPr>
      <w:bookmarkStart w:id="68" w:name="_Toc15396624"/>
      <w:r>
        <w:rPr>
          <w:rStyle w:val="26"/>
          <w:rFonts w:hint="eastAsia" w:ascii="仿宋" w:hAnsi="仿宋" w:eastAsia="仿宋"/>
          <w:b w:val="0"/>
          <w:bCs w:val="0"/>
        </w:rPr>
        <w:t>六、</w:t>
      </w:r>
      <w:r>
        <w:rPr>
          <w:rFonts w:hint="eastAsia" w:ascii="仿宋" w:hAnsi="仿宋" w:eastAsia="仿宋"/>
          <w:b w:val="0"/>
          <w:color w:val="000000"/>
        </w:rPr>
        <w:t>一</w:t>
      </w:r>
      <w:r>
        <w:rPr>
          <w:rStyle w:val="26"/>
          <w:rFonts w:hint="eastAsia" w:ascii="仿宋" w:hAnsi="仿宋" w:eastAsia="仿宋"/>
          <w:b w:val="0"/>
          <w:bCs w:val="0"/>
        </w:rPr>
        <w:t>般公共预算财政拨款支出决算表</w:t>
      </w:r>
      <w:bookmarkEnd w:id="68"/>
    </w:p>
    <w:p>
      <w:pPr>
        <w:pStyle w:val="3"/>
        <w:rPr>
          <w:rFonts w:ascii="仿宋" w:hAnsi="仿宋" w:eastAsia="仿宋"/>
          <w:color w:val="000000"/>
        </w:rPr>
      </w:pPr>
      <w:bookmarkStart w:id="69" w:name="_Toc15396625"/>
      <w:r>
        <w:rPr>
          <w:rStyle w:val="26"/>
          <w:rFonts w:hint="eastAsia" w:ascii="仿宋" w:hAnsi="仿宋" w:eastAsia="仿宋"/>
          <w:b w:val="0"/>
          <w:bCs w:val="0"/>
        </w:rPr>
        <w:t>七、</w:t>
      </w:r>
      <w:r>
        <w:rPr>
          <w:rFonts w:hint="eastAsia" w:ascii="仿宋" w:hAnsi="仿宋" w:eastAsia="仿宋"/>
          <w:b w:val="0"/>
          <w:color w:val="000000"/>
        </w:rPr>
        <w:t>一</w:t>
      </w:r>
      <w:r>
        <w:rPr>
          <w:rStyle w:val="26"/>
          <w:rFonts w:hint="eastAsia" w:ascii="仿宋" w:hAnsi="仿宋" w:eastAsia="仿宋"/>
          <w:b w:val="0"/>
          <w:bCs w:val="0"/>
        </w:rPr>
        <w:t>般公共预算财政拨款支出决算明细表</w:t>
      </w:r>
      <w:bookmarkEnd w:id="69"/>
    </w:p>
    <w:p>
      <w:pPr>
        <w:pStyle w:val="3"/>
        <w:rPr>
          <w:rFonts w:ascii="仿宋" w:hAnsi="仿宋" w:eastAsia="仿宋"/>
          <w:color w:val="000000"/>
        </w:rPr>
      </w:pPr>
      <w:bookmarkStart w:id="70" w:name="_Toc15396626"/>
      <w:r>
        <w:rPr>
          <w:rStyle w:val="26"/>
          <w:rFonts w:hint="eastAsia" w:ascii="仿宋" w:hAnsi="仿宋" w:eastAsia="仿宋"/>
          <w:b w:val="0"/>
          <w:bCs w:val="0"/>
        </w:rPr>
        <w:t>八、</w:t>
      </w:r>
      <w:r>
        <w:rPr>
          <w:rFonts w:hint="eastAsia" w:ascii="仿宋" w:hAnsi="仿宋" w:eastAsia="仿宋"/>
          <w:b w:val="0"/>
          <w:color w:val="000000"/>
        </w:rPr>
        <w:t>一</w:t>
      </w:r>
      <w:r>
        <w:rPr>
          <w:rStyle w:val="26"/>
          <w:rFonts w:hint="eastAsia" w:ascii="仿宋" w:hAnsi="仿宋" w:eastAsia="仿宋"/>
          <w:b w:val="0"/>
          <w:bCs w:val="0"/>
        </w:rPr>
        <w:t>般公共预算财政拨款基本支出决算表</w:t>
      </w:r>
      <w:bookmarkEnd w:id="70"/>
    </w:p>
    <w:p>
      <w:pPr>
        <w:pStyle w:val="3"/>
        <w:rPr>
          <w:rFonts w:ascii="仿宋" w:hAnsi="仿宋" w:eastAsia="仿宋"/>
          <w:color w:val="000000"/>
        </w:rPr>
      </w:pPr>
      <w:bookmarkStart w:id="71" w:name="_Toc15396627"/>
      <w:r>
        <w:rPr>
          <w:rStyle w:val="26"/>
          <w:rFonts w:hint="eastAsia" w:ascii="仿宋" w:hAnsi="仿宋" w:eastAsia="仿宋"/>
          <w:b w:val="0"/>
          <w:bCs w:val="0"/>
        </w:rPr>
        <w:t>九、</w:t>
      </w:r>
      <w:r>
        <w:rPr>
          <w:rFonts w:hint="eastAsia" w:ascii="仿宋" w:hAnsi="仿宋" w:eastAsia="仿宋"/>
          <w:b w:val="0"/>
          <w:color w:val="000000"/>
        </w:rPr>
        <w:t>一</w:t>
      </w:r>
      <w:r>
        <w:rPr>
          <w:rStyle w:val="26"/>
          <w:rFonts w:hint="eastAsia" w:ascii="仿宋" w:hAnsi="仿宋" w:eastAsia="仿宋"/>
          <w:b w:val="0"/>
          <w:bCs w:val="0"/>
        </w:rPr>
        <w:t>般公共预算财政拨款项目支出决算表</w:t>
      </w:r>
      <w:bookmarkEnd w:id="71"/>
    </w:p>
    <w:p>
      <w:pPr>
        <w:pStyle w:val="3"/>
        <w:rPr>
          <w:rFonts w:ascii="仿宋" w:hAnsi="仿宋" w:eastAsia="仿宋"/>
          <w:color w:val="000000"/>
        </w:rPr>
      </w:pPr>
      <w:bookmarkStart w:id="72" w:name="_Toc15396628"/>
      <w:r>
        <w:rPr>
          <w:rStyle w:val="26"/>
          <w:rFonts w:hint="eastAsia" w:ascii="仿宋" w:hAnsi="仿宋" w:eastAsia="仿宋"/>
          <w:b w:val="0"/>
          <w:bCs w:val="0"/>
        </w:rPr>
        <w:t>十、</w:t>
      </w:r>
      <w:r>
        <w:rPr>
          <w:rFonts w:hint="eastAsia" w:ascii="仿宋" w:hAnsi="仿宋" w:eastAsia="仿宋"/>
          <w:b w:val="0"/>
          <w:color w:val="000000"/>
        </w:rPr>
        <w:t>一</w:t>
      </w:r>
      <w:r>
        <w:rPr>
          <w:rStyle w:val="26"/>
          <w:rFonts w:hint="eastAsia" w:ascii="仿宋" w:hAnsi="仿宋" w:eastAsia="仿宋"/>
          <w:b w:val="0"/>
          <w:bCs w:val="0"/>
        </w:rPr>
        <w:t>般公共预算财政拨款“三公”经费支出决算表</w:t>
      </w:r>
      <w:bookmarkEnd w:id="72"/>
    </w:p>
    <w:p>
      <w:pPr>
        <w:pStyle w:val="3"/>
        <w:rPr>
          <w:rFonts w:ascii="仿宋" w:hAnsi="仿宋" w:eastAsia="仿宋"/>
          <w:color w:val="000000"/>
        </w:rPr>
      </w:pPr>
      <w:bookmarkStart w:id="73" w:name="_Toc15396629"/>
      <w:r>
        <w:rPr>
          <w:rStyle w:val="26"/>
          <w:rFonts w:hint="eastAsia" w:ascii="仿宋" w:hAnsi="仿宋" w:eastAsia="仿宋"/>
          <w:b w:val="0"/>
          <w:bCs w:val="0"/>
        </w:rPr>
        <w:t>十一、</w:t>
      </w:r>
      <w:r>
        <w:rPr>
          <w:rFonts w:hint="eastAsia" w:ascii="仿宋" w:hAnsi="仿宋" w:eastAsia="仿宋"/>
          <w:b w:val="0"/>
          <w:color w:val="000000"/>
        </w:rPr>
        <w:t>政</w:t>
      </w:r>
      <w:r>
        <w:rPr>
          <w:rStyle w:val="26"/>
          <w:rFonts w:hint="eastAsia" w:ascii="仿宋" w:hAnsi="仿宋" w:eastAsia="仿宋"/>
          <w:b w:val="0"/>
          <w:bCs w:val="0"/>
        </w:rPr>
        <w:t>府性基金预算财政拨款收入支出决算表</w:t>
      </w:r>
      <w:bookmarkEnd w:id="73"/>
    </w:p>
    <w:p>
      <w:pPr>
        <w:pStyle w:val="3"/>
        <w:rPr>
          <w:rFonts w:ascii="仿宋" w:hAnsi="仿宋" w:eastAsia="仿宋"/>
          <w:color w:val="000000"/>
        </w:rPr>
      </w:pPr>
      <w:bookmarkStart w:id="74" w:name="_Toc15396630"/>
      <w:r>
        <w:rPr>
          <w:rStyle w:val="26"/>
          <w:rFonts w:hint="eastAsia" w:ascii="仿宋" w:hAnsi="仿宋" w:eastAsia="仿宋"/>
          <w:b w:val="0"/>
          <w:bCs w:val="0"/>
        </w:rPr>
        <w:t>十二、</w:t>
      </w:r>
      <w:r>
        <w:rPr>
          <w:rFonts w:hint="eastAsia" w:ascii="仿宋" w:hAnsi="仿宋" w:eastAsia="仿宋"/>
          <w:b w:val="0"/>
          <w:color w:val="000000"/>
        </w:rPr>
        <w:t>政</w:t>
      </w:r>
      <w:r>
        <w:rPr>
          <w:rStyle w:val="26"/>
          <w:rFonts w:hint="eastAsia" w:ascii="仿宋" w:hAnsi="仿宋" w:eastAsia="仿宋"/>
          <w:b w:val="0"/>
          <w:bCs w:val="0"/>
        </w:rPr>
        <w:t>府性基金预算财政拨款“三公”经费支出决算表</w:t>
      </w:r>
      <w:bookmarkEnd w:id="74"/>
    </w:p>
    <w:p>
      <w:pPr>
        <w:pStyle w:val="3"/>
        <w:rPr>
          <w:rFonts w:ascii="仿宋" w:hAnsi="仿宋" w:eastAsia="仿宋"/>
          <w:color w:val="000000" w:themeColor="text1"/>
          <w14:textFill>
            <w14:solidFill>
              <w14:schemeClr w14:val="tx1"/>
            </w14:solidFill>
          </w14:textFill>
        </w:rPr>
      </w:pPr>
      <w:bookmarkStart w:id="75" w:name="_Toc15396631"/>
      <w:r>
        <w:rPr>
          <w:rStyle w:val="26"/>
          <w:rFonts w:hint="eastAsia" w:ascii="仿宋" w:hAnsi="仿宋" w:eastAsia="仿宋"/>
          <w:b w:val="0"/>
          <w:bCs w:val="0"/>
        </w:rPr>
        <w:t>十三、</w:t>
      </w:r>
      <w:r>
        <w:rPr>
          <w:rFonts w:hint="eastAsia" w:ascii="仿宋" w:hAnsi="仿宋" w:eastAsia="仿宋"/>
          <w:b w:val="0"/>
          <w:color w:val="000000"/>
        </w:rPr>
        <w:t>国</w:t>
      </w:r>
      <w:r>
        <w:rPr>
          <w:rStyle w:val="26"/>
          <w:rFonts w:hint="eastAsia" w:ascii="仿宋" w:hAnsi="仿宋" w:eastAsia="仿宋"/>
          <w:b w:val="0"/>
          <w:bCs w:val="0"/>
        </w:rPr>
        <w:t>有资本经营预算支出决算表</w:t>
      </w:r>
      <w:bookmarkEnd w:id="75"/>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行楷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18D6B45"/>
    <w:multiLevelType w:val="singleLevel"/>
    <w:tmpl w:val="E18D6B45"/>
    <w:lvl w:ilvl="0" w:tentative="0">
      <w:start w:val="2"/>
      <w:numFmt w:val="chineseCounting"/>
      <w:suff w:val="nothing"/>
      <w:lvlText w:val="（%1）"/>
      <w:lvlJc w:val="left"/>
      <w:pPr>
        <w:ind w:left="-220"/>
      </w:pPr>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B0A3DD3"/>
    <w:multiLevelType w:val="singleLevel"/>
    <w:tmpl w:val="EB0A3DD3"/>
    <w:lvl w:ilvl="0" w:tentative="0">
      <w:start w:val="2"/>
      <w:numFmt w:val="decimal"/>
      <w:suff w:val="nothing"/>
      <w:lvlText w:val="（%1）"/>
      <w:lvlJc w:val="left"/>
      <w:rPr>
        <w:rFonts w:cs="Times New Roman"/>
      </w:rPr>
    </w:lvl>
  </w:abstractNum>
  <w:abstractNum w:abstractNumId="4">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5">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7">
    <w:nsid w:val="65882A1E"/>
    <w:multiLevelType w:val="singleLevel"/>
    <w:tmpl w:val="65882A1E"/>
    <w:lvl w:ilvl="0" w:tentative="0">
      <w:start w:val="2"/>
      <w:numFmt w:val="chineseCounting"/>
      <w:suff w:val="nothing"/>
      <w:lvlText w:val="（%1）"/>
      <w:lvlJc w:val="left"/>
      <w:rPr>
        <w:rFonts w:hint="eastAsia"/>
      </w:rPr>
    </w:lvl>
  </w:abstractNum>
  <w:abstractNum w:abstractNumId="8">
    <w:nsid w:val="6A461C62"/>
    <w:multiLevelType w:val="singleLevel"/>
    <w:tmpl w:val="6A461C62"/>
    <w:lvl w:ilvl="0" w:tentative="0">
      <w:start w:val="1"/>
      <w:numFmt w:val="decimal"/>
      <w:lvlText w:val="%1."/>
      <w:lvlJc w:val="left"/>
      <w:pPr>
        <w:tabs>
          <w:tab w:val="left" w:pos="312"/>
        </w:tabs>
      </w:pPr>
    </w:lvl>
  </w:abstractNum>
  <w:num w:numId="1">
    <w:abstractNumId w:val="5"/>
  </w:num>
  <w:num w:numId="2">
    <w:abstractNumId w:val="0"/>
  </w:num>
  <w:num w:numId="3">
    <w:abstractNumId w:val="6"/>
  </w:num>
  <w:num w:numId="4">
    <w:abstractNumId w:val="4"/>
  </w:num>
  <w:num w:numId="5">
    <w:abstractNumId w:val="8"/>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NjJlMDAxZWM3ODlhMjQ3MTc0NWE5ODU2MDA2MzQifQ=="/>
  </w:docVars>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DA24D89"/>
    <w:rsid w:val="10C055FF"/>
    <w:rsid w:val="1620166C"/>
    <w:rsid w:val="16BB723D"/>
    <w:rsid w:val="1EC81B5C"/>
    <w:rsid w:val="1F9D1F08"/>
    <w:rsid w:val="240371BF"/>
    <w:rsid w:val="29FD04D3"/>
    <w:rsid w:val="319F7F4E"/>
    <w:rsid w:val="36A707A2"/>
    <w:rsid w:val="43AC7301"/>
    <w:rsid w:val="43EE5161"/>
    <w:rsid w:val="45BC2474"/>
    <w:rsid w:val="563B7A42"/>
    <w:rsid w:val="59F61C29"/>
    <w:rsid w:val="5B4B730E"/>
    <w:rsid w:val="64622AC4"/>
    <w:rsid w:val="6CE0534C"/>
    <w:rsid w:val="705B3896"/>
    <w:rsid w:val="788774F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5"/>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2"/>
    <w:qFormat/>
    <w:uiPriority w:val="9"/>
    <w:rPr>
      <w:rFonts w:ascii="Times New Roman" w:hAnsi="Times New Roman"/>
      <w:b/>
      <w:bCs/>
      <w:kern w:val="44"/>
      <w:sz w:val="44"/>
      <w:szCs w:val="44"/>
    </w:rPr>
  </w:style>
  <w:style w:type="character" w:customStyle="1" w:styleId="26">
    <w:name w:val="标题 2 Char"/>
    <w:basedOn w:val="14"/>
    <w:link w:val="3"/>
    <w:qFormat/>
    <w:uiPriority w:val="9"/>
    <w:rPr>
      <w:rFonts w:asciiTheme="majorHAnsi" w:hAnsiTheme="majorHAnsi" w:eastAsiaTheme="majorEastAsia" w:cstheme="majorBidi"/>
      <w:b/>
      <w:bCs/>
      <w:kern w:val="2"/>
      <w:sz w:val="32"/>
      <w:szCs w:val="32"/>
    </w:rPr>
  </w:style>
  <w:style w:type="paragraph" w:customStyle="1" w:styleId="27">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[工作簿1]Sheet1!$A$3</c:f>
              <c:strCache>
                <c:ptCount val="1"/>
                <c:pt idx="0">
                  <c:v>2017年</c:v>
                </c:pt>
              </c:strCache>
            </c:strRef>
          </c:tx>
          <c:spPr>
            <a:solidFill>
              <a:schemeClr val="accent1"/>
            </a:solidFill>
            <a:ln>
              <a:noFill/>
            </a:ln>
            <a:effectLst/>
          </c:spPr>
          <c:invertIfNegative val="0"/>
          <c:dLbls>
            <c:delete val="1"/>
          </c:dLbls>
          <c:cat>
            <c:strRef>
              <c:f>[工作簿1]Sheet1!$B$2:$C$2</c:f>
              <c:strCache>
                <c:ptCount val="2"/>
                <c:pt idx="0">
                  <c:v>收入</c:v>
                </c:pt>
                <c:pt idx="1">
                  <c:v>支出</c:v>
                </c:pt>
              </c:strCache>
            </c:strRef>
          </c:cat>
          <c:val>
            <c:numRef>
              <c:f>[工作簿1]Sheet1!$B$3:$C$3</c:f>
              <c:numCache>
                <c:formatCode>0.00_ </c:formatCode>
                <c:ptCount val="2"/>
                <c:pt idx="0">
                  <c:v>217.255256</c:v>
                </c:pt>
                <c:pt idx="1">
                  <c:v>235.757597</c:v>
                </c:pt>
              </c:numCache>
            </c:numRef>
          </c:val>
        </c:ser>
        <c:ser>
          <c:idx val="1"/>
          <c:order val="1"/>
          <c:tx>
            <c:strRef>
              <c:f>[工作簿1]Sheet1!$A$4</c:f>
              <c:strCache>
                <c:ptCount val="1"/>
                <c:pt idx="0">
                  <c:v>2018年</c:v>
                </c:pt>
              </c:strCache>
            </c:strRef>
          </c:tx>
          <c:spPr>
            <a:solidFill>
              <a:schemeClr val="accent2"/>
            </a:solidFill>
            <a:ln>
              <a:noFill/>
            </a:ln>
            <a:effectLst/>
          </c:spPr>
          <c:invertIfNegative val="0"/>
          <c:dLbls>
            <c:delete val="1"/>
          </c:dLbls>
          <c:cat>
            <c:strRef>
              <c:f>[工作簿1]Sheet1!$B$2:$C$2</c:f>
              <c:strCache>
                <c:ptCount val="2"/>
                <c:pt idx="0">
                  <c:v>收入</c:v>
                </c:pt>
                <c:pt idx="1">
                  <c:v>支出</c:v>
                </c:pt>
              </c:strCache>
            </c:strRef>
          </c:cat>
          <c:val>
            <c:numRef>
              <c:f>[工作簿1]Sheet1!$B$4:$C$4</c:f>
              <c:numCache>
                <c:formatCode>0.00_ </c:formatCode>
                <c:ptCount val="2"/>
                <c:pt idx="0">
                  <c:v>211.13</c:v>
                </c:pt>
                <c:pt idx="1">
                  <c:v>229.26</c:v>
                </c:pt>
              </c:numCache>
            </c:numRef>
          </c:val>
        </c:ser>
        <c:dLbls>
          <c:showLegendKey val="0"/>
          <c:showVal val="0"/>
          <c:showCatName val="0"/>
          <c:showSerName val="0"/>
          <c:showPercent val="0"/>
          <c:showBubbleSize val="0"/>
        </c:dLbls>
        <c:gapWidth val="219"/>
        <c:overlap val="-27"/>
        <c:axId val="265106027"/>
        <c:axId val="591774097"/>
      </c:barChart>
      <c:catAx>
        <c:axId val="265106027"/>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91774097"/>
        <c:crosses val="autoZero"/>
        <c:auto val="1"/>
        <c:lblAlgn val="ctr"/>
        <c:lblOffset val="100"/>
        <c:noMultiLvlLbl val="0"/>
      </c:catAx>
      <c:valAx>
        <c:axId val="591774097"/>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65106027"/>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[工作簿1]Sheet1!$A$29</c:f>
              <c:strCache>
                <c:ptCount val="1"/>
                <c:pt idx="0">
                  <c:v>一般公共预算财政拨款收入</c:v>
                </c:pt>
              </c:strCache>
            </c:strRef>
          </c:tx>
          <c:spPr/>
          <c:explosion val="0"/>
          <c:dPt>
            <c:idx val="0"/>
            <c:bubble3D val="0"/>
            <c:spPr>
              <a:solidFill>
                <a:schemeClr val="accent1"/>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一般公共预算财政拨款收入, 211.13, 100.00%</a:t>
                    </a:r>
                  </a:p>
                </c:rich>
              </c:tx>
              <c:dLblPos val="bestFit"/>
              <c:showLegendKey val="0"/>
              <c:showVal val="1"/>
              <c:showCatName val="1"/>
              <c:showSerName val="1"/>
              <c:showPercent val="1"/>
              <c:showBubbleSize val="0"/>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1"/>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[工作簿1]Sheet1!$B$29</c:f>
              <c:numCache>
                <c:formatCode>#,##0.00</c:formatCode>
                <c:ptCount val="1"/>
                <c:pt idx="0">
                  <c:v>211.13</c:v>
                </c:pt>
              </c:numCache>
            </c:numRef>
          </c:val>
        </c:ser>
        <c:dLbls>
          <c:showLegendKey val="0"/>
          <c:showVal val="1"/>
          <c:showCatName val="1"/>
          <c:showSerName val="1"/>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1"/>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项目支出, 90.00, </a:t>
                    </a:r>
                  </a:p>
                  <a:p>
                    <a:pPr defTabSz="914400">
                      <a:defRPr lang="zh-CN" sz="900" b="0" i="0" u="none" strike="noStrike" kern="1200" baseline="0">
                        <a:solidFill>
                          <a:schemeClr val="tx1">
                            <a:lumMod val="75000"/>
                            <a:lumOff val="25000"/>
                          </a:schemeClr>
                        </a:solidFill>
                        <a:latin typeface="+mn-lt"/>
                        <a:ea typeface="+mn-ea"/>
                        <a:cs typeface="+mn-cs"/>
                      </a:defRPr>
                    </a:pPr>
                    <a:r>
                      <a:t>39.26%</a:t>
                    </a:r>
                  </a:p>
                </c:rich>
              </c:tx>
              <c:dLblPos val="bestFit"/>
              <c:showLegendKey val="0"/>
              <c:showVal val="1"/>
              <c:showCatName val="1"/>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[工作簿1]Sheet1!$A$45:$A$46</c:f>
              <c:strCache>
                <c:ptCount val="2"/>
                <c:pt idx="0">
                  <c:v>基本支出</c:v>
                </c:pt>
                <c:pt idx="1">
                  <c:v>项目支出</c:v>
                </c:pt>
              </c:strCache>
            </c:strRef>
          </c:cat>
          <c:val>
            <c:numRef>
              <c:f>[工作簿1]Sheet1!$B$45:$B$46</c:f>
              <c:numCache>
                <c:formatCode>#,##0.00</c:formatCode>
                <c:ptCount val="2"/>
                <c:pt idx="0">
                  <c:v>139.26</c:v>
                </c:pt>
                <c:pt idx="1">
                  <c:v>90</c:v>
                </c:pt>
              </c:numCache>
            </c:numRef>
          </c:val>
        </c:ser>
        <c:dLbls>
          <c:showLegendKey val="0"/>
          <c:showVal val="1"/>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[工作簿1]Sheet1!$A$63</c:f>
              <c:strCache>
                <c:ptCount val="1"/>
                <c:pt idx="0">
                  <c:v>2017年</c:v>
                </c:pt>
              </c:strCache>
            </c:strRef>
          </c:tx>
          <c:spPr>
            <a:solidFill>
              <a:schemeClr val="accent1"/>
            </a:solidFill>
            <a:ln>
              <a:noFill/>
            </a:ln>
            <a:effectLst/>
          </c:spPr>
          <c:invertIfNegative val="0"/>
          <c:dLbls>
            <c:delete val="1"/>
          </c:dLbls>
          <c:cat>
            <c:strRef>
              <c:f>[工作簿1]Sheet1!$B$62:$C$62</c:f>
              <c:strCache>
                <c:ptCount val="2"/>
                <c:pt idx="0">
                  <c:v>收入</c:v>
                </c:pt>
                <c:pt idx="1">
                  <c:v>支出</c:v>
                </c:pt>
              </c:strCache>
            </c:strRef>
          </c:cat>
          <c:val>
            <c:numRef>
              <c:f>[工作簿1]Sheet1!$B$63:$C$63</c:f>
              <c:numCache>
                <c:formatCode>General</c:formatCode>
                <c:ptCount val="2"/>
                <c:pt idx="0">
                  <c:v>192.69</c:v>
                </c:pt>
                <c:pt idx="1" c:formatCode="0.00_ ">
                  <c:v>176.417431</c:v>
                </c:pt>
              </c:numCache>
            </c:numRef>
          </c:val>
        </c:ser>
        <c:ser>
          <c:idx val="1"/>
          <c:order val="1"/>
          <c:tx>
            <c:strRef>
              <c:f>[工作簿1]Sheet1!$A$64</c:f>
              <c:strCache>
                <c:ptCount val="1"/>
                <c:pt idx="0">
                  <c:v>2018年</c:v>
                </c:pt>
              </c:strCache>
            </c:strRef>
          </c:tx>
          <c:spPr>
            <a:solidFill>
              <a:schemeClr val="accent2"/>
            </a:solidFill>
            <a:ln>
              <a:noFill/>
            </a:ln>
            <a:effectLst/>
          </c:spPr>
          <c:invertIfNegative val="0"/>
          <c:dLbls>
            <c:delete val="1"/>
          </c:dLbls>
          <c:cat>
            <c:strRef>
              <c:f>[工作簿1]Sheet1!$B$62:$C$62</c:f>
              <c:strCache>
                <c:ptCount val="2"/>
                <c:pt idx="0">
                  <c:v>收入</c:v>
                </c:pt>
                <c:pt idx="1">
                  <c:v>支出</c:v>
                </c:pt>
              </c:strCache>
            </c:strRef>
          </c:cat>
          <c:val>
            <c:numRef>
              <c:f>[工作簿1]Sheet1!$B$64:$C$64</c:f>
              <c:numCache>
                <c:formatCode>0.00_ </c:formatCode>
                <c:ptCount val="2"/>
                <c:pt idx="0">
                  <c:v>211.13</c:v>
                </c:pt>
                <c:pt idx="1">
                  <c:v>229.26</c:v>
                </c:pt>
              </c:numCache>
            </c:numRef>
          </c:val>
        </c:ser>
        <c:dLbls>
          <c:showLegendKey val="0"/>
          <c:showVal val="0"/>
          <c:showCatName val="0"/>
          <c:showSerName val="0"/>
          <c:showPercent val="0"/>
          <c:showBubbleSize val="0"/>
        </c:dLbls>
        <c:gapWidth val="219"/>
        <c:overlap val="-27"/>
        <c:axId val="477170018"/>
        <c:axId val="69805483"/>
      </c:barChart>
      <c:catAx>
        <c:axId val="4771700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5483"/>
        <c:crosses val="autoZero"/>
        <c:auto val="1"/>
        <c:lblAlgn val="ctr"/>
        <c:lblOffset val="100"/>
        <c:noMultiLvlLbl val="0"/>
      </c:catAx>
      <c:valAx>
        <c:axId val="6980548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77170018"/>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[工作簿1]Sheet1!$B$79</c:f>
              <c:strCache>
                <c:ptCount val="1"/>
                <c:pt idx="0">
                  <c:v>一般公共预算支出</c:v>
                </c:pt>
              </c:strCache>
            </c:strRef>
          </c:tx>
          <c:spPr>
            <a:solidFill>
              <a:schemeClr val="accent1"/>
            </a:solidFill>
            <a:ln>
              <a:noFill/>
            </a:ln>
            <a:effectLst/>
          </c:spPr>
          <c:invertIfNegative val="0"/>
          <c:dLbls>
            <c:delete val="1"/>
          </c:dLbls>
          <c:cat>
            <c:strRef>
              <c:f>[工作簿1]Sheet1!$A$80:$A$81</c:f>
              <c:strCache>
                <c:ptCount val="2"/>
                <c:pt idx="0">
                  <c:v>2017年</c:v>
                </c:pt>
                <c:pt idx="1">
                  <c:v>2018年</c:v>
                </c:pt>
              </c:strCache>
            </c:strRef>
          </c:cat>
          <c:val>
            <c:numRef>
              <c:f>[工作簿1]Sheet1!$B$80:$B$81</c:f>
              <c:numCache>
                <c:formatCode>0.00_ </c:formatCode>
                <c:ptCount val="2"/>
                <c:pt idx="0">
                  <c:v>176.417431</c:v>
                </c:pt>
                <c:pt idx="1">
                  <c:v>229.26</c:v>
                </c:pt>
              </c:numCache>
            </c:numRef>
          </c:val>
        </c:ser>
        <c:dLbls>
          <c:showLegendKey val="0"/>
          <c:showVal val="0"/>
          <c:showCatName val="0"/>
          <c:showSerName val="0"/>
          <c:showPercent val="0"/>
          <c:showBubbleSize val="0"/>
        </c:dLbls>
        <c:gapWidth val="219"/>
        <c:overlap val="-27"/>
        <c:axId val="214689562"/>
        <c:axId val="926545942"/>
      </c:barChart>
      <c:catAx>
        <c:axId val="21468956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26545942"/>
        <c:crosses val="autoZero"/>
        <c:auto val="1"/>
        <c:lblAlgn val="ctr"/>
        <c:lblOffset val="100"/>
        <c:noMultiLvlLbl val="0"/>
      </c:catAx>
      <c:valAx>
        <c:axId val="926545942"/>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1468956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573478204001268"/>
                  <c:y val="-0.279513975088511"/>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0853613631194192"/>
                  <c:y val="0.118803576369661"/>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社会保障和就业, 12.07,</a:t>
                    </a:r>
                  </a:p>
                  <a:p>
                    <a:pPr defTabSz="914400">
                      <a:defRPr lang="zh-CN" sz="900" b="0" i="0" u="none" strike="noStrike" kern="1200" baseline="0">
                        <a:solidFill>
                          <a:schemeClr val="tx1">
                            <a:lumMod val="75000"/>
                            <a:lumOff val="25000"/>
                          </a:schemeClr>
                        </a:solidFill>
                        <a:latin typeface="+mn-lt"/>
                        <a:ea typeface="+mn-ea"/>
                        <a:cs typeface="+mn-cs"/>
                      </a:defRPr>
                    </a:pPr>
                    <a:r>
                      <a:t> 5.26%</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00710001718252858"/>
                  <c:y val="0.00135247295824169"/>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医疗卫生支出, 5.94,</a:t>
                    </a:r>
                  </a:p>
                  <a:p>
                    <a:pPr defTabSz="914400">
                      <a:defRPr lang="zh-CN" sz="900" b="0" i="0" u="none" strike="noStrike" kern="1200" baseline="0">
                        <a:solidFill>
                          <a:schemeClr val="tx1">
                            <a:lumMod val="75000"/>
                            <a:lumOff val="25000"/>
                          </a:schemeClr>
                        </a:solidFill>
                        <a:latin typeface="+mn-lt"/>
                        <a:ea typeface="+mn-ea"/>
                        <a:cs typeface="+mn-cs"/>
                      </a:defRPr>
                    </a:pPr>
                    <a:r>
                      <a:t> 2.59%</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dLbl>
              <c:idx val="3"/>
              <c:layout>
                <c:manualLayout>
                  <c:x val="0.0781718213504346"/>
                  <c:y val="0.0883854206255343"/>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住房保障支出, 13.67,</a:t>
                    </a:r>
                  </a:p>
                  <a:p>
                    <a:pPr defTabSz="914400">
                      <a:defRPr lang="zh-CN" sz="900" b="0" i="0" u="none" strike="noStrike" kern="1200" baseline="0">
                        <a:solidFill>
                          <a:schemeClr val="tx1">
                            <a:lumMod val="75000"/>
                            <a:lumOff val="25000"/>
                          </a:schemeClr>
                        </a:solidFill>
                        <a:latin typeface="+mn-lt"/>
                        <a:ea typeface="+mn-ea"/>
                        <a:cs typeface="+mn-cs"/>
                      </a:defRPr>
                    </a:pPr>
                    <a:r>
                      <a:t> 5.96%</a:t>
                    </a:r>
                  </a:p>
                </c:rich>
              </c:tx>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[工作簿1]Sheet1!$A$94:$A$97</c:f>
              <c:strCache>
                <c:ptCount val="4"/>
                <c:pt idx="0">
                  <c:v>教育支出</c:v>
                </c:pt>
                <c:pt idx="1">
                  <c:v>社会保障和就业</c:v>
                </c:pt>
                <c:pt idx="2">
                  <c:v>医疗卫生支出</c:v>
                </c:pt>
                <c:pt idx="3">
                  <c:v>住房保障支出</c:v>
                </c:pt>
              </c:strCache>
            </c:strRef>
          </c:cat>
          <c:val>
            <c:numRef>
              <c:f>[工作簿1]Sheet1!$B$94:$B$97</c:f>
              <c:numCache>
                <c:formatCode>General</c:formatCode>
                <c:ptCount val="4"/>
                <c:pt idx="0">
                  <c:v>197.58</c:v>
                </c:pt>
                <c:pt idx="1">
                  <c:v>12.07</c:v>
                </c:pt>
                <c:pt idx="2">
                  <c:v>5.94</c:v>
                </c:pt>
                <c:pt idx="3">
                  <c:v>13.67</c:v>
                </c:pt>
              </c:numCache>
            </c:numRef>
          </c:val>
        </c:ser>
        <c:dLbls>
          <c:showLegendKey val="0"/>
          <c:showVal val="1"/>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[工作簿1]Sheet1!$A$102</c:f>
              <c:strCache>
                <c:ptCount val="1"/>
                <c:pt idx="0">
                  <c:v>公务用车购置及运行维护费支出决算</c:v>
                </c:pt>
              </c:strCache>
            </c:strRef>
          </c:tx>
          <c:spPr/>
          <c:explosion val="0"/>
          <c:dPt>
            <c:idx val="0"/>
            <c:bubble3D val="0"/>
            <c:spPr>
              <a:solidFill>
                <a:schemeClr val="accent1"/>
              </a:solidFill>
              <a:ln w="19050">
                <a:solidFill>
                  <a:schemeClr val="lt1"/>
                </a:solidFill>
              </a:ln>
              <a:effectLst/>
            </c:spPr>
          </c:dPt>
          <c:dLbls>
            <c:dLbl>
              <c:idx val="0"/>
              <c:layout>
                <c:manualLayout>
                  <c:x val="0.0354156192381529"/>
                  <c:y val="-0.380350023441844"/>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公务用车购置及运行维护费支出决算,</a:t>
                    </a:r>
                  </a:p>
                  <a:p>
                    <a:pPr defTabSz="914400">
                      <a:defRPr lang="zh-CN" sz="900" b="0" i="0" u="none" strike="noStrike" kern="1200" baseline="0">
                        <a:solidFill>
                          <a:schemeClr val="tx1">
                            <a:lumMod val="75000"/>
                            <a:lumOff val="25000"/>
                          </a:schemeClr>
                        </a:solidFill>
                        <a:latin typeface="+mn-lt"/>
                        <a:ea typeface="+mn-ea"/>
                        <a:cs typeface="+mn-cs"/>
                      </a:defRPr>
                    </a:pPr>
                    <a:r>
                      <a:t> 1, 2.41,</a:t>
                    </a:r>
                  </a:p>
                  <a:p>
                    <a:pPr defTabSz="914400">
                      <a:defRPr lang="zh-CN" sz="900" b="0" i="0" u="none" strike="noStrike" kern="1200" baseline="0">
                        <a:solidFill>
                          <a:schemeClr val="tx1">
                            <a:lumMod val="75000"/>
                            <a:lumOff val="25000"/>
                          </a:schemeClr>
                        </a:solidFill>
                        <a:latin typeface="+mn-lt"/>
                        <a:ea typeface="+mn-ea"/>
                        <a:cs typeface="+mn-cs"/>
                      </a:defRPr>
                    </a:pPr>
                    <a:r>
                      <a:t> 100.00%</a:t>
                    </a:r>
                  </a:p>
                </c:rich>
              </c:tx>
              <c:dLblPos val="bestFit"/>
              <c:showLegendKey val="0"/>
              <c:showVal val="1"/>
              <c:showCatName val="1"/>
              <c:showSerName val="1"/>
              <c:showPercent val="1"/>
              <c:showBubbleSize val="0"/>
              <c:extLst>
                <c:ext xmlns:c15="http://schemas.microsoft.com/office/drawing/2012/chart" uri="{CE6537A1-D6FC-4f65-9D91-7224C49458BB}">
                  <c15:layout>
                    <c:manualLayout>
                      <c:w val="0.255555555555556"/>
                      <c:h val="0.276157407407407"/>
                    </c:manualLayout>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1"/>
            <c:showSerName val="1"/>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[工作簿1]Sheet1!$B$102</c:f>
              <c:numCache>
                <c:formatCode>General</c:formatCode>
                <c:ptCount val="1"/>
                <c:pt idx="0">
                  <c:v>2.41</c:v>
                </c:pt>
              </c:numCache>
            </c:numRef>
          </c:val>
        </c:ser>
        <c:dLbls>
          <c:showLegendKey val="0"/>
          <c:showVal val="1"/>
          <c:showCatName val="1"/>
          <c:showSerName val="1"/>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EE963-AE7E-4F3B-BBF1-9AF15C920BB6}">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1441</Words>
  <Characters>8219</Characters>
  <Lines>68</Lines>
  <Paragraphs>19</Paragraphs>
  <TotalTime>11</TotalTime>
  <ScaleCrop>false</ScaleCrop>
  <LinksUpToDate>false</LinksUpToDate>
  <CharactersWithSpaces>9641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匿名</cp:lastModifiedBy>
  <cp:lastPrinted>2019-08-01T00:48:00Z</cp:lastPrinted>
  <dcterms:modified xsi:type="dcterms:W3CDTF">2023-07-19T09:16:06Z</dcterms:modified>
  <dc:title>四川省***</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206031B7ABA04C9FB1DC337B415ECC21_13</vt:lpwstr>
  </property>
</Properties>
</file>