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600" w:lineRule="exact"/>
        <w:jc w:val="center"/>
        <w:outlineLvl w:val="0"/>
        <w:rPr>
          <w:rFonts w:ascii="方正小标宋简体" w:hAnsi="方正小标宋简体" w:eastAsia="方正小标宋简体"/>
          <w:color w:val="000000"/>
          <w:sz w:val="72"/>
          <w:szCs w:val="72"/>
        </w:rPr>
      </w:pPr>
    </w:p>
    <w:p>
      <w:pPr>
        <w:pStyle w:val="4"/>
        <w:numPr>
          <w:ilvl w:val="0"/>
          <w:numId w:val="0"/>
        </w:numPr>
        <w:spacing w:line="600" w:lineRule="exact"/>
        <w:jc w:val="center"/>
        <w:outlineLvl w:val="0"/>
        <w:rPr>
          <w:rFonts w:ascii="方正小标宋简体" w:hAnsi="方正小标宋简体" w:eastAsia="方正小标宋简体"/>
          <w:color w:val="000000"/>
          <w:sz w:val="72"/>
          <w:szCs w:val="72"/>
        </w:rPr>
      </w:pPr>
    </w:p>
    <w:p>
      <w:pPr>
        <w:pStyle w:val="4"/>
        <w:numPr>
          <w:ilvl w:val="0"/>
          <w:numId w:val="0"/>
        </w:numPr>
        <w:spacing w:line="600" w:lineRule="exact"/>
        <w:jc w:val="center"/>
        <w:outlineLvl w:val="0"/>
        <w:rPr>
          <w:rFonts w:ascii="方正小标宋简体" w:hAnsi="方正小标宋简体" w:eastAsia="方正小标宋简体"/>
          <w:color w:val="000000"/>
          <w:sz w:val="72"/>
          <w:szCs w:val="72"/>
        </w:rPr>
      </w:pPr>
    </w:p>
    <w:p>
      <w:pPr>
        <w:pStyle w:val="4"/>
        <w:numPr>
          <w:ilvl w:val="0"/>
          <w:numId w:val="0"/>
        </w:numPr>
        <w:spacing w:line="600" w:lineRule="exact"/>
        <w:jc w:val="center"/>
        <w:outlineLvl w:val="0"/>
        <w:rPr>
          <w:rFonts w:ascii="方正小标宋简体" w:hAnsi="方正小标宋简体" w:eastAsia="方正小标宋简体"/>
          <w:color w:val="000000"/>
          <w:sz w:val="72"/>
          <w:szCs w:val="72"/>
        </w:rPr>
      </w:pPr>
    </w:p>
    <w:p>
      <w:pPr>
        <w:pStyle w:val="4"/>
        <w:numPr>
          <w:ilvl w:val="0"/>
          <w:numId w:val="0"/>
        </w:numPr>
        <w:snapToGrid w:val="0"/>
        <w:spacing w:line="360" w:lineRule="auto"/>
        <w:jc w:val="center"/>
        <w:outlineLvl w:val="0"/>
        <w:rPr>
          <w:rFonts w:ascii="方正小标宋_GBK" w:hAnsi="方正小标宋_GBK" w:eastAsia="方正小标宋_GBK"/>
          <w:color w:val="000000"/>
          <w:sz w:val="72"/>
          <w:szCs w:val="72"/>
        </w:rPr>
      </w:pPr>
      <w:bookmarkStart w:id="0" w:name="_Toc15377193"/>
      <w:bookmarkStart w:id="1" w:name="_Toc15396475"/>
      <w:bookmarkStart w:id="2" w:name="_Toc15377425"/>
      <w:bookmarkStart w:id="3" w:name="_Toc15378441"/>
      <w:bookmarkStart w:id="4" w:name="_Toc15396597"/>
      <w:r>
        <w:rPr>
          <w:rFonts w:ascii="方正小标宋_GBK" w:hAnsi="方正小标宋_GBK" w:eastAsia="方正小标宋_GBK"/>
          <w:color w:val="000000"/>
          <w:sz w:val="72"/>
          <w:szCs w:val="72"/>
        </w:rPr>
        <w:t>2020年度</w:t>
      </w:r>
      <w:bookmarkEnd w:id="0"/>
      <w:bookmarkEnd w:id="1"/>
      <w:bookmarkEnd w:id="2"/>
      <w:bookmarkEnd w:id="3"/>
      <w:bookmarkEnd w:id="4"/>
    </w:p>
    <w:p>
      <w:pPr>
        <w:pStyle w:val="4"/>
        <w:numPr>
          <w:ilvl w:val="0"/>
          <w:numId w:val="0"/>
        </w:numPr>
        <w:snapToGrid w:val="0"/>
        <w:spacing w:line="360" w:lineRule="auto"/>
        <w:jc w:val="center"/>
        <w:outlineLvl w:val="0"/>
        <w:rPr>
          <w:rFonts w:ascii="方正小标宋_GBK" w:hAnsi="方正小标宋_GBK" w:eastAsia="方正小标宋_GBK"/>
          <w:color w:val="000000"/>
          <w:sz w:val="72"/>
          <w:szCs w:val="72"/>
        </w:rPr>
      </w:pPr>
      <w:bookmarkStart w:id="5" w:name="_Toc15306267"/>
      <w:r>
        <w:rPr>
          <w:rFonts w:ascii="方正小标宋_GBK" w:hAnsi="方正小标宋_GBK" w:eastAsia="方正小标宋_GBK"/>
          <w:color w:val="000000"/>
          <w:sz w:val="72"/>
          <w:szCs w:val="72"/>
        </w:rPr>
        <w:t>达州市达川区</w:t>
      </w:r>
      <w:bookmarkEnd w:id="5"/>
      <w:bookmarkStart w:id="6" w:name="_Toc15306268"/>
      <w:r>
        <w:rPr>
          <w:rFonts w:ascii="方正小标宋_GBK" w:hAnsi="方正小标宋_GBK" w:eastAsia="方正小标宋_GBK"/>
          <w:color w:val="000000"/>
          <w:sz w:val="72"/>
          <w:szCs w:val="72"/>
        </w:rPr>
        <w:t>桥湾镇</w:t>
      </w:r>
    </w:p>
    <w:p>
      <w:pPr>
        <w:pStyle w:val="4"/>
        <w:numPr>
          <w:ilvl w:val="0"/>
          <w:numId w:val="0"/>
        </w:numPr>
        <w:snapToGrid w:val="0"/>
        <w:spacing w:line="360" w:lineRule="auto"/>
        <w:jc w:val="center"/>
        <w:outlineLvl w:val="0"/>
        <w:rPr>
          <w:rFonts w:ascii="方正小标宋_GBK" w:hAnsi="方正小标宋_GBK" w:eastAsia="方正小标宋_GBK"/>
          <w:color w:val="000000"/>
          <w:sz w:val="72"/>
          <w:szCs w:val="72"/>
        </w:rPr>
      </w:pPr>
      <w:bookmarkStart w:id="7" w:name="_Toc15377194"/>
      <w:bookmarkStart w:id="8" w:name="_Toc15396476"/>
      <w:bookmarkStart w:id="9" w:name="_Toc15377426"/>
      <w:bookmarkStart w:id="10" w:name="_Toc15378442"/>
      <w:bookmarkStart w:id="11" w:name="_Toc15396598"/>
      <w:r>
        <w:rPr>
          <w:rFonts w:ascii="方正小标宋_GBK" w:hAnsi="方正小标宋_GBK" w:eastAsia="方正小标宋_GBK"/>
          <w:color w:val="000000"/>
          <w:sz w:val="72"/>
          <w:szCs w:val="72"/>
        </w:rPr>
        <w:t>部门决算</w:t>
      </w:r>
      <w:bookmarkEnd w:id="6"/>
      <w:bookmarkEnd w:id="7"/>
      <w:bookmarkEnd w:id="8"/>
      <w:bookmarkEnd w:id="9"/>
      <w:bookmarkEnd w:id="10"/>
      <w:bookmarkEnd w:id="11"/>
    </w:p>
    <w:p>
      <w:pPr>
        <w:pStyle w:val="4"/>
        <w:numPr>
          <w:ilvl w:val="0"/>
          <w:numId w:val="0"/>
        </w:numPr>
        <w:snapToGrid w:val="0"/>
        <w:spacing w:line="360" w:lineRule="auto"/>
        <w:jc w:val="center"/>
        <w:outlineLvl w:val="0"/>
        <w:rPr>
          <w:rFonts w:ascii="方正小标宋_GBK" w:hAnsi="方正小标宋_GBK" w:eastAsia="方正小标宋_GBK"/>
          <w:color w:val="000000"/>
          <w:sz w:val="72"/>
          <w:szCs w:val="72"/>
        </w:rPr>
      </w:pPr>
      <w:r>
        <w:rPr>
          <w:rFonts w:ascii="方正小标宋_GBK" w:hAnsi="方正小标宋_GBK" w:eastAsia="方正小标宋_GBK"/>
          <w:color w:val="000000"/>
          <w:sz w:val="72"/>
          <w:szCs w:val="72"/>
        </w:rPr>
        <w:t>编制说明</w:t>
      </w:r>
    </w:p>
    <w:p>
      <w:pPr>
        <w:pStyle w:val="4"/>
        <w:widowControl/>
        <w:rPr>
          <w:rFonts w:ascii="方正小标宋简体" w:hAnsi="方正小标宋简体" w:eastAsia="方正小标宋简体"/>
          <w:color w:val="000000"/>
          <w:sz w:val="36"/>
          <w:szCs w:val="36"/>
        </w:rPr>
      </w:pPr>
    </w:p>
    <w:p>
      <w:pPr>
        <w:pStyle w:val="4"/>
        <w:widowControl/>
        <w:rPr>
          <w:color w:val="000000"/>
          <w:sz w:val="36"/>
          <w:szCs w:val="36"/>
        </w:rPr>
      </w:pPr>
    </w:p>
    <w:p>
      <w:pPr>
        <w:pStyle w:val="4"/>
        <w:widowControl/>
        <w:rPr>
          <w:color w:val="000000"/>
          <w:sz w:val="36"/>
          <w:szCs w:val="36"/>
        </w:rPr>
      </w:pPr>
    </w:p>
    <w:p>
      <w:pPr>
        <w:pStyle w:val="4"/>
        <w:widowControl/>
        <w:rPr>
          <w:rFonts w:ascii="方正小标宋_GBK" w:hAnsi="方正小标宋_GBK" w:eastAsia="方正小标宋_GBK"/>
          <w:color w:val="000000"/>
          <w:sz w:val="44"/>
          <w:szCs w:val="44"/>
        </w:rPr>
      </w:pPr>
    </w:p>
    <w:p>
      <w:pPr>
        <w:pStyle w:val="4"/>
        <w:widowControl/>
        <w:rPr>
          <w:rFonts w:ascii="方正小标宋_GBK" w:hAnsi="方正小标宋_GBK" w:eastAsia="方正小标宋_GBK"/>
          <w:color w:val="000000"/>
          <w:sz w:val="44"/>
          <w:szCs w:val="44"/>
        </w:rPr>
      </w:pPr>
    </w:p>
    <w:p>
      <w:pPr>
        <w:pStyle w:val="4"/>
        <w:widowControl/>
        <w:jc w:val="center"/>
        <w:rPr>
          <w:rFonts w:ascii="黑体" w:hAnsi="黑体" w:eastAsia="黑体"/>
          <w:color w:val="000000"/>
          <w:sz w:val="48"/>
          <w:szCs w:val="48"/>
        </w:rPr>
      </w:pPr>
    </w:p>
    <w:p>
      <w:pPr>
        <w:pStyle w:val="2"/>
        <w:widowControl/>
        <w:jc w:val="center"/>
        <w:rPr>
          <w:rFonts w:ascii="黑体" w:hAnsi="黑体" w:eastAsia="黑体"/>
          <w:color w:val="000000"/>
          <w:sz w:val="48"/>
          <w:szCs w:val="48"/>
        </w:rPr>
      </w:pPr>
    </w:p>
    <w:p>
      <w:pPr>
        <w:pStyle w:val="2"/>
        <w:widowControl/>
        <w:jc w:val="center"/>
        <w:rPr>
          <w:rFonts w:ascii="黑体" w:hAnsi="黑体" w:eastAsia="黑体"/>
          <w:color w:val="000000"/>
          <w:sz w:val="48"/>
          <w:szCs w:val="48"/>
        </w:rPr>
      </w:pPr>
    </w:p>
    <w:p>
      <w:pPr>
        <w:pStyle w:val="2"/>
        <w:widowControl/>
        <w:jc w:val="center"/>
        <w:rPr>
          <w:rFonts w:ascii="黑体" w:hAnsi="黑体" w:eastAsia="黑体"/>
          <w:color w:val="000000"/>
          <w:sz w:val="48"/>
          <w:szCs w:val="48"/>
        </w:rPr>
      </w:pPr>
    </w:p>
    <w:p>
      <w:pPr>
        <w:pStyle w:val="2"/>
        <w:widowControl/>
        <w:jc w:val="center"/>
        <w:rPr>
          <w:rFonts w:ascii="黑体" w:hAnsi="黑体" w:eastAsia="黑体"/>
          <w:color w:val="000000"/>
          <w:sz w:val="48"/>
          <w:szCs w:val="48"/>
        </w:rPr>
      </w:pPr>
      <w:bookmarkStart w:id="12" w:name="_Toc15377196"/>
      <w:bookmarkStart w:id="13" w:name="_Toc15396599"/>
    </w:p>
    <w:p>
      <w:pPr>
        <w:pStyle w:val="4"/>
        <w:widowControl/>
        <w:jc w:val="center"/>
        <w:rPr>
          <w:rFonts w:ascii="黑体" w:hAnsi="黑体" w:eastAsia="黑体"/>
          <w:color w:val="000000"/>
          <w:sz w:val="48"/>
          <w:szCs w:val="48"/>
        </w:rPr>
      </w:pPr>
      <w:r>
        <w:rPr>
          <w:rFonts w:ascii="黑体" w:hAnsi="黑体" w:eastAsia="黑体"/>
          <w:color w:val="000000"/>
          <w:sz w:val="48"/>
          <w:szCs w:val="48"/>
        </w:rPr>
        <w:t>目录</w:t>
      </w:r>
    </w:p>
    <w:sdt>
      <w:sdtPr>
        <w:id w:val="1"/>
        <w:docPartObj>
          <w:docPartGallery w:val="Table of Contents"/>
          <w:docPartUnique/>
        </w:docPartObj>
      </w:sdtPr>
      <w:sdtContent>
        <w:p>
          <w:pPr>
            <w:pStyle w:val="4"/>
            <w:widowControl/>
            <w:jc w:val="center"/>
            <w:rPr>
              <w:rFonts w:ascii="黑体" w:hAnsi="黑体" w:eastAsia="黑体" w:cstheme="minorBidi"/>
              <w:sz w:val="28"/>
              <w:szCs w:val="28"/>
            </w:rPr>
          </w:pPr>
          <w:r>
            <w:fldChar w:fldCharType="begin"/>
          </w:r>
          <w:r>
            <w:instrText xml:space="preserve">TOC \z \o "1-2" \u \h</w:instrText>
          </w:r>
          <w:r>
            <w:fldChar w:fldCharType="separate"/>
          </w:r>
        </w:p>
        <w:p>
          <w:pPr>
            <w:pStyle w:val="4"/>
          </w:pPr>
        </w:p>
        <w:p>
          <w:pPr>
            <w:pStyle w:val="18"/>
            <w:rPr>
              <w:rFonts w:cstheme="minorBidi"/>
            </w:rPr>
          </w:pPr>
          <w:r>
            <w:fldChar w:fldCharType="begin"/>
          </w:r>
          <w:r>
            <w:instrText xml:space="preserve"> HYPERLINK \l "_Toc15396599" \h </w:instrText>
          </w:r>
          <w:r>
            <w:fldChar w:fldCharType="separate"/>
          </w:r>
          <w:r>
            <w:t>第一部分部门概况</w:t>
          </w:r>
          <w:r>
            <w:fldChar w:fldCharType="begin"/>
          </w:r>
          <w:r>
            <w:instrText xml:space="preserve">PAGEREF _Toc15396599 \h</w:instrText>
          </w:r>
          <w:r>
            <w:fldChar w:fldCharType="separate"/>
          </w:r>
          <w:r>
            <w:tab/>
          </w:r>
          <w:r>
            <w:t>4</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"_Toc15396600" \h </w:instrText>
          </w:r>
          <w:r>
            <w:fldChar w:fldCharType="separate"/>
          </w:r>
          <w:r>
            <w:rPr>
              <w:rFonts w:ascii="仿宋" w:hAnsi="仿宋" w:eastAsia="仿宋"/>
              <w:sz w:val="28"/>
              <w:szCs w:val="28"/>
            </w:rPr>
            <w:t>一、基本职能及主要工作</w:t>
          </w:r>
          <w:r>
            <w:fldChar w:fldCharType="begin"/>
          </w:r>
          <w:r>
            <w:instrText xml:space="preserve">PAGEREF _Toc15396600 \h</w:instrText>
          </w:r>
          <w:r>
            <w:fldChar w:fldCharType="separate"/>
          </w:r>
          <w:r>
            <w:rPr>
              <w:rFonts w:ascii="仿宋" w:hAnsi="仿宋" w:eastAsia="仿宋"/>
              <w:sz w:val="28"/>
              <w:szCs w:val="28"/>
            </w:rPr>
            <w:tab/>
          </w:r>
          <w:r>
            <w:rPr>
              <w:rFonts w:ascii="仿宋" w:hAnsi="仿宋" w:eastAsia="仿宋"/>
              <w:sz w:val="28"/>
              <w:szCs w:val="28"/>
            </w:rPr>
            <w:t>4</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"_Toc15396601" \h </w:instrText>
          </w:r>
          <w:r>
            <w:fldChar w:fldCharType="separate"/>
          </w:r>
          <w:r>
            <w:rPr>
              <w:rFonts w:ascii="仿宋" w:hAnsi="仿宋" w:eastAsia="仿宋"/>
              <w:sz w:val="28"/>
              <w:szCs w:val="28"/>
            </w:rPr>
            <w:t>二、机构设置</w:t>
          </w:r>
          <w:r>
            <w:fldChar w:fldCharType="begin"/>
          </w:r>
          <w:r>
            <w:instrText xml:space="preserve">PAGEREF _Toc15396601 \h</w:instrText>
          </w:r>
          <w:r>
            <w:fldChar w:fldCharType="separate"/>
          </w:r>
          <w:r>
            <w:rPr>
              <w:rFonts w:ascii="仿宋" w:hAnsi="仿宋" w:eastAsia="仿宋"/>
              <w:sz w:val="28"/>
              <w:szCs w:val="28"/>
            </w:rPr>
            <w:tab/>
          </w:r>
          <w:r>
            <w:rPr>
              <w:rFonts w:ascii="仿宋" w:hAnsi="仿宋" w:eastAsia="仿宋"/>
              <w:sz w:val="28"/>
              <w:szCs w:val="28"/>
            </w:rPr>
            <w:t>6</w:t>
          </w:r>
          <w:r>
            <w:fldChar w:fldCharType="end"/>
          </w:r>
          <w:r>
            <w:fldChar w:fldCharType="end"/>
          </w:r>
        </w:p>
        <w:p>
          <w:pPr>
            <w:pStyle w:val="18"/>
          </w:pPr>
          <w:r>
            <w:fldChar w:fldCharType="begin"/>
          </w:r>
          <w:r>
            <w:instrText xml:space="preserve"> HYPERLINK \l "_Toc15396602" \h </w:instrText>
          </w:r>
          <w:r>
            <w:fldChar w:fldCharType="separate"/>
          </w:r>
          <w:r>
            <w:t>第二部分 2020年度部门决算情况说明</w:t>
          </w:r>
          <w:r>
            <w:fldChar w:fldCharType="begin"/>
          </w:r>
          <w:r>
            <w:instrText xml:space="preserve">PAGEREF _Toc15396602 \h</w:instrText>
          </w:r>
          <w:r>
            <w:fldChar w:fldCharType="separate"/>
          </w:r>
          <w:r>
            <w:tab/>
          </w:r>
          <w:r>
            <w:t>6</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"_Toc15396603" \h </w:instrText>
          </w:r>
          <w:r>
            <w:fldChar w:fldCharType="separate"/>
          </w:r>
          <w:r>
            <w:rPr>
              <w:rFonts w:ascii="仿宋" w:hAnsi="仿宋" w:eastAsia="仿宋" w:cstheme="majorBidi"/>
              <w:bCs/>
              <w:sz w:val="28"/>
              <w:szCs w:val="28"/>
            </w:rPr>
            <w:t>一、</w:t>
          </w:r>
          <w:r>
            <w:rPr>
              <w:rFonts w:ascii="仿宋" w:hAnsi="仿宋" w:eastAsia="仿宋"/>
              <w:sz w:val="28"/>
              <w:szCs w:val="28"/>
            </w:rPr>
            <w:t>收</w:t>
          </w:r>
          <w:r>
            <w:rPr>
              <w:rFonts w:ascii="仿宋" w:hAnsi="仿宋" w:eastAsia="仿宋" w:cstheme="majorBidi"/>
              <w:bCs/>
              <w:sz w:val="28"/>
              <w:szCs w:val="28"/>
            </w:rPr>
            <w:t>入支出决算总体情况说明</w:t>
          </w:r>
          <w:r>
            <w:fldChar w:fldCharType="begin"/>
          </w:r>
          <w:r>
            <w:instrText xml:space="preserve">PAGEREF _Toc15396603 \h</w:instrText>
          </w:r>
          <w:r>
            <w:fldChar w:fldCharType="separate"/>
          </w:r>
          <w:r>
            <w:rPr>
              <w:rFonts w:ascii="仿宋" w:hAnsi="仿宋" w:eastAsia="仿宋"/>
              <w:sz w:val="28"/>
              <w:szCs w:val="28"/>
            </w:rPr>
            <w:tab/>
          </w:r>
          <w:r>
            <w:rPr>
              <w:rFonts w:ascii="仿宋" w:hAnsi="仿宋" w:eastAsia="仿宋"/>
              <w:sz w:val="28"/>
              <w:szCs w:val="28"/>
            </w:rPr>
            <w:t>6</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"_Toc15396604" \h </w:instrText>
          </w:r>
          <w:r>
            <w:fldChar w:fldCharType="separate"/>
          </w:r>
          <w:r>
            <w:rPr>
              <w:rFonts w:ascii="仿宋" w:hAnsi="仿宋" w:eastAsia="仿宋" w:cstheme="majorBidi"/>
              <w:bCs/>
              <w:sz w:val="28"/>
              <w:szCs w:val="28"/>
            </w:rPr>
            <w:t>二、</w:t>
          </w:r>
          <w:r>
            <w:rPr>
              <w:rFonts w:ascii="仿宋" w:hAnsi="仿宋" w:eastAsia="仿宋"/>
              <w:sz w:val="28"/>
              <w:szCs w:val="28"/>
            </w:rPr>
            <w:t>收</w:t>
          </w:r>
          <w:r>
            <w:rPr>
              <w:rFonts w:ascii="仿宋" w:hAnsi="仿宋" w:eastAsia="仿宋" w:cstheme="majorBidi"/>
              <w:bCs/>
              <w:sz w:val="28"/>
              <w:szCs w:val="28"/>
            </w:rPr>
            <w:t>入决算情况说明</w:t>
          </w:r>
          <w:r>
            <w:fldChar w:fldCharType="begin"/>
          </w:r>
          <w:r>
            <w:instrText xml:space="preserve">PAGEREF _Toc15396604 \h</w:instrText>
          </w:r>
          <w:r>
            <w:fldChar w:fldCharType="separate"/>
          </w:r>
          <w:r>
            <w:rPr>
              <w:rFonts w:ascii="仿宋" w:hAnsi="仿宋" w:eastAsia="仿宋"/>
              <w:sz w:val="28"/>
              <w:szCs w:val="28"/>
            </w:rPr>
            <w:tab/>
          </w:r>
          <w:r>
            <w:rPr>
              <w:rFonts w:ascii="仿宋" w:hAnsi="仿宋" w:eastAsia="仿宋"/>
              <w:sz w:val="28"/>
              <w:szCs w:val="28"/>
            </w:rPr>
            <w:t>7</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"_Toc15396605" \h </w:instrText>
          </w:r>
          <w:r>
            <w:fldChar w:fldCharType="separate"/>
          </w:r>
          <w:r>
            <w:rPr>
              <w:rFonts w:ascii="仿宋" w:hAnsi="仿宋" w:eastAsia="仿宋" w:cstheme="majorBidi"/>
              <w:bCs/>
              <w:sz w:val="28"/>
              <w:szCs w:val="28"/>
            </w:rPr>
            <w:t>三、</w:t>
          </w:r>
          <w:r>
            <w:rPr>
              <w:rFonts w:ascii="仿宋" w:hAnsi="仿宋" w:eastAsia="仿宋"/>
              <w:sz w:val="28"/>
              <w:szCs w:val="28"/>
            </w:rPr>
            <w:t>支</w:t>
          </w:r>
          <w:r>
            <w:rPr>
              <w:rFonts w:ascii="仿宋" w:hAnsi="仿宋" w:eastAsia="仿宋" w:cstheme="majorBidi"/>
              <w:bCs/>
              <w:sz w:val="28"/>
              <w:szCs w:val="28"/>
            </w:rPr>
            <w:t>出决算情况说明</w:t>
          </w:r>
          <w:r>
            <w:fldChar w:fldCharType="begin"/>
          </w:r>
          <w:r>
            <w:instrText xml:space="preserve">PAGEREF _Toc15396605 \h</w:instrText>
          </w:r>
          <w:r>
            <w:fldChar w:fldCharType="separate"/>
          </w:r>
          <w:r>
            <w:rPr>
              <w:rFonts w:ascii="仿宋" w:hAnsi="仿宋" w:eastAsia="仿宋"/>
              <w:sz w:val="28"/>
              <w:szCs w:val="28"/>
            </w:rPr>
            <w:tab/>
          </w:r>
          <w:r>
            <w:rPr>
              <w:rFonts w:ascii="仿宋" w:hAnsi="仿宋" w:eastAsia="仿宋"/>
              <w:sz w:val="28"/>
              <w:szCs w:val="28"/>
            </w:rPr>
            <w:t>7</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"_Toc15396606" \h </w:instrText>
          </w:r>
          <w:r>
            <w:fldChar w:fldCharType="separate"/>
          </w:r>
          <w:r>
            <w:rPr>
              <w:rFonts w:ascii="仿宋" w:hAnsi="仿宋" w:eastAsia="仿宋"/>
              <w:sz w:val="28"/>
              <w:szCs w:val="28"/>
            </w:rPr>
            <w:t>四、财</w:t>
          </w:r>
          <w:r>
            <w:rPr>
              <w:rFonts w:ascii="仿宋" w:hAnsi="仿宋" w:eastAsia="仿宋" w:cstheme="majorBidi"/>
              <w:bCs/>
              <w:sz w:val="28"/>
              <w:szCs w:val="28"/>
            </w:rPr>
            <w:t>政拨款收入支出决算总体情况说明</w:t>
          </w:r>
          <w:r>
            <w:fldChar w:fldCharType="begin"/>
          </w:r>
          <w:r>
            <w:instrText xml:space="preserve">PAGEREF _Toc15396606 \h</w:instrText>
          </w:r>
          <w:r>
            <w:fldChar w:fldCharType="separate"/>
          </w:r>
          <w:r>
            <w:rPr>
              <w:rFonts w:ascii="仿宋" w:hAnsi="仿宋" w:eastAsia="仿宋"/>
              <w:sz w:val="28"/>
              <w:szCs w:val="28"/>
            </w:rPr>
            <w:tab/>
          </w:r>
          <w:r>
            <w:rPr>
              <w:rFonts w:ascii="仿宋" w:hAnsi="仿宋" w:eastAsia="仿宋"/>
              <w:sz w:val="28"/>
              <w:szCs w:val="28"/>
            </w:rPr>
            <w:t>7</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"_Toc15396607" \h </w:instrText>
          </w:r>
          <w:r>
            <w:fldChar w:fldCharType="separate"/>
          </w:r>
          <w:r>
            <w:rPr>
              <w:rFonts w:ascii="仿宋" w:hAnsi="仿宋" w:eastAsia="仿宋"/>
              <w:sz w:val="28"/>
              <w:szCs w:val="28"/>
            </w:rPr>
            <w:t>五、一</w:t>
          </w:r>
          <w:r>
            <w:rPr>
              <w:rFonts w:ascii="仿宋" w:hAnsi="仿宋" w:eastAsia="仿宋" w:cstheme="majorBidi"/>
              <w:bCs/>
              <w:sz w:val="28"/>
              <w:szCs w:val="28"/>
            </w:rPr>
            <w:t>般公共预算财政拨款支出决算情况说明</w:t>
          </w:r>
          <w:r>
            <w:fldChar w:fldCharType="begin"/>
          </w:r>
          <w:r>
            <w:instrText xml:space="preserve">PAGEREF _Toc15396607 \h</w:instrText>
          </w:r>
          <w:r>
            <w:fldChar w:fldCharType="separate"/>
          </w:r>
          <w:r>
            <w:rPr>
              <w:rFonts w:ascii="仿宋" w:hAnsi="仿宋" w:eastAsia="仿宋"/>
              <w:sz w:val="28"/>
              <w:szCs w:val="28"/>
            </w:rPr>
            <w:tab/>
          </w:r>
          <w:r>
            <w:rPr>
              <w:rFonts w:ascii="仿宋" w:hAnsi="仿宋" w:eastAsia="仿宋"/>
              <w:sz w:val="28"/>
              <w:szCs w:val="28"/>
            </w:rPr>
            <w:t>7</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"_Toc15396608" \h </w:instrText>
          </w:r>
          <w:r>
            <w:fldChar w:fldCharType="separate"/>
          </w:r>
          <w:r>
            <w:rPr>
              <w:rFonts w:ascii="仿宋" w:hAnsi="仿宋" w:eastAsia="仿宋"/>
              <w:sz w:val="28"/>
              <w:szCs w:val="28"/>
            </w:rPr>
            <w:t>六、一</w:t>
          </w:r>
          <w:r>
            <w:rPr>
              <w:rFonts w:ascii="仿宋" w:hAnsi="仿宋" w:eastAsia="仿宋" w:cstheme="majorBidi"/>
              <w:bCs/>
              <w:sz w:val="28"/>
              <w:szCs w:val="28"/>
            </w:rPr>
            <w:t>般公共预算财政拨款基本支出决算情况说明</w:t>
          </w:r>
          <w:r>
            <w:fldChar w:fldCharType="begin"/>
          </w:r>
          <w:r>
            <w:instrText xml:space="preserve">PAGEREF _Toc15396608 \h</w:instrText>
          </w:r>
          <w:r>
            <w:fldChar w:fldCharType="separate"/>
          </w:r>
          <w:r>
            <w:rPr>
              <w:rFonts w:ascii="仿宋" w:hAnsi="仿宋" w:eastAsia="仿宋"/>
              <w:sz w:val="28"/>
              <w:szCs w:val="28"/>
            </w:rPr>
            <w:tab/>
          </w:r>
          <w:r>
            <w:rPr>
              <w:rFonts w:ascii="仿宋" w:hAnsi="仿宋" w:eastAsia="仿宋"/>
              <w:sz w:val="28"/>
              <w:szCs w:val="28"/>
            </w:rPr>
            <w:t>11</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"_Toc15396609" \h </w:instrText>
          </w:r>
          <w:r>
            <w:fldChar w:fldCharType="separate"/>
          </w:r>
          <w:r>
            <w:rPr>
              <w:rFonts w:ascii="仿宋" w:hAnsi="仿宋" w:eastAsia="仿宋"/>
              <w:sz w:val="28"/>
              <w:szCs w:val="28"/>
            </w:rPr>
            <w:t>七、“</w:t>
          </w:r>
          <w:r>
            <w:rPr>
              <w:rFonts w:ascii="仿宋" w:hAnsi="仿宋" w:eastAsia="仿宋" w:cstheme="majorBidi"/>
              <w:bCs/>
              <w:sz w:val="28"/>
              <w:szCs w:val="28"/>
            </w:rPr>
            <w:t>三公”经费财政拨款支出决算情况说明</w:t>
          </w:r>
          <w:r>
            <w:fldChar w:fldCharType="begin"/>
          </w:r>
          <w:r>
            <w:instrText xml:space="preserve">PAGEREF _Toc15396609 \h</w:instrText>
          </w:r>
          <w:r>
            <w:fldChar w:fldCharType="separate"/>
          </w:r>
          <w:r>
            <w:rPr>
              <w:rFonts w:ascii="仿宋" w:hAnsi="仿宋" w:eastAsia="仿宋"/>
              <w:sz w:val="28"/>
              <w:szCs w:val="28"/>
            </w:rPr>
            <w:tab/>
          </w:r>
          <w:r>
            <w:rPr>
              <w:rFonts w:ascii="仿宋" w:hAnsi="仿宋" w:eastAsia="仿宋"/>
              <w:sz w:val="28"/>
              <w:szCs w:val="28"/>
            </w:rPr>
            <w:t>12</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"_Toc15396610" \h </w:instrText>
          </w:r>
          <w:r>
            <w:fldChar w:fldCharType="separate"/>
          </w:r>
          <w:r>
            <w:rPr>
              <w:rFonts w:ascii="仿宋" w:hAnsi="仿宋" w:eastAsia="仿宋"/>
              <w:sz w:val="28"/>
              <w:szCs w:val="28"/>
            </w:rPr>
            <w:t>八、</w:t>
          </w:r>
          <w:r>
            <w:rPr>
              <w:rFonts w:ascii="仿宋" w:hAnsi="仿宋" w:eastAsia="仿宋" w:cstheme="majorBidi"/>
              <w:bCs/>
              <w:sz w:val="28"/>
              <w:szCs w:val="28"/>
            </w:rPr>
            <w:t>政府性基金预算支出决算情况说明</w:t>
          </w:r>
          <w:r>
            <w:fldChar w:fldCharType="begin"/>
          </w:r>
          <w:r>
            <w:instrText xml:space="preserve">PAGEREF _Toc15396610 \h</w:instrText>
          </w:r>
          <w:r>
            <w:fldChar w:fldCharType="separate"/>
          </w:r>
          <w:r>
            <w:rPr>
              <w:rFonts w:ascii="仿宋" w:hAnsi="仿宋" w:eastAsia="仿宋"/>
              <w:sz w:val="28"/>
              <w:szCs w:val="28"/>
            </w:rPr>
            <w:tab/>
          </w:r>
          <w:r>
            <w:rPr>
              <w:rFonts w:ascii="仿宋" w:hAnsi="仿宋" w:eastAsia="仿宋"/>
              <w:sz w:val="28"/>
              <w:szCs w:val="28"/>
            </w:rPr>
            <w:t>13</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"_Toc15396611" \h </w:instrText>
          </w:r>
          <w:r>
            <w:fldChar w:fldCharType="separate"/>
          </w:r>
          <w:r>
            <w:rPr>
              <w:rFonts w:ascii="仿宋" w:hAnsi="仿宋" w:eastAsia="仿宋" w:cstheme="majorBidi"/>
              <w:bCs/>
              <w:sz w:val="28"/>
              <w:szCs w:val="28"/>
            </w:rPr>
            <w:t>九、</w:t>
          </w:r>
          <w:r>
            <w:rPr>
              <w:rFonts w:ascii="仿宋" w:hAnsi="仿宋" w:eastAsia="仿宋"/>
              <w:sz w:val="28"/>
              <w:szCs w:val="28"/>
            </w:rPr>
            <w:t xml:space="preserve"> 国</w:t>
          </w:r>
          <w:r>
            <w:rPr>
              <w:rFonts w:ascii="仿宋" w:hAnsi="仿宋" w:eastAsia="仿宋" w:cstheme="majorBidi"/>
              <w:bCs/>
              <w:sz w:val="28"/>
              <w:szCs w:val="28"/>
            </w:rPr>
            <w:t>有资本经营预算支出决算情况说明</w:t>
          </w:r>
          <w:r>
            <w:fldChar w:fldCharType="begin"/>
          </w:r>
          <w:r>
            <w:instrText xml:space="preserve">PAGEREF _Toc15396611 \h</w:instrText>
          </w:r>
          <w:r>
            <w:fldChar w:fldCharType="separate"/>
          </w:r>
          <w:r>
            <w:rPr>
              <w:rFonts w:ascii="仿宋" w:hAnsi="仿宋" w:eastAsia="仿宋"/>
              <w:sz w:val="28"/>
              <w:szCs w:val="28"/>
            </w:rPr>
            <w:tab/>
          </w:r>
          <w:r>
            <w:rPr>
              <w:rFonts w:ascii="仿宋" w:hAnsi="仿宋" w:eastAsia="仿宋"/>
              <w:sz w:val="28"/>
              <w:szCs w:val="28"/>
            </w:rPr>
            <w:t>13</w:t>
          </w:r>
          <w:r>
            <w:fldChar w:fldCharType="end"/>
          </w:r>
          <w:r>
            <w:fldChar w:fldCharType="end"/>
          </w:r>
        </w:p>
        <w:p>
          <w:pPr>
            <w:pStyle w:val="19"/>
            <w:ind w:left="400" w:leftChars="200"/>
          </w:pPr>
          <w:r>
            <w:fldChar w:fldCharType="begin"/>
          </w:r>
          <w:r>
            <w:instrText xml:space="preserve"> HYPERLINK \l "_Toc15396611" \h </w:instrText>
          </w:r>
          <w:r>
            <w:fldChar w:fldCharType="separate"/>
          </w:r>
          <w:r>
            <w:rPr>
              <w:rFonts w:ascii="仿宋" w:hAnsi="仿宋" w:eastAsia="仿宋" w:cstheme="majorBidi"/>
              <w:bCs/>
              <w:sz w:val="28"/>
              <w:szCs w:val="28"/>
            </w:rPr>
            <w:t>十、</w:t>
          </w:r>
          <w:r>
            <w:rPr>
              <w:rFonts w:ascii="仿宋" w:hAnsi="仿宋" w:eastAsia="仿宋"/>
              <w:sz w:val="28"/>
              <w:szCs w:val="28"/>
            </w:rPr>
            <w:t>预算绩效</w:t>
          </w:r>
          <w:r>
            <w:rPr>
              <w:rFonts w:ascii="仿宋" w:hAnsi="仿宋" w:eastAsia="仿宋" w:cstheme="majorBidi"/>
              <w:bCs/>
              <w:sz w:val="28"/>
              <w:szCs w:val="28"/>
            </w:rPr>
            <w:t>情况说明</w:t>
          </w:r>
          <w:r>
            <w:fldChar w:fldCharType="begin"/>
          </w:r>
          <w:r>
            <w:instrText xml:space="preserve">PAGEREF _Toc15396611 \h</w:instrText>
          </w:r>
          <w:r>
            <w:fldChar w:fldCharType="separate"/>
          </w:r>
          <w:r>
            <w:rPr>
              <w:rFonts w:ascii="仿宋" w:hAnsi="仿宋" w:eastAsia="仿宋"/>
              <w:sz w:val="28"/>
              <w:szCs w:val="28"/>
            </w:rPr>
            <w:tab/>
          </w:r>
          <w:r>
            <w:rPr>
              <w:rFonts w:ascii="仿宋" w:hAnsi="仿宋" w:eastAsia="仿宋"/>
              <w:sz w:val="28"/>
              <w:szCs w:val="28"/>
            </w:rPr>
            <w:t>13</w:t>
          </w:r>
          <w:r>
            <w:fldChar w:fldCharType="end"/>
          </w:r>
          <w:r>
            <w:fldChar w:fldCharType="end"/>
          </w:r>
        </w:p>
        <w:p>
          <w:pPr>
            <w:pStyle w:val="19"/>
            <w:ind w:left="400" w:leftChars="200"/>
            <w:rPr>
              <w:rFonts w:ascii="仿宋" w:hAnsi="仿宋" w:eastAsia="仿宋" w:cstheme="minorBidi"/>
              <w:sz w:val="28"/>
              <w:szCs w:val="28"/>
            </w:rPr>
          </w:pPr>
          <w:r>
            <w:fldChar w:fldCharType="begin"/>
          </w:r>
          <w:r>
            <w:instrText xml:space="preserve"> HYPERLINK \l "_Toc15396612" \h </w:instrText>
          </w:r>
          <w:r>
            <w:fldChar w:fldCharType="separate"/>
          </w:r>
          <w:r>
            <w:rPr>
              <w:rFonts w:ascii="仿宋" w:hAnsi="仿宋" w:eastAsia="仿宋"/>
              <w:sz w:val="28"/>
              <w:szCs w:val="28"/>
            </w:rPr>
            <w:t>十</w:t>
          </w:r>
          <w:r>
            <w:rPr>
              <w:rFonts w:ascii="仿宋" w:hAnsi="仿宋" w:eastAsia="仿宋" w:cstheme="majorBidi"/>
              <w:bCs/>
              <w:sz w:val="28"/>
              <w:szCs w:val="28"/>
            </w:rPr>
            <w:t>一、其他重要事项的情况说明</w:t>
          </w:r>
          <w:r>
            <w:fldChar w:fldCharType="begin"/>
          </w:r>
          <w:r>
            <w:instrText xml:space="preserve">PAGEREF _Toc15396612 \h</w:instrText>
          </w:r>
          <w:r>
            <w:fldChar w:fldCharType="separate"/>
          </w:r>
          <w:r>
            <w:rPr>
              <w:rFonts w:ascii="仿宋" w:hAnsi="仿宋" w:eastAsia="仿宋"/>
              <w:sz w:val="28"/>
              <w:szCs w:val="28"/>
            </w:rPr>
            <w:tab/>
          </w:r>
          <w:r>
            <w:rPr>
              <w:rFonts w:ascii="仿宋" w:hAnsi="仿宋" w:eastAsia="仿宋"/>
              <w:sz w:val="28"/>
              <w:szCs w:val="28"/>
            </w:rPr>
            <w:t>22</w:t>
          </w:r>
          <w:r>
            <w:fldChar w:fldCharType="end"/>
          </w:r>
          <w:r>
            <w:fldChar w:fldCharType="end"/>
          </w:r>
        </w:p>
        <w:p>
          <w:pPr>
            <w:pStyle w:val="18"/>
            <w:rPr>
              <w:rFonts w:cstheme="minorBidi"/>
            </w:rPr>
          </w:pPr>
          <w:r>
            <w:fldChar w:fldCharType="begin"/>
          </w:r>
          <w:r>
            <w:instrText xml:space="preserve"> HYPERLINK \l "_Toc15396613" \h </w:instrText>
          </w:r>
          <w:r>
            <w:fldChar w:fldCharType="separate"/>
          </w:r>
          <w:r>
            <w:rPr>
              <w:bCs/>
              <w:kern w:val="2"/>
            </w:rPr>
            <w:t>第三部分</w:t>
          </w:r>
          <w:r>
            <w:t xml:space="preserve"> 名</w:t>
          </w:r>
          <w:r>
            <w:rPr>
              <w:bCs/>
              <w:kern w:val="2"/>
            </w:rPr>
            <w:t>词解释</w:t>
          </w:r>
          <w:r>
            <w:tab/>
          </w:r>
          <w:r>
            <w:t>2</w:t>
          </w:r>
          <w:r>
            <w:fldChar w:fldCharType="end"/>
          </w:r>
          <w:r>
            <w:t>3</w:t>
          </w:r>
        </w:p>
        <w:p>
          <w:pPr>
            <w:pStyle w:val="18"/>
            <w:rPr>
              <w:rFonts w:cstheme="minorBidi"/>
            </w:rPr>
          </w:pPr>
          <w:r>
            <w:fldChar w:fldCharType="begin"/>
          </w:r>
          <w:r>
            <w:instrText xml:space="preserve"> HYPERLINK \l "_Toc15396614" \h </w:instrText>
          </w:r>
          <w:r>
            <w:fldChar w:fldCharType="separate"/>
          </w:r>
          <w:r>
            <w:t>第</w:t>
          </w:r>
          <w:r>
            <w:rPr>
              <w:bCs/>
              <w:kern w:val="2"/>
            </w:rPr>
            <w:t>四部分附件</w:t>
          </w:r>
          <w:r>
            <w:tab/>
          </w:r>
          <w:r>
            <w:fldChar w:fldCharType="end"/>
          </w:r>
          <w:r>
            <w:t>28</w:t>
          </w:r>
        </w:p>
        <w:p>
          <w:pPr>
            <w:pStyle w:val="19"/>
            <w:ind w:left="400" w:leftChars="200"/>
            <w:rPr>
              <w:rFonts w:ascii="仿宋" w:hAnsi="仿宋" w:eastAsia="仿宋" w:cstheme="minorBidi"/>
              <w:sz w:val="28"/>
              <w:szCs w:val="28"/>
            </w:rPr>
          </w:pPr>
          <w:r>
            <w:fldChar w:fldCharType="begin"/>
          </w:r>
          <w:r>
            <w:instrText xml:space="preserve"> HYPERLINK \l "_Toc15396615" \h </w:instrText>
          </w:r>
          <w:r>
            <w:fldChar w:fldCharType="separate"/>
          </w:r>
          <w:r>
            <w:rPr>
              <w:rFonts w:ascii="仿宋" w:hAnsi="仿宋" w:eastAsia="仿宋"/>
              <w:kern w:val="2"/>
              <w:sz w:val="28"/>
              <w:szCs w:val="28"/>
            </w:rPr>
            <w:t>附件1</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28</w:t>
          </w:r>
        </w:p>
        <w:p>
          <w:pPr>
            <w:pStyle w:val="19"/>
            <w:ind w:left="400" w:leftChars="200"/>
            <w:rPr>
              <w:rFonts w:ascii="仿宋" w:hAnsi="仿宋" w:eastAsia="仿宋" w:cstheme="minorBidi"/>
              <w:sz w:val="28"/>
              <w:szCs w:val="28"/>
            </w:rPr>
          </w:pPr>
          <w:r>
            <w:fldChar w:fldCharType="begin"/>
          </w:r>
          <w:r>
            <w:instrText xml:space="preserve"> HYPERLINK \l "_Toc15396617" \h </w:instrText>
          </w:r>
          <w:r>
            <w:fldChar w:fldCharType="separate"/>
          </w:r>
          <w:r>
            <w:rPr>
              <w:rFonts w:ascii="仿宋" w:hAnsi="仿宋" w:eastAsia="仿宋"/>
              <w:kern w:val="2"/>
              <w:sz w:val="28"/>
              <w:szCs w:val="28"/>
            </w:rPr>
            <w:t>附件2</w:t>
          </w:r>
          <w:r>
            <w:fldChar w:fldCharType="begin"/>
          </w:r>
          <w:r>
            <w:instrText xml:space="preserve">PAGEREF _Toc15396617 \h</w:instrText>
          </w:r>
          <w:r>
            <w:fldChar w:fldCharType="separate"/>
          </w:r>
          <w:r>
            <w:rPr>
              <w:rFonts w:ascii="仿宋" w:hAnsi="仿宋" w:eastAsia="仿宋"/>
              <w:sz w:val="28"/>
              <w:szCs w:val="28"/>
            </w:rPr>
            <w:tab/>
          </w:r>
          <w:r>
            <w:rPr>
              <w:rFonts w:ascii="仿宋" w:hAnsi="仿宋" w:eastAsia="仿宋"/>
              <w:sz w:val="28"/>
              <w:szCs w:val="28"/>
            </w:rPr>
            <w:t>32</w:t>
          </w:r>
          <w:r>
            <w:fldChar w:fldCharType="end"/>
          </w:r>
          <w:r>
            <w:fldChar w:fldCharType="end"/>
          </w:r>
        </w:p>
        <w:p>
          <w:pPr>
            <w:pStyle w:val="18"/>
            <w:rPr>
              <w:rFonts w:cstheme="minorBidi"/>
            </w:rPr>
          </w:pPr>
          <w:r>
            <w:fldChar w:fldCharType="begin"/>
          </w:r>
          <w:r>
            <w:instrText xml:space="preserve"> HYPERLINK \l "_Toc15396618" \h </w:instrText>
          </w:r>
          <w:r>
            <w:fldChar w:fldCharType="separate"/>
          </w:r>
          <w:r>
            <w:t>第</w:t>
          </w:r>
          <w:r>
            <w:rPr>
              <w:bCs/>
              <w:kern w:val="2"/>
            </w:rPr>
            <w:t>五部分附表</w:t>
          </w:r>
          <w:r>
            <w:tab/>
          </w:r>
          <w:r>
            <w:t>3</w:t>
          </w:r>
          <w:r>
            <w:fldChar w:fldCharType="end"/>
          </w:r>
          <w:r>
            <w:t>5</w:t>
          </w:r>
        </w:p>
        <w:p>
          <w:pPr>
            <w:pStyle w:val="19"/>
            <w:ind w:left="400" w:leftChars="200"/>
            <w:rPr>
              <w:rFonts w:ascii="仿宋" w:hAnsi="仿宋" w:eastAsia="仿宋"/>
              <w:sz w:val="28"/>
              <w:szCs w:val="28"/>
            </w:rPr>
          </w:pPr>
          <w:r>
            <w:rPr>
              <w:rFonts w:ascii="仿宋" w:hAnsi="仿宋" w:eastAsia="仿宋"/>
              <w:sz w:val="28"/>
              <w:szCs w:val="28"/>
            </w:rPr>
            <w:t>一、</w:t>
          </w:r>
          <w:r>
            <w:fldChar w:fldCharType="begin"/>
          </w:r>
          <w:r>
            <w:instrText xml:space="preserve"> HYPERLINK \l "_Toc15396619" \h </w:instrText>
          </w:r>
          <w:r>
            <w:fldChar w:fldCharType="separate"/>
          </w:r>
          <w:r>
            <w:rPr>
              <w:rFonts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cstheme="minorBidi"/>
              <w:sz w:val="28"/>
              <w:szCs w:val="28"/>
            </w:rPr>
          </w:pPr>
          <w:r>
            <w:rPr>
              <w:rFonts w:ascii="仿宋" w:hAnsi="仿宋" w:eastAsia="仿宋"/>
              <w:sz w:val="28"/>
              <w:szCs w:val="28"/>
            </w:rPr>
            <w:t>二、</w:t>
          </w:r>
          <w:r>
            <w:fldChar w:fldCharType="begin"/>
          </w:r>
          <w:r>
            <w:instrText xml:space="preserve"> HYPERLINK \l "_Toc15396620" \h </w:instrText>
          </w:r>
          <w:r>
            <w:fldChar w:fldCharType="separate"/>
          </w:r>
          <w:r>
            <w:rPr>
              <w:rFonts w:ascii="仿宋" w:hAnsi="仿宋" w:eastAsia="仿宋"/>
              <w:sz w:val="28"/>
              <w:szCs w:val="28"/>
            </w:rPr>
            <w:t>收入总表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sz w:val="28"/>
              <w:szCs w:val="28"/>
            </w:rPr>
          </w:pPr>
          <w:r>
            <w:rPr>
              <w:rFonts w:ascii="仿宋" w:hAnsi="仿宋" w:eastAsia="仿宋"/>
              <w:sz w:val="28"/>
              <w:szCs w:val="28"/>
            </w:rPr>
            <w:t>三、</w:t>
          </w:r>
          <w:r>
            <w:fldChar w:fldCharType="begin"/>
          </w:r>
          <w:r>
            <w:instrText xml:space="preserve"> HYPERLINK \l "_Toc15396621" \h </w:instrText>
          </w:r>
          <w:r>
            <w:fldChar w:fldCharType="separate"/>
          </w:r>
          <w:r>
            <w:rPr>
              <w:rFonts w:ascii="仿宋" w:hAnsi="仿宋" w:eastAsia="仿宋"/>
              <w:sz w:val="28"/>
              <w:szCs w:val="28"/>
            </w:rPr>
            <w:t>支出总表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sz w:val="28"/>
              <w:szCs w:val="28"/>
            </w:rPr>
          </w:pPr>
          <w:r>
            <w:rPr>
              <w:rFonts w:ascii="仿宋" w:hAnsi="仿宋" w:eastAsia="仿宋"/>
              <w:sz w:val="28"/>
              <w:szCs w:val="28"/>
            </w:rPr>
            <w:t>四、</w:t>
          </w:r>
          <w:r>
            <w:fldChar w:fldCharType="begin"/>
          </w:r>
          <w:r>
            <w:instrText xml:space="preserve"> HYPERLINK \l "_Toc15396622" \h </w:instrText>
          </w:r>
          <w:r>
            <w:fldChar w:fldCharType="separate"/>
          </w:r>
          <w:r>
            <w:rPr>
              <w:rFonts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sz w:val="28"/>
              <w:szCs w:val="28"/>
            </w:rPr>
          </w:pPr>
          <w:r>
            <w:rPr>
              <w:rFonts w:ascii="仿宋" w:hAnsi="仿宋" w:eastAsia="仿宋"/>
              <w:sz w:val="28"/>
              <w:szCs w:val="28"/>
            </w:rPr>
            <w:t>五、</w:t>
          </w:r>
          <w:r>
            <w:fldChar w:fldCharType="begin"/>
          </w:r>
          <w:r>
            <w:instrText xml:space="preserve"> HYPERLINK \l "_Toc15396623" \h </w:instrText>
          </w:r>
          <w:r>
            <w:fldChar w:fldCharType="separate"/>
          </w:r>
          <w:r>
            <w:rPr>
              <w:rFonts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19"/>
            <w:ind w:left="400" w:leftChars="200"/>
            <w:rPr>
              <w:rFonts w:ascii="仿宋" w:hAnsi="仿宋" w:eastAsia="仿宋"/>
              <w:sz w:val="28"/>
              <w:szCs w:val="28"/>
            </w:rPr>
          </w:pPr>
          <w:r>
            <w:rPr>
              <w:rFonts w:ascii="仿宋" w:hAnsi="仿宋" w:eastAsia="仿宋"/>
              <w:sz w:val="28"/>
              <w:szCs w:val="28"/>
            </w:rPr>
            <w:t>六、</w:t>
          </w:r>
          <w:r>
            <w:fldChar w:fldCharType="begin"/>
          </w:r>
          <w:r>
            <w:instrText xml:space="preserve"> HYPERLINK \l "_Toc15396624" \h </w:instrText>
          </w:r>
          <w:r>
            <w:fldChar w:fldCharType="separate"/>
          </w:r>
          <w:r>
            <w:rPr>
              <w:rFonts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sz w:val="28"/>
              <w:szCs w:val="28"/>
            </w:rPr>
          </w:pPr>
          <w:r>
            <w:rPr>
              <w:rFonts w:ascii="仿宋" w:hAnsi="仿宋" w:eastAsia="仿宋"/>
              <w:sz w:val="28"/>
              <w:szCs w:val="28"/>
            </w:rPr>
            <w:t>七、</w:t>
          </w:r>
          <w:r>
            <w:fldChar w:fldCharType="begin"/>
          </w:r>
          <w:r>
            <w:instrText xml:space="preserve"> HYPERLINK \l "_Toc15396625" \h </w:instrText>
          </w:r>
          <w:r>
            <w:fldChar w:fldCharType="separate"/>
          </w:r>
          <w:r>
            <w:rPr>
              <w:rFonts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cstheme="minorBidi"/>
              <w:sz w:val="28"/>
              <w:szCs w:val="28"/>
            </w:rPr>
          </w:pPr>
          <w:r>
            <w:rPr>
              <w:rFonts w:ascii="仿宋" w:hAnsi="仿宋" w:eastAsia="仿宋"/>
              <w:sz w:val="28"/>
              <w:szCs w:val="28"/>
            </w:rPr>
            <w:t>八、</w:t>
          </w:r>
          <w:r>
            <w:fldChar w:fldCharType="begin"/>
          </w:r>
          <w:r>
            <w:instrText xml:space="preserve"> HYPERLINK \l "_Toc15396626" \h </w:instrText>
          </w:r>
          <w:r>
            <w:fldChar w:fldCharType="separate"/>
          </w:r>
          <w:r>
            <w:rPr>
              <w:rFonts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19"/>
            <w:ind w:left="400" w:leftChars="200"/>
            <w:rPr>
              <w:rFonts w:ascii="仿宋" w:hAnsi="仿宋" w:eastAsia="仿宋" w:cstheme="minorBidi"/>
              <w:sz w:val="28"/>
              <w:szCs w:val="28"/>
            </w:rPr>
          </w:pPr>
          <w:r>
            <w:rPr>
              <w:rFonts w:ascii="仿宋" w:hAnsi="仿宋" w:eastAsia="仿宋"/>
              <w:sz w:val="28"/>
              <w:szCs w:val="28"/>
            </w:rPr>
            <w:t>九、</w:t>
          </w:r>
          <w:r>
            <w:fldChar w:fldCharType="begin"/>
          </w:r>
          <w:r>
            <w:instrText xml:space="preserve"> HYPERLINK \l "_Toc15396627" \h </w:instrText>
          </w:r>
          <w:r>
            <w:fldChar w:fldCharType="separate"/>
          </w:r>
          <w:r>
            <w:rPr>
              <w:rFonts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19"/>
            <w:ind w:left="400" w:leftChars="200"/>
            <w:rPr>
              <w:rFonts w:ascii="仿宋" w:hAnsi="仿宋" w:eastAsia="仿宋" w:cstheme="minorBidi"/>
              <w:sz w:val="28"/>
              <w:szCs w:val="28"/>
            </w:rPr>
          </w:pPr>
          <w:r>
            <w:rPr>
              <w:rFonts w:ascii="仿宋" w:hAnsi="仿宋" w:eastAsia="仿宋"/>
              <w:sz w:val="28"/>
              <w:szCs w:val="28"/>
            </w:rPr>
            <w:t>十、</w:t>
          </w:r>
          <w:r>
            <w:fldChar w:fldCharType="begin"/>
          </w:r>
          <w:r>
            <w:instrText xml:space="preserve"> HYPERLINK \l "_Toc15396628" \h </w:instrText>
          </w:r>
          <w:r>
            <w:fldChar w:fldCharType="separate"/>
          </w:r>
          <w:r>
            <w:rPr>
              <w:rFonts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19"/>
            <w:ind w:left="400" w:leftChars="200"/>
            <w:rPr>
              <w:rFonts w:ascii="仿宋" w:hAnsi="仿宋" w:eastAsia="仿宋"/>
              <w:sz w:val="28"/>
              <w:szCs w:val="28"/>
            </w:rPr>
          </w:pPr>
          <w:r>
            <w:rPr>
              <w:rFonts w:ascii="仿宋" w:hAnsi="仿宋" w:eastAsia="仿宋"/>
              <w:sz w:val="28"/>
              <w:szCs w:val="28"/>
            </w:rPr>
            <w:t>十一、</w:t>
          </w:r>
          <w:r>
            <w:fldChar w:fldCharType="begin"/>
          </w:r>
          <w:r>
            <w:instrText xml:space="preserve"> HYPERLINK \l "_Toc15396629" \h </w:instrText>
          </w:r>
          <w:r>
            <w:fldChar w:fldCharType="separate"/>
          </w:r>
          <w:r>
            <w:rPr>
              <w:rFonts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19"/>
            <w:ind w:left="400" w:leftChars="200"/>
            <w:rPr>
              <w:rFonts w:ascii="仿宋" w:hAnsi="仿宋" w:eastAsia="仿宋"/>
              <w:sz w:val="28"/>
              <w:szCs w:val="28"/>
            </w:rPr>
          </w:pPr>
          <w:r>
            <w:rPr>
              <w:rFonts w:ascii="仿宋" w:hAnsi="仿宋" w:eastAsia="仿宋"/>
              <w:sz w:val="28"/>
              <w:szCs w:val="28"/>
            </w:rPr>
            <w:t>十二、</w:t>
          </w:r>
          <w:r>
            <w:fldChar w:fldCharType="begin"/>
          </w:r>
          <w:r>
            <w:instrText xml:space="preserve"> HYPERLINK \l "_Toc15396630" \h </w:instrText>
          </w:r>
          <w:r>
            <w:fldChar w:fldCharType="separate"/>
          </w:r>
          <w:r>
            <w:rPr>
              <w:rFonts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t>5</w:t>
          </w:r>
        </w:p>
        <w:p>
          <w:pPr>
            <w:pStyle w:val="19"/>
            <w:ind w:left="400" w:leftChars="200"/>
            <w:rPr>
              <w:rFonts w:ascii="仿宋" w:hAnsi="仿宋" w:eastAsia="仿宋"/>
              <w:sz w:val="28"/>
              <w:szCs w:val="28"/>
            </w:rPr>
          </w:pPr>
          <w:r>
            <w:rPr>
              <w:rFonts w:ascii="仿宋" w:hAnsi="仿宋" w:eastAsia="仿宋"/>
              <w:sz w:val="28"/>
              <w:szCs w:val="28"/>
            </w:rPr>
            <w:t>十三、</w:t>
          </w:r>
          <w:r>
            <w:fldChar w:fldCharType="begin"/>
          </w:r>
          <w:r>
            <w:instrText xml:space="preserve"> HYPERLINK \l "_Toc15396631" \h </w:instrText>
          </w:r>
          <w:r>
            <w:fldChar w:fldCharType="separate"/>
          </w:r>
          <w:r>
            <w:rPr>
              <w:rFonts w:ascii="仿宋" w:hAnsi="仿宋" w:eastAsia="仿宋"/>
              <w:sz w:val="28"/>
              <w:szCs w:val="28"/>
            </w:rPr>
            <w:t>国有资本经营预算财政拨款收入支出决算表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19"/>
            <w:ind w:left="400" w:leftChars="200"/>
            <w:rPr>
              <w:rFonts w:ascii="仿宋" w:hAnsi="仿宋" w:eastAsia="仿宋"/>
              <w:sz w:val="28"/>
              <w:szCs w:val="28"/>
            </w:rPr>
          </w:pPr>
          <w:r>
            <w:rPr>
              <w:rFonts w:ascii="仿宋" w:hAnsi="仿宋" w:eastAsia="仿宋"/>
              <w:sz w:val="28"/>
              <w:szCs w:val="28"/>
            </w:rPr>
            <w:t>十四、国有资本经营预算财政拨款支出决算表</w:t>
          </w:r>
          <w:r>
            <w:fldChar w:fldCharType="begin"/>
          </w:r>
          <w:r>
            <w:instrText xml:space="preserve"> HYPERLINK \l "_Toc15396631" \h </w:instrText>
          </w:r>
          <w:r>
            <w:fldChar w:fldCharType="separate"/>
          </w:r>
          <w:r>
            <w:rPr>
              <w:rFonts w:ascii="仿宋" w:hAnsi="仿宋" w:eastAsia="仿宋"/>
              <w:sz w:val="28"/>
              <w:szCs w:val="28"/>
            </w:rPr>
            <w:t>支出决算表</w:t>
          </w:r>
          <w:r>
            <w:rPr>
              <w:rFonts w:ascii="仿宋" w:hAnsi="仿宋" w:eastAsia="仿宋"/>
              <w:sz w:val="28"/>
              <w:szCs w:val="28"/>
            </w:rPr>
            <w:tab/>
          </w:r>
          <w:r>
            <w:rPr>
              <w:rFonts w:ascii="仿宋" w:hAnsi="仿宋" w:eastAsia="仿宋"/>
              <w:sz w:val="28"/>
              <w:szCs w:val="28"/>
            </w:rPr>
            <w:fldChar w:fldCharType="end"/>
          </w:r>
          <w:r>
            <w:rPr>
              <w:rFonts w:ascii="仿宋" w:hAnsi="仿宋" w:eastAsia="仿宋"/>
              <w:sz w:val="28"/>
              <w:szCs w:val="28"/>
            </w:rPr>
            <w:t>35</w:t>
          </w:r>
        </w:p>
        <w:p>
          <w:pPr>
            <w:pStyle w:val="4"/>
          </w:pPr>
          <w:r>
            <w:fldChar w:fldCharType="end"/>
          </w:r>
        </w:p>
      </w:sdtContent>
    </w:sdt>
    <w:p>
      <w:pPr>
        <w:pStyle w:val="4"/>
        <w:widowControl/>
        <w:spacing w:line="540" w:lineRule="exact"/>
        <w:jc w:val="center"/>
        <w:rPr>
          <w:rFonts w:ascii="方正小标宋_GBK" w:hAnsi="方正小标宋_GBK" w:eastAsia="方正小标宋_GBK"/>
          <w:b w:val="0"/>
          <w:sz w:val="32"/>
          <w:szCs w:val="32"/>
        </w:rPr>
      </w:pPr>
      <w:r>
        <w:br w:type="page"/>
      </w:r>
      <w:r>
        <w:rPr>
          <w:rFonts w:ascii="方正小标宋_GBK" w:hAnsi="方正小标宋_GBK" w:eastAsia="方正小标宋_GBK"/>
          <w:sz w:val="32"/>
          <w:szCs w:val="32"/>
        </w:rPr>
        <w:t>第一部分　</w:t>
      </w:r>
      <w:r>
        <w:rPr>
          <w:rStyle w:val="9"/>
          <w:rFonts w:ascii="方正小标宋_GBK" w:hAnsi="方正小标宋_GBK" w:eastAsia="方正小标宋_GBK"/>
          <w:b w:val="0"/>
          <w:sz w:val="32"/>
          <w:szCs w:val="32"/>
        </w:rPr>
        <w:t>部门概况</w:t>
      </w:r>
      <w:bookmarkEnd w:id="12"/>
      <w:bookmarkEnd w:id="13"/>
    </w:p>
    <w:p>
      <w:pPr>
        <w:pStyle w:val="14"/>
        <w:spacing w:before="0" w:beforeAutospacing="0" w:after="0" w:afterAutospacing="0" w:line="540" w:lineRule="exact"/>
        <w:ind w:firstLine="640" w:firstLineChars="200"/>
        <w:rPr>
          <w:rStyle w:val="10"/>
          <w:rFonts w:ascii="方正黑体_GBK" w:hAnsi="方正黑体_GBK" w:eastAsia="方正黑体_GBK"/>
          <w:b w:val="0"/>
          <w:bCs w:val="0"/>
          <w:color w:val="000000"/>
        </w:rPr>
      </w:pPr>
      <w:bookmarkStart w:id="14" w:name="_Toc15396600"/>
      <w:bookmarkStart w:id="15" w:name="_Toc15377197"/>
      <w:r>
        <w:rPr>
          <w:rFonts w:ascii="方正黑体_GBK" w:hAnsi="方正黑体_GBK" w:eastAsia="方正黑体_GBK"/>
          <w:b w:val="0"/>
          <w:bCs w:val="0"/>
          <w:color w:val="000000"/>
        </w:rPr>
        <w:t>一、基</w:t>
      </w:r>
      <w:r>
        <w:rPr>
          <w:rStyle w:val="10"/>
          <w:rFonts w:ascii="方正黑体_GBK" w:hAnsi="方正黑体_GBK" w:eastAsia="方正黑体_GBK"/>
          <w:b w:val="0"/>
          <w:bCs w:val="0"/>
          <w:color w:val="000000"/>
        </w:rPr>
        <w:t>本职能及主要工作</w:t>
      </w:r>
      <w:bookmarkEnd w:id="14"/>
      <w:bookmarkEnd w:id="15"/>
    </w:p>
    <w:p>
      <w:pPr>
        <w:pStyle w:val="15"/>
        <w:numPr>
          <w:ilvl w:val="0"/>
          <w:numId w:val="0"/>
        </w:numPr>
        <w:snapToGrid w:val="0"/>
        <w:spacing w:beforeLines="0" w:beforeAutospacing="0" w:afterLines="0" w:afterAutospacing="0" w:line="540" w:lineRule="exact"/>
        <w:ind w:firstLine="640" w:firstLineChars="200"/>
        <w:outlineLvl w:val="2"/>
        <w:rPr>
          <w:rFonts w:ascii="Times New Roman" w:hAnsi="Times New Roman" w:eastAsia="方正仿宋_GBK"/>
          <w:bCs/>
          <w:color w:val="000000"/>
          <w:sz w:val="32"/>
          <w:szCs w:val="32"/>
        </w:rPr>
      </w:pPr>
      <w:bookmarkStart w:id="16" w:name="_Toc15377198"/>
      <w:bookmarkStart w:id="17" w:name="_Toc15378445"/>
      <w:r>
        <w:rPr>
          <w:rFonts w:ascii="Times New Roman" w:hAnsi="Times New Roman" w:eastAsia="方正仿宋_GBK"/>
          <w:bCs/>
          <w:color w:val="000000"/>
          <w:sz w:val="32"/>
          <w:szCs w:val="32"/>
        </w:rPr>
        <w:t>（一）主要职能。</w:t>
      </w:r>
      <w:bookmarkEnd w:id="16"/>
      <w:bookmarkEnd w:id="17"/>
    </w:p>
    <w:p>
      <w:pPr>
        <w:pStyle w:val="15"/>
        <w:numPr>
          <w:ilvl w:val="0"/>
          <w:numId w:val="0"/>
        </w:numPr>
        <w:snapToGrid w:val="0"/>
        <w:spacing w:beforeLines="0" w:beforeAutospacing="0" w:afterLines="0" w:afterAutospacing="0" w:line="540" w:lineRule="exact"/>
        <w:ind w:firstLine="640" w:firstLineChars="200"/>
        <w:outlineLvl w:val="2"/>
        <w:rPr>
          <w:sz w:val="32"/>
          <w:szCs w:val="32"/>
        </w:rPr>
      </w:pPr>
      <w:bookmarkStart w:id="18" w:name="_Toc15378446"/>
      <w:bookmarkStart w:id="19" w:name="_Toc15377199"/>
      <w:r>
        <w:rPr>
          <w:sz w:val="32"/>
          <w:szCs w:val="32"/>
        </w:rPr>
        <w:t>桥湾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桥湾镇经济发展、改善人民生活、保持农村社会稳定、偿还乡镇和村级债务、搞好场镇建设和加快新农村基础设施建设工作。</w:t>
      </w:r>
    </w:p>
    <w:p>
      <w:pPr>
        <w:pStyle w:val="15"/>
        <w:numPr>
          <w:ilvl w:val="0"/>
          <w:numId w:val="0"/>
        </w:numPr>
        <w:snapToGrid w:val="0"/>
        <w:spacing w:beforeLines="0" w:beforeAutospacing="0" w:afterLines="0" w:afterAutospacing="0" w:line="540" w:lineRule="exact"/>
        <w:ind w:firstLine="640" w:firstLineChars="200"/>
        <w:outlineLvl w:val="2"/>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（二）2020年重点工作完成情况。</w:t>
      </w:r>
      <w:bookmarkEnd w:id="18"/>
      <w:bookmarkEnd w:id="19"/>
    </w:p>
    <w:p>
      <w:pPr>
        <w:pStyle w:val="4"/>
        <w:spacing w:line="578" w:lineRule="exact"/>
        <w:ind w:firstLine="640" w:firstLineChars="200"/>
        <w:rPr>
          <w:rFonts w:eastAsia="方正仿宋_GBK"/>
          <w:sz w:val="32"/>
          <w:szCs w:val="32"/>
        </w:rPr>
      </w:pPr>
      <w:r>
        <w:rPr>
          <w:rFonts w:eastAsia="方正仿宋_GBK"/>
          <w:sz w:val="32"/>
          <w:szCs w:val="32"/>
        </w:rPr>
        <w:t xml:space="preserve">一年来，通过干部群众的共同努力，全镇地区生产总值达  </w:t>
      </w:r>
    </w:p>
    <w:p>
      <w:pPr>
        <w:pStyle w:val="4"/>
        <w:spacing w:line="578" w:lineRule="exact"/>
        <w:rPr>
          <w:rFonts w:eastAsia="方正仿宋_GBK"/>
          <w:sz w:val="32"/>
          <w:szCs w:val="32"/>
        </w:rPr>
      </w:pPr>
      <w:r>
        <w:rPr>
          <w:rFonts w:eastAsia="方正仿宋_GBK"/>
          <w:sz w:val="32"/>
          <w:szCs w:val="32"/>
        </w:rPr>
        <w:t>3.95亿元，较去年增长9％；农民人均纯收入实现16894元，较去年增收1251元，全镇经济运行质量和效益逐步提高，人民幸福指数明显提升。</w:t>
      </w:r>
    </w:p>
    <w:p>
      <w:pPr>
        <w:pStyle w:val="4"/>
        <w:numPr>
          <w:ilvl w:val="0"/>
          <w:numId w:val="1"/>
        </w:numPr>
        <w:spacing w:line="578" w:lineRule="exact"/>
        <w:ind w:firstLine="640" w:firstLineChars="200"/>
        <w:rPr>
          <w:rFonts w:eastAsia="方正仿宋_GBK"/>
          <w:sz w:val="32"/>
          <w:szCs w:val="32"/>
        </w:rPr>
      </w:pPr>
      <w:r>
        <w:rPr>
          <w:rFonts w:eastAsia="方正楷体_GBK"/>
          <w:sz w:val="32"/>
          <w:szCs w:val="32"/>
        </w:rPr>
        <w:t>疫情防控取得阶段性胜利。</w:t>
      </w:r>
      <w:r>
        <w:rPr>
          <w:rFonts w:eastAsia="方正仿宋_GBK"/>
          <w:sz w:val="32"/>
          <w:szCs w:val="32"/>
        </w:rPr>
        <w:t>自疫情防控工作开展以来，我镇严格按照省、市、区疫情指挥部有关工作要求，及时成立了工作领导小组，明确职责分工，严格落实责任。一是层层设置关卡。设置镇级检查卡口1个，社区、村检查点44个，建立排查登记台账，做好人员管控；二是努力营造氛围。各村不间断播放市、区自制音频，全镇悬挂宣传横幅标语60余副，场镇及人口较密集的村社发放防控新型肺炎宣传单1000余份，镇政府出动宣传车1台，每天轮流到各村社宣传新型肺炎防控知识</w:t>
      </w:r>
      <w:r>
        <w:rPr>
          <w:rFonts w:eastAsia="仿宋"/>
          <w:sz w:val="32"/>
          <w:szCs w:val="32"/>
        </w:rPr>
        <w:t>；</w:t>
      </w:r>
      <w:r>
        <w:rPr>
          <w:rFonts w:eastAsia="方正仿宋_GBK"/>
          <w:sz w:val="32"/>
          <w:szCs w:val="32"/>
        </w:rPr>
        <w:t>三是全力做好联防联控。认真落实人员出入登记制度，不间断强化走访排查，确保所有外来人员应报尽报，严防输入风险；四是取消聚集性活动。取消镇内所有人员聚集的大型集会活动，关闭娱乐场所，停办婚丧嫁娶家宴，多部门联合持续巡查聚众聚集行为；五是开展消杀工作。每天在辖区各公共场所、人员密集地实行严格消毒；六是科技支撑、科学防控。严格落实“健康证”二维码和APP安装使用措施。在全年疫情防控工作中，共计投入资金10余万元，发放防护口罩两万多个，发放温度计100余支，发放消毒液200公斤</w:t>
      </w:r>
      <w:r>
        <w:rPr>
          <w:rFonts w:eastAsia="方正仿宋_GBK"/>
          <w:color w:val="333333"/>
          <w:sz w:val="24"/>
          <w:shd w:val="clear" w:fill="FFFFFF"/>
        </w:rPr>
        <w:t>，</w:t>
      </w:r>
      <w:r>
        <w:rPr>
          <w:rFonts w:eastAsia="方正仿宋_GBK"/>
          <w:sz w:val="32"/>
          <w:szCs w:val="32"/>
        </w:rPr>
        <w:t>发放喷雾器、水鞋、民用防护服等防护用品500多件，全力服务保障全镇疫情防控工作，疫情防控取得了阶段性胜利。</w:t>
      </w:r>
    </w:p>
    <w:p>
      <w:pPr>
        <w:pStyle w:val="4"/>
        <w:spacing w:line="578" w:lineRule="exact"/>
        <w:ind w:firstLine="640" w:firstLineChars="200"/>
        <w:rPr>
          <w:rFonts w:eastAsia="方正仿宋_GBK"/>
          <w:sz w:val="32"/>
          <w:szCs w:val="32"/>
        </w:rPr>
      </w:pPr>
      <w:r>
        <w:rPr>
          <w:rFonts w:eastAsia="方正楷体_GBK"/>
          <w:sz w:val="32"/>
          <w:szCs w:val="32"/>
        </w:rPr>
        <w:t>（二）产业发展不断壮大。</w:t>
      </w:r>
      <w:r>
        <w:rPr>
          <w:rFonts w:eastAsia="方正仿宋_GBK"/>
          <w:sz w:val="32"/>
          <w:szCs w:val="32"/>
        </w:rPr>
        <w:t>镇党委、政府立足全镇实际，进一步强化示范引领和集体带动，不断完善奖励激励机制，截</w:t>
      </w:r>
      <w:r>
        <w:rPr>
          <w:rFonts w:hint="eastAsia" w:eastAsia="方正仿宋_GBK"/>
          <w:sz w:val="32"/>
          <w:szCs w:val="32"/>
          <w:lang w:eastAsia="zh-CN"/>
        </w:rPr>
        <w:t>至</w:t>
      </w:r>
      <w:r>
        <w:rPr>
          <w:rFonts w:eastAsia="方正仿宋_GBK"/>
          <w:sz w:val="32"/>
          <w:szCs w:val="32"/>
        </w:rPr>
        <w:t>目前，我镇发展的5000亩柑橘、青花椒已顺利上市，为农民实现了增收；全面完成2500亩川凤大米栽植，全镇粮食实现丰产增收。</w:t>
      </w:r>
    </w:p>
    <w:p>
      <w:pPr>
        <w:pStyle w:val="4"/>
        <w:spacing w:line="578" w:lineRule="exact"/>
        <w:ind w:firstLine="640" w:firstLineChars="200"/>
        <w:rPr>
          <w:rFonts w:eastAsia="方正仿宋_GBK"/>
          <w:sz w:val="32"/>
          <w:szCs w:val="32"/>
        </w:rPr>
      </w:pPr>
      <w:r>
        <w:rPr>
          <w:rFonts w:eastAsia="方正楷体_GBK"/>
          <w:sz w:val="32"/>
          <w:szCs w:val="32"/>
        </w:rPr>
        <w:t>（三）基础设施逐步完善。</w:t>
      </w:r>
      <w:r>
        <w:rPr>
          <w:rFonts w:eastAsia="方正仿宋_GBK"/>
          <w:sz w:val="32"/>
          <w:szCs w:val="32"/>
        </w:rPr>
        <w:t>一是积极向上争取项目和资金，先后在印盒村、石土村分别硬化了道路1.7公里，解决了212户群众的出行难问题；二是实施乡村旅游环线建设项目，涉及4个村（社区），共计修建道路17余公里，目前已完成路基建设；三是再次完善双挂钩资料，目前已上报区双挂钩指挥部，区审计局，区自然资源局对此项目进行审计；四是污水处理厂建设稳步推进，现已全面完工并投入使用，将有效收集处理周边多个村居近5000多人口的生活污水，可大力提升巴河水环境综合整治效果，对改善生态环境、助力乡村振兴具有重要意义。</w:t>
      </w:r>
    </w:p>
    <w:p>
      <w:pPr>
        <w:pStyle w:val="4"/>
        <w:spacing w:line="578" w:lineRule="exact"/>
        <w:ind w:firstLine="640" w:firstLineChars="200"/>
        <w:rPr>
          <w:rFonts w:eastAsia="方正仿宋_GBK"/>
          <w:sz w:val="32"/>
          <w:szCs w:val="32"/>
        </w:rPr>
      </w:pPr>
      <w:r>
        <w:rPr>
          <w:rFonts w:eastAsia="方正楷体_GBK"/>
          <w:sz w:val="32"/>
          <w:szCs w:val="32"/>
        </w:rPr>
        <w:t>（四）城乡面貌持续改善。</w:t>
      </w:r>
      <w:r>
        <w:rPr>
          <w:rFonts w:eastAsia="方正仿宋_GBK"/>
          <w:sz w:val="32"/>
          <w:szCs w:val="32"/>
        </w:rPr>
        <w:t>一是健全完善城乡环境综合治理常态长效机制，先后出动宣传车2次，开展宣传教育6次，组织开展环境治理督查12次，不定期对全镇生活垃圾进行集中无害化处理，进一步美化和净化了乡村环境；二是全面落实推进“河长制”工作，镇党委、政府主要负责人亲自巡河并牵头开展环保</w:t>
      </w:r>
      <w:r>
        <w:rPr>
          <w:rFonts w:eastAsia="方正仿宋_GBK"/>
          <w:color w:val="000000"/>
          <w:sz w:val="32"/>
          <w:szCs w:val="32"/>
        </w:rPr>
        <w:t>行动30余次，定期督促各村（社区）清理白色垃圾和河塘漂流物，群众</w:t>
      </w:r>
      <w:r>
        <w:rPr>
          <w:rFonts w:eastAsia="方正仿宋_GBK"/>
          <w:sz w:val="32"/>
          <w:szCs w:val="32"/>
        </w:rPr>
        <w:t>生活环境得到了大力改善。</w:t>
      </w:r>
    </w:p>
    <w:p>
      <w:pPr>
        <w:pStyle w:val="4"/>
        <w:spacing w:line="578" w:lineRule="exact"/>
        <w:ind w:firstLine="640" w:firstLineChars="200"/>
        <w:jc w:val="left"/>
        <w:rPr>
          <w:sz w:val="32"/>
          <w:szCs w:val="40"/>
        </w:rPr>
      </w:pPr>
      <w:r>
        <w:rPr>
          <w:rFonts w:eastAsia="方正楷体_GBK"/>
          <w:sz w:val="32"/>
          <w:szCs w:val="32"/>
        </w:rPr>
        <w:t>（五）脱贫攻坚扎实推进。</w:t>
      </w:r>
      <w:r>
        <w:rPr>
          <w:rFonts w:eastAsia="方正仿宋_GBK"/>
          <w:sz w:val="32"/>
          <w:szCs w:val="32"/>
        </w:rPr>
        <w:t>2020年是脱贫攻坚决战决胜之年，是全面建成小康社会收官之年。根据习近平总书记坚定不移打赢脱贫攻坚战，切实防止返贫的重要要求，在抓好年度脱贫任务的基础上，定期开展“回头看”“回头帮”，切实落实后续扶持政策补齐短板，做到脱贫摘帽“四不摘”，持续巩固脱贫攻坚成果。一是及时更新系统人口信息，开展贫困人口的自然增加和减少工作。二是持续开展“雨露计划”补助政策。我镇持续将雨露计划农村贫困家庭新成长劳动力职业教育作为实现精准扶贫的一项硬任务，始终坚持提素质、学技能、稳就业、增收入的目标三是开展“第一轮集中挂牌督战”、“账账相符、账实相符”、“第二轮交叉督战”“第三轮集中挂牌督战”。“第四轮集中挂牌督战”“第五轮集中挂牌督战”通过检查发现问题，建立问题整改台账，部署整改落实工作，落实牵头领导、责任单位和整改措施，确保问题得到解决，整改取得实效，为下步迎接全国脱贫攻坚普查工作打下坚实的基础。四是做好现有产业的管护力度，力争将我镇的产业发展壮大。五是进一步加强村集体经济发展项目。完成今年贫困村收入达标目标；加强巩固村集体经济稳步增收。六是继续加大道路建设力度。完成道路加宽工作。</w:t>
      </w:r>
    </w:p>
    <w:p>
      <w:pPr>
        <w:pStyle w:val="4"/>
        <w:spacing w:line="578" w:lineRule="exact"/>
        <w:ind w:firstLine="640" w:firstLineChars="200"/>
        <w:rPr>
          <w:rFonts w:eastAsia="方正仿宋_GBK"/>
          <w:sz w:val="32"/>
          <w:szCs w:val="32"/>
        </w:rPr>
      </w:pPr>
      <w:r>
        <w:rPr>
          <w:rFonts w:eastAsia="方正楷体_GBK"/>
          <w:sz w:val="32"/>
          <w:szCs w:val="32"/>
        </w:rPr>
        <w:t>（六）社会事业不断进步。</w:t>
      </w:r>
      <w:r>
        <w:rPr>
          <w:rFonts w:eastAsia="方正仿宋_GBK"/>
          <w:sz w:val="32"/>
          <w:szCs w:val="32"/>
        </w:rPr>
        <w:t>一是切实抓好控辍保学工作，全镇无适龄儿童辍学情况发生，同时进一步加大扶贫助学力度，确保做到从源头上遏制“穷根”蔓延；二是通过广泛宣传政策，动员群众积极参保，农业政策性保险参保金额达18万元，城镇居民医疗保险参保18279人，其中特殊群众参保率达100%；三是扎实开展无偿献血工作，全年组织义务献血138人，全面完成任务；四是落实“十大民生救助”制度，特殊病种救助52人、残疾人救助12人、重点优抚对象生活救助368人、困难群众医疗救助53人、临时生活救助265人、高龄救助709人，城镇低保60人，农村低保救助2106人、特困供养200人， 共计发放救助资金达600万，各项民生政策全面有效落实；五是做好农民工服务中心工作。充分发挥农民工服务中心作用，做好疫情外出务工人员健康申请及登记工作并建立台账，开展了达川区劳务品牌培训和返乡创业培训，建立了农民工2020年春节后外出务工未就业再返乡人员工作台帐等工作，为返乡农民工提供各类政策咨询服务，不断提升服务农民工效能和水平；六是推进退役军人事务服务站达标建设，建立完善了工作制度和办公阵地。为400余名退役士兵建立了档案，解决了32名退役老兵社会保险续保问题，对7名参加抗美援朝老兵进行登记，即将为其颁发纪念勋章。</w:t>
      </w:r>
    </w:p>
    <w:p>
      <w:pPr>
        <w:pStyle w:val="4"/>
        <w:spacing w:line="578" w:lineRule="exact"/>
        <w:ind w:firstLine="640" w:firstLineChars="200"/>
      </w:pPr>
      <w:r>
        <w:rPr>
          <w:rFonts w:eastAsia="方正楷体_GBK"/>
          <w:kern w:val="0"/>
          <w:sz w:val="32"/>
          <w:szCs w:val="32"/>
        </w:rPr>
        <w:t>（七）社会治理高效运行。</w:t>
      </w:r>
      <w:r>
        <w:rPr>
          <w:rFonts w:eastAsia="方正仿宋_GBK"/>
          <w:kern w:val="0"/>
          <w:sz w:val="32"/>
          <w:szCs w:val="32"/>
        </w:rPr>
        <w:t>一是全力做好村、组机构建制调整工作。严格贯彻上级关于村、组机构建制调整工作要求，在保持全镇大局稳定的前提下，较好的完成了村、组机构建制调整工作，我镇村级建制由合村前的21个较少到合村后的10个，村民小组由合组前的209个较少到合组后的120个。二是大力抓好安全生产工作。安全生产工作做到了“三个必须”，出台了《桥湾镇安全生产职责清单》，将安全生产责任细化到人；安全生产做到了预防在先，全年开展干部安全教育20余次，开展安全大宣传活动2次，发放各类宣传资料7000余份，在全镇开展森林防灭火知识宣传大行动，制作标语100余副、警示牌300余个、召开森林防灭火知识宣讲会20余次；发挥好主管部门职责，镇应急管理所全年对交通安全、食品安全、非煤矿山、烟花爆竹等领域进行常态化安全检查，主要领导亲自参加，检查过程动真碰硬，把各种隐患消灭于萌芽，我镇全年未发生1起安全事故；应急演练扎实开展，我镇全年组织地质灾害安全演练1次、消防安全演练1次、防洪应急演练1次、森林防灭火安全演练1次、森林防灭火知识进校园活动1次，较好的宣传了安全生产知识；三是认真落实依法治区的相关要求，将党委、政府的各项工作统统纳入到法治的轨道上来，先后组织开展法制宣传3次、警示教育1次；充分发挥各村法律顾问和法律服务巡回顾问团的作用，广泛宣传典型法治事件和法制知识，广大干群知法、懂法、守法的氛围逐渐形成；四是严格落实信访维稳工作“一岗双责”责任制，镇党委于年初与各村（社区）、镇级各单位（部门）签订责任书30余份，利用会议契机开展《信访条例》学习培训2次，对一些重点人员落实专人盯控，到市赴省进京上访次数大幅度降低；同时，我镇每月开展1次书记、镇长大接访活动，利用赶场天现场为群众办公解决问题，顺利化解了桥湾大桥修建等一批群众反映强烈的问题，干群关系有效改善，我镇群众满意度在全区处于前列；五是持续深化“平安桥湾”活动。开展大宣传活动，在全镇开展“平安建设12340”宣传，张贴宣传画3000余张、悬挂宣传标语30余副、发放宣传资料2000余张，召开坝坝会80余次，做到了宣传全覆盖；开展大巡逻活动，以镇政府机关干部、村（社区）干部、派出所民警等为成员，在全镇组成11支巡逻队伍，在重点时段、重点地点开展大巡逻活动，群众安全指数不断提高；认真贯彻落实各级关于开展扫黑除恶专项斗争工作的要求，切实加强境内黑恶势力线索排查，配合有关部门依法打击各类违法犯罪活动。</w:t>
      </w:r>
    </w:p>
    <w:p>
      <w:pPr>
        <w:pStyle w:val="4"/>
        <w:spacing w:line="578" w:lineRule="exact"/>
        <w:ind w:firstLine="640" w:firstLineChars="200"/>
        <w:rPr>
          <w:rFonts w:eastAsia="方正仿宋_GBK"/>
          <w:sz w:val="32"/>
        </w:rPr>
      </w:pPr>
      <w:r>
        <w:rPr>
          <w:rFonts w:eastAsia="方正楷体_GBK"/>
          <w:sz w:val="32"/>
          <w:szCs w:val="32"/>
        </w:rPr>
        <w:t>（八）党的建设不断加强。</w:t>
      </w:r>
      <w:r>
        <w:rPr>
          <w:rFonts w:eastAsia="方正仿宋_GBK"/>
          <w:sz w:val="32"/>
        </w:rPr>
        <w:t>一是认真履行职责，全面落实责任。与各党支部书记签订党建工作目标管理责任书，明确责任，强化工作措施，加强领导和指导，形成一级抓一级，层层抓落实的工作格局；二</w:t>
      </w:r>
      <w:r>
        <w:rPr>
          <w:rFonts w:eastAsia="方正仿宋_GBK"/>
          <w:sz w:val="32"/>
          <w:szCs w:val="32"/>
        </w:rPr>
        <w:t>是深入推进学习教育常态化制度化，组织党委中心组理论学习12次、开展“党员活动日”活动12次， 深入学习宣传贯彻党的十九届五中全会、省委十一届七次全会、市委四届九次全会、区委二届五次党代会精神，引导广大党员干部把思想和行动统一到中央和省委、市委的决策部署上来；三是全面完成了村级建制调整改革工作。我镇原有村（社区）21个，此次建制调整改革后现有村（社区）10个，改革率达50%，进一步提升了基层党组织的凝聚力和战斗力；四是</w:t>
      </w:r>
      <w:r>
        <w:rPr>
          <w:rFonts w:eastAsia="方正仿宋_GBK"/>
          <w:sz w:val="32"/>
        </w:rPr>
        <w:t>稳妥有序推进村党组织书记、村委会主任“一肩挑”，目前已有8个村（社区）完成一肩挑，完成比例达80%。</w:t>
      </w:r>
      <w:r>
        <w:rPr>
          <w:rFonts w:eastAsia="方正仿宋_GBK"/>
          <w:sz w:val="32"/>
          <w:szCs w:val="32"/>
        </w:rPr>
        <w:t>五是认真落实意识形态工作责任制，</w:t>
      </w:r>
      <w:r>
        <w:rPr>
          <w:rFonts w:eastAsia="方正仿宋_GBK"/>
          <w:sz w:val="32"/>
          <w:szCs w:val="28"/>
        </w:rPr>
        <w:t>将意识形态工作纳入年终目标考核和干部述职述廉报告的重要内容，</w:t>
      </w:r>
      <w:r>
        <w:rPr>
          <w:rFonts w:eastAsia="方正仿宋_GBK"/>
          <w:sz w:val="32"/>
          <w:szCs w:val="32"/>
        </w:rPr>
        <w:t>与各村党支部、镇级各单位（部门）签订目标责任书30余份，先后召开意识形态工作推进会6次，全镇网络舆论引导水平不断提高，意识形态领域未出现影响大局或不可控的现象；六是深入推进党风廉政建设和反腐败工作。半年来，严格按照“两个责任”内容，严格落实全面从严管党治党职责。组织党员干部观看警示片、学习典型案例、学习会议精神20余次，通过正反两面加强警示教育，全镇党员干部较好树立了底线思维；通过“民情户户通”活动和整治“群众最不满意的10件事”“八大活动”等走访接访群众12360 人次，切实解决群众问题困难，进一步提升了群众满意度，党的执政基础更加夯实； 七是扎实推进“优秀农民工回引培养工程”，分层分类开展返乡优秀农民工走访慰问，及时掌握优秀农民工变化情况，更新平台系统信息，重点掌握一批政治素质好、道德品行好、带富能力强、协调能力强、有回乡发展意愿的优秀农民工，由乡镇领导班子成员跟踪联系、重点培养，完善农民工党员回乡创业、领办集体经济鼓励支持政策，确保引得回、留得下、干得好，目前已培养农民工后备力量10名；八</w:t>
      </w:r>
      <w:r>
        <w:rPr>
          <w:rFonts w:eastAsia="方正仿宋_GBK"/>
          <w:sz w:val="32"/>
        </w:rPr>
        <w:t>是抓好党员队伍建设。全年，镇党委进一步加大了党员队伍的教育管理，共发展预备党员4名，培养入党积极分子8名，其中培养</w:t>
      </w:r>
      <w:r>
        <w:rPr>
          <w:rFonts w:hint="eastAsia" w:eastAsia="方正仿宋_GBK"/>
          <w:sz w:val="32"/>
          <w:lang w:eastAsia="zh-CN"/>
        </w:rPr>
        <w:t>农民工</w:t>
      </w:r>
      <w:r>
        <w:rPr>
          <w:rFonts w:eastAsia="方正仿宋_GBK"/>
          <w:sz w:val="32"/>
        </w:rPr>
        <w:t>入党积极分子4名；九是夯实基层组织，不断提升服务水平。全力落实整改“群众最不满意十件事”，分层分类建立台账，落实责任到人，限定整改时限，全镇共收集诉求意见756条，除无效诉求11条外，其余745条全部整改落实，有效提高了群众满意度。</w:t>
      </w:r>
    </w:p>
    <w:p>
      <w:pPr>
        <w:pStyle w:val="14"/>
        <w:spacing w:before="0" w:beforeAutospacing="0" w:after="0" w:afterAutospacing="0" w:line="540" w:lineRule="exact"/>
        <w:ind w:firstLine="640" w:firstLineChars="200"/>
        <w:rPr>
          <w:rFonts w:ascii="方正黑体_GBK" w:hAnsi="方正黑体_GBK" w:eastAsia="方正黑体_GBK"/>
          <w:b w:val="0"/>
          <w:color w:val="000000"/>
        </w:rPr>
      </w:pPr>
      <w:bookmarkStart w:id="20" w:name="_Toc15377200"/>
      <w:bookmarkStart w:id="21" w:name="_Toc15396601"/>
      <w:r>
        <w:rPr>
          <w:rFonts w:ascii="方正黑体_GBK" w:hAnsi="方正黑体_GBK" w:eastAsia="方正黑体_GBK"/>
          <w:b w:val="0"/>
          <w:color w:val="000000"/>
        </w:rPr>
        <w:t>二、机构设置</w:t>
      </w:r>
      <w:bookmarkEnd w:id="20"/>
      <w:bookmarkEnd w:id="21"/>
    </w:p>
    <w:p>
      <w:pPr>
        <w:pStyle w:val="15"/>
        <w:snapToGrid w:val="0"/>
        <w:spacing w:before="93" w:beforeAutospacing="0" w:afterLines="0" w:afterAutospacing="0" w:line="578" w:lineRule="exact"/>
        <w:ind w:firstLine="672" w:firstLineChars="210"/>
        <w:rPr>
          <w:sz w:val="32"/>
          <w:szCs w:val="32"/>
        </w:rPr>
      </w:pPr>
      <w:bookmarkStart w:id="22" w:name="_Toc15377204"/>
      <w:bookmarkStart w:id="23" w:name="_Toc15396602"/>
      <w:r>
        <w:rPr>
          <w:sz w:val="32"/>
          <w:szCs w:val="32"/>
        </w:rPr>
        <w:t>桥湾镇下属单位5个，其中行政单位1个，其他事业单位4个。主要包括：达州市达川区桥湾镇人民政府、达州市达川区桥湾镇便民服务中心、达州市达川区桥湾镇农业综合服务中心、达州市达川区桥湾镇社会事业发展中心、达州市达川区桥湾镇农民工服务中心。</w:t>
      </w:r>
    </w:p>
    <w:p>
      <w:pPr>
        <w:pStyle w:val="13"/>
        <w:spacing w:before="0" w:beforeAutospacing="0" w:after="0" w:afterAutospacing="0" w:line="540" w:lineRule="exact"/>
        <w:jc w:val="center"/>
        <w:rPr>
          <w:rStyle w:val="9"/>
          <w:rFonts w:ascii="方正小标宋_GBK" w:hAnsi="方正小标宋_GBK" w:eastAsia="方正小标宋_GBK"/>
          <w:b w:val="0"/>
          <w:bCs w:val="0"/>
          <w:color w:val="000000"/>
          <w:sz w:val="32"/>
          <w:szCs w:val="32"/>
        </w:rPr>
      </w:pPr>
      <w:r>
        <w:rPr>
          <w:rFonts w:ascii="方正小标宋_GBK" w:hAnsi="方正小标宋_GBK" w:eastAsia="方正小标宋_GBK"/>
          <w:b w:val="0"/>
          <w:color w:val="000000"/>
          <w:sz w:val="32"/>
          <w:szCs w:val="32"/>
        </w:rPr>
        <w:t>第二部分</w:t>
      </w:r>
      <w:r>
        <w:rPr>
          <w:rFonts w:ascii="方正小标宋_GBK" w:hAnsi="方正小标宋_GBK" w:eastAsia="方正小标宋_GBK"/>
          <w:color w:val="000000"/>
          <w:sz w:val="32"/>
          <w:szCs w:val="32"/>
        </w:rPr>
        <w:t>　</w:t>
      </w:r>
      <w:r>
        <w:rPr>
          <w:rStyle w:val="9"/>
          <w:rFonts w:ascii="方正小标宋_GBK" w:hAnsi="方正小标宋_GBK" w:eastAsia="方正小标宋_GBK"/>
          <w:b w:val="0"/>
          <w:bCs w:val="0"/>
          <w:color w:val="000000"/>
          <w:sz w:val="32"/>
          <w:szCs w:val="32"/>
        </w:rPr>
        <w:t>2020年度部门决算情况说明</w:t>
      </w:r>
      <w:bookmarkEnd w:id="22"/>
      <w:bookmarkEnd w:id="23"/>
    </w:p>
    <w:p>
      <w:pPr>
        <w:pStyle w:val="14"/>
        <w:spacing w:before="0" w:beforeAutospacing="0" w:after="0" w:afterAutospacing="0" w:line="540" w:lineRule="exact"/>
        <w:ind w:firstLine="640" w:firstLineChars="200"/>
        <w:rPr>
          <w:rFonts w:ascii="方正黑体_GBK" w:hAnsi="方正黑体_GBK" w:eastAsia="方正黑体_GBK"/>
          <w:b w:val="0"/>
          <w:bCs w:val="0"/>
        </w:rPr>
      </w:pPr>
      <w:bookmarkStart w:id="24" w:name="_Toc15396603"/>
      <w:bookmarkStart w:id="25" w:name="_Toc15377205"/>
      <w:r>
        <w:rPr>
          <w:rFonts w:ascii="方正黑体_GBK" w:hAnsi="方正黑体_GBK" w:eastAsia="方正黑体_GBK"/>
          <w:b w:val="0"/>
          <w:color w:val="000000"/>
        </w:rPr>
        <w:t>一、收</w:t>
      </w:r>
      <w:r>
        <w:rPr>
          <w:rFonts w:ascii="方正黑体_GBK" w:hAnsi="方正黑体_GBK" w:eastAsia="方正黑体_GBK"/>
          <w:b w:val="0"/>
          <w:bCs w:val="0"/>
        </w:rPr>
        <w:t>入支出决算总体情况说明</w:t>
      </w:r>
      <w:bookmarkEnd w:id="24"/>
      <w:bookmarkEnd w:id="25"/>
    </w:p>
    <w:p>
      <w:pPr>
        <w:pStyle w:val="4"/>
        <w:spacing w:line="54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2020年度收、支总计2067.72万元。与2019年相比，收、支总计各增加10.47万元，增加0.51%。主要变动原因是</w:t>
      </w:r>
      <w:r>
        <w:rPr>
          <w:rFonts w:ascii="仿宋" w:hAnsi="仿宋" w:eastAsia="仿宋" w:cs="仿宋"/>
          <w:sz w:val="32"/>
          <w:szCs w:val="32"/>
        </w:rPr>
        <w:t>人员经费及项目增加。</w:t>
      </w:r>
    </w:p>
    <w:p>
      <w:pPr>
        <w:pStyle w:val="14"/>
        <w:spacing w:before="0" w:beforeAutospacing="0" w:after="0" w:afterAutospacing="0" w:line="540" w:lineRule="exact"/>
        <w:ind w:firstLine="640" w:firstLineChars="200"/>
        <w:rPr>
          <w:rFonts w:ascii="方正黑体_GBK" w:hAnsi="方正黑体_GBK" w:eastAsia="方正黑体_GBK"/>
          <w:b w:val="0"/>
          <w:bCs w:val="0"/>
        </w:rPr>
      </w:pPr>
      <w:bookmarkStart w:id="26" w:name="_Toc15377206"/>
      <w:bookmarkStart w:id="27" w:name="_Toc15396604"/>
      <w:r>
        <w:rPr>
          <w:rFonts w:ascii="方正黑体_GBK" w:hAnsi="方正黑体_GBK" w:eastAsia="方正黑体_GBK"/>
          <w:b w:val="0"/>
          <w:color w:val="000000"/>
        </w:rPr>
        <w:t>二、收</w:t>
      </w:r>
      <w:r>
        <w:rPr>
          <w:rFonts w:ascii="方正黑体_GBK" w:hAnsi="方正黑体_GBK" w:eastAsia="方正黑体_GBK"/>
          <w:b w:val="0"/>
          <w:bCs w:val="0"/>
        </w:rPr>
        <w:t>入决算情况说明</w:t>
      </w:r>
      <w:bookmarkEnd w:id="26"/>
      <w:bookmarkEnd w:id="27"/>
    </w:p>
    <w:p>
      <w:pPr>
        <w:pStyle w:val="4"/>
        <w:numPr>
          <w:ilvl w:val="0"/>
          <w:numId w:val="0"/>
        </w:numPr>
        <w:spacing w:line="540" w:lineRule="exact"/>
        <w:ind w:firstLine="640" w:firstLineChars="200"/>
        <w:outlineLvl w:val="1"/>
        <w:rPr>
          <w:rFonts w:ascii="仿宋" w:hAnsi="仿宋" w:eastAsia="仿宋" w:cs="仿宋"/>
          <w:color w:val="000000"/>
          <w:sz w:val="32"/>
          <w:szCs w:val="32"/>
        </w:rPr>
      </w:pPr>
      <w:r>
        <w:rPr>
          <w:rFonts w:ascii="仿宋" w:hAnsi="仿宋" w:eastAsia="仿宋" w:cs="仿宋"/>
          <w:color w:val="000000"/>
          <w:sz w:val="32"/>
          <w:szCs w:val="32"/>
        </w:rPr>
        <w:t>2020年本年收入合计2067.72万元，其中：一般公共预算财政拨款收入1797.79万元，占86.95%；政府性基金预算财政拨款收入269.93万元，占13.05%；上级补助收入0万元，占0%；事业收入0万元，占0%；经营收入0万元，占0%；附属单位上缴收入0万元，占0%；其他收入0万元，占0%。</w:t>
      </w:r>
    </w:p>
    <w:p>
      <w:pPr>
        <w:pStyle w:val="20"/>
        <w:numPr>
          <w:ilvl w:val="0"/>
          <w:numId w:val="0"/>
        </w:numPr>
        <w:spacing w:line="540" w:lineRule="exact"/>
        <w:outlineLvl w:val="1"/>
        <w:rPr>
          <w:rStyle w:val="10"/>
          <w:rFonts w:ascii="方正黑体_GBK" w:hAnsi="方正黑体_GBK" w:eastAsia="方正黑体_GBK"/>
          <w:b w:val="0"/>
          <w:color w:val="000000"/>
        </w:rPr>
      </w:pPr>
      <w:bookmarkStart w:id="28" w:name="_Toc15396605"/>
      <w:bookmarkStart w:id="29" w:name="_Toc15377207"/>
      <w:r>
        <w:rPr>
          <w:rFonts w:ascii="方正黑体_GBK" w:hAnsi="方正黑体_GBK" w:eastAsia="方正黑体_GBK"/>
          <w:color w:val="000000"/>
          <w:sz w:val="32"/>
          <w:szCs w:val="32"/>
        </w:rPr>
        <w:t>三、支</w:t>
      </w:r>
      <w:r>
        <w:rPr>
          <w:rStyle w:val="10"/>
          <w:rFonts w:ascii="方正黑体_GBK" w:hAnsi="方正黑体_GBK" w:eastAsia="方正黑体_GBK"/>
          <w:b w:val="0"/>
          <w:color w:val="000000"/>
        </w:rPr>
        <w:t>出决算情况说明</w:t>
      </w:r>
      <w:bookmarkEnd w:id="28"/>
      <w:bookmarkEnd w:id="29"/>
    </w:p>
    <w:p>
      <w:pPr>
        <w:pStyle w:val="4"/>
        <w:numPr>
          <w:ilvl w:val="0"/>
          <w:numId w:val="0"/>
        </w:numPr>
        <w:spacing w:line="540" w:lineRule="exact"/>
        <w:ind w:firstLine="640" w:firstLineChars="200"/>
        <w:outlineLvl w:val="1"/>
        <w:rPr>
          <w:rFonts w:eastAsia="方正仿宋_GBK"/>
          <w:color w:val="000000"/>
          <w:sz w:val="32"/>
          <w:szCs w:val="32"/>
        </w:rPr>
      </w:pPr>
      <w:r>
        <w:rPr>
          <w:rFonts w:ascii="仿宋" w:hAnsi="仿宋" w:eastAsia="仿宋" w:cs="仿宋"/>
          <w:color w:val="000000"/>
          <w:sz w:val="32"/>
          <w:szCs w:val="32"/>
        </w:rPr>
        <w:t>2020年本年支出合计2067.72万元，其中：基本支出1157.12万元，占55.96%；项目支出910.6万元，占44.04%；上缴上级支出0万元，占0%；经营支出0万元，占0%；对附属单位补助支出0万元，占0%。</w:t>
      </w:r>
    </w:p>
    <w:p>
      <w:pPr>
        <w:pStyle w:val="4"/>
        <w:numPr>
          <w:ilvl w:val="0"/>
          <w:numId w:val="0"/>
        </w:numPr>
        <w:spacing w:line="540" w:lineRule="exact"/>
        <w:ind w:firstLine="642" w:firstLineChars="200"/>
        <w:outlineLvl w:val="1"/>
        <w:rPr>
          <w:rStyle w:val="10"/>
          <w:rFonts w:ascii="方正黑体_GBK" w:hAnsi="方正黑体_GBK" w:eastAsia="方正黑体_GBK"/>
          <w:b w:val="0"/>
          <w:color w:val="000000"/>
        </w:rPr>
      </w:pPr>
      <w:bookmarkStart w:id="30" w:name="_Toc15377208"/>
      <w:bookmarkStart w:id="31" w:name="_Toc15396606"/>
      <w:r>
        <w:rPr>
          <w:rStyle w:val="10"/>
          <w:rFonts w:ascii="方正黑体_GBK" w:hAnsi="方正黑体_GBK" w:eastAsia="方正黑体_GBK"/>
        </w:rPr>
        <w:t>四、</w:t>
      </w:r>
      <w:r>
        <w:rPr>
          <w:rStyle w:val="10"/>
          <w:rFonts w:ascii="方正黑体_GBK" w:hAnsi="方正黑体_GBK" w:eastAsia="方正黑体_GBK"/>
          <w:b w:val="0"/>
          <w:color w:val="000000"/>
        </w:rPr>
        <w:t>财政拨款收入支出决算总体情况说明</w:t>
      </w:r>
      <w:bookmarkEnd w:id="30"/>
      <w:bookmarkEnd w:id="31"/>
    </w:p>
    <w:p>
      <w:pPr>
        <w:pStyle w:val="4"/>
        <w:spacing w:line="54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2020年财政拨款收、支总计2067.72万元。与2019年相比，财政拨款收、支总计各</w:t>
      </w:r>
      <w:bookmarkStart w:id="32" w:name="_Toc15377209"/>
      <w:bookmarkStart w:id="33" w:name="_Toc15396607"/>
      <w:r>
        <w:rPr>
          <w:rFonts w:ascii="仿宋" w:hAnsi="仿宋" w:eastAsia="仿宋" w:cs="仿宋"/>
          <w:color w:val="000000"/>
          <w:sz w:val="32"/>
          <w:szCs w:val="32"/>
        </w:rPr>
        <w:t>增加10.47万元，增加0.51%。主要变动原因是</w:t>
      </w:r>
      <w:r>
        <w:rPr>
          <w:rFonts w:ascii="仿宋" w:hAnsi="仿宋" w:eastAsia="仿宋" w:cs="仿宋"/>
          <w:sz w:val="32"/>
          <w:szCs w:val="32"/>
        </w:rPr>
        <w:t>人员经费及项目增加。</w:t>
      </w:r>
    </w:p>
    <w:p>
      <w:pPr>
        <w:pStyle w:val="4"/>
        <w:spacing w:line="540" w:lineRule="exact"/>
        <w:ind w:firstLine="642" w:firstLineChars="200"/>
        <w:rPr>
          <w:rStyle w:val="10"/>
          <w:rFonts w:ascii="方正黑体_GBK" w:hAnsi="方正黑体_GBK" w:eastAsia="方正黑体_GBK"/>
          <w:b w:val="0"/>
          <w:color w:val="000000"/>
        </w:rPr>
      </w:pPr>
      <w:r>
        <w:rPr>
          <w:rStyle w:val="10"/>
          <w:rFonts w:ascii="方正黑体_GBK" w:hAnsi="方正黑体_GBK" w:eastAsia="方正黑体_GBK"/>
        </w:rPr>
        <w:t>五、一</w:t>
      </w:r>
      <w:r>
        <w:rPr>
          <w:rStyle w:val="10"/>
          <w:rFonts w:ascii="方正黑体_GBK" w:hAnsi="方正黑体_GBK" w:eastAsia="方正黑体_GBK"/>
          <w:b w:val="0"/>
          <w:color w:val="000000"/>
        </w:rPr>
        <w:t>般公共预算财政拨款支出决算情况说明</w:t>
      </w:r>
      <w:bookmarkEnd w:id="32"/>
      <w:bookmarkEnd w:id="33"/>
    </w:p>
    <w:p>
      <w:pPr>
        <w:pStyle w:val="4"/>
        <w:numPr>
          <w:ilvl w:val="0"/>
          <w:numId w:val="0"/>
        </w:numPr>
        <w:spacing w:line="540" w:lineRule="exact"/>
        <w:ind w:firstLine="642" w:firstLineChars="200"/>
        <w:outlineLvl w:val="2"/>
        <w:rPr>
          <w:rFonts w:ascii="方正楷体简体" w:hAnsi="方正楷体简体" w:eastAsia="方正楷体简体"/>
          <w:b/>
          <w:color w:val="000000"/>
          <w:sz w:val="32"/>
          <w:szCs w:val="32"/>
        </w:rPr>
      </w:pPr>
      <w:bookmarkStart w:id="34" w:name="_Toc15377210"/>
      <w:r>
        <w:rPr>
          <w:rFonts w:ascii="方正楷体简体" w:hAnsi="方正楷体简体" w:eastAsia="方正楷体简体"/>
          <w:b/>
          <w:color w:val="000000"/>
          <w:sz w:val="32"/>
          <w:szCs w:val="32"/>
        </w:rPr>
        <w:t>（一）一般公共预算财政拨款支出决算总体情况</w:t>
      </w:r>
      <w:bookmarkEnd w:id="34"/>
    </w:p>
    <w:p>
      <w:pPr>
        <w:pStyle w:val="4"/>
        <w:spacing w:line="540" w:lineRule="exact"/>
        <w:ind w:firstLine="640" w:firstLineChars="200"/>
        <w:rPr>
          <w:rFonts w:ascii="仿宋" w:hAnsi="仿宋" w:eastAsia="仿宋" w:cs="仿宋"/>
          <w:sz w:val="32"/>
          <w:szCs w:val="32"/>
        </w:rPr>
      </w:pPr>
      <w:r>
        <w:rPr>
          <w:rFonts w:ascii="仿宋" w:hAnsi="仿宋" w:eastAsia="仿宋" w:cs="仿宋"/>
          <w:color w:val="000000"/>
          <w:sz w:val="32"/>
          <w:szCs w:val="32"/>
        </w:rPr>
        <w:t>2020年一般公共预算财政拨款支出1797.79万元，占本年支出合计的86.95%。与2019年相比，一般公共预算财政拨款增加282.56万元，增加15.72%。主要变动原因是人员变动</w:t>
      </w:r>
      <w:r>
        <w:rPr>
          <w:rFonts w:ascii="仿宋" w:hAnsi="仿宋" w:eastAsia="仿宋" w:cs="仿宋"/>
          <w:sz w:val="32"/>
          <w:szCs w:val="32"/>
        </w:rPr>
        <w:t>。</w:t>
      </w:r>
    </w:p>
    <w:p>
      <w:pPr>
        <w:pStyle w:val="4"/>
        <w:numPr>
          <w:ilvl w:val="0"/>
          <w:numId w:val="0"/>
        </w:numPr>
        <w:spacing w:line="540" w:lineRule="exact"/>
        <w:ind w:firstLine="642" w:firstLineChars="200"/>
        <w:outlineLvl w:val="2"/>
        <w:rPr>
          <w:rFonts w:ascii="方正楷体简体" w:hAnsi="方正楷体简体" w:eastAsia="方正楷体简体"/>
          <w:b/>
          <w:color w:val="000000"/>
          <w:sz w:val="32"/>
          <w:szCs w:val="32"/>
        </w:rPr>
      </w:pPr>
      <w:bookmarkStart w:id="35" w:name="_Toc15377211"/>
      <w:r>
        <w:rPr>
          <w:rFonts w:ascii="方正楷体简体" w:hAnsi="方正楷体简体" w:eastAsia="方正楷体简体"/>
          <w:b/>
          <w:color w:val="000000"/>
          <w:sz w:val="32"/>
          <w:szCs w:val="32"/>
        </w:rPr>
        <w:t>（二）一般公共预算财政拨款支出决算结构情况</w:t>
      </w:r>
      <w:bookmarkEnd w:id="35"/>
    </w:p>
    <w:p>
      <w:pPr>
        <w:pStyle w:val="4"/>
        <w:spacing w:line="540" w:lineRule="exact"/>
        <w:ind w:firstLine="640"/>
        <w:rPr>
          <w:rFonts w:ascii="仿宋" w:hAnsi="仿宋" w:eastAsia="仿宋" w:cs="仿宋"/>
          <w:b/>
          <w:color w:val="000000"/>
          <w:sz w:val="32"/>
          <w:szCs w:val="32"/>
        </w:rPr>
      </w:pPr>
      <w:r>
        <w:rPr>
          <w:rFonts w:ascii="仿宋" w:hAnsi="仿宋" w:eastAsia="仿宋" w:cs="仿宋"/>
          <w:color w:val="000000"/>
          <w:sz w:val="32"/>
          <w:szCs w:val="32"/>
        </w:rPr>
        <w:t>2020年一般公共预算财政拨款支出1797.79万元，主要用于以下方面</w:t>
      </w:r>
      <w:r>
        <w:rPr>
          <w:rFonts w:ascii="仿宋" w:hAnsi="仿宋" w:eastAsia="仿宋" w:cs="仿宋"/>
          <w:sz w:val="32"/>
          <w:szCs w:val="32"/>
        </w:rPr>
        <w:t>:</w:t>
      </w:r>
      <w:r>
        <w:rPr>
          <w:rFonts w:ascii="仿宋" w:hAnsi="仿宋" w:eastAsia="仿宋" w:cs="仿宋"/>
          <w:b/>
          <w:sz w:val="32"/>
          <w:szCs w:val="32"/>
        </w:rPr>
        <w:t>一般公共服务（类）</w:t>
      </w:r>
      <w:r>
        <w:rPr>
          <w:rFonts w:ascii="仿宋" w:hAnsi="仿宋" w:eastAsia="仿宋" w:cs="仿宋"/>
          <w:sz w:val="32"/>
          <w:szCs w:val="32"/>
        </w:rPr>
        <w:t>支出377.79万元，占21.01%；</w:t>
      </w:r>
      <w:r>
        <w:rPr>
          <w:rFonts w:ascii="仿宋" w:hAnsi="仿宋" w:eastAsia="仿宋" w:cs="仿宋"/>
          <w:b/>
          <w:bCs/>
          <w:sz w:val="32"/>
          <w:szCs w:val="32"/>
        </w:rPr>
        <w:t>文化旅游体育与传媒（类）</w:t>
      </w:r>
      <w:r>
        <w:rPr>
          <w:rFonts w:ascii="仿宋" w:hAnsi="仿宋" w:eastAsia="仿宋" w:cs="仿宋"/>
          <w:sz w:val="32"/>
          <w:szCs w:val="32"/>
        </w:rPr>
        <w:t>支出30.5万</w:t>
      </w:r>
      <w:r>
        <w:rPr>
          <w:rFonts w:ascii="仿宋" w:hAnsi="仿宋" w:eastAsia="仿宋" w:cs="仿宋"/>
          <w:b/>
          <w:bCs/>
          <w:sz w:val="32"/>
          <w:szCs w:val="32"/>
        </w:rPr>
        <w:t>元，占1.70%</w:t>
      </w:r>
      <w:r>
        <w:rPr>
          <w:rFonts w:ascii="仿宋" w:hAnsi="仿宋" w:eastAsia="仿宋" w:cs="仿宋"/>
          <w:sz w:val="32"/>
          <w:szCs w:val="32"/>
        </w:rPr>
        <w:t>；</w:t>
      </w:r>
      <w:r>
        <w:rPr>
          <w:rFonts w:ascii="仿宋" w:hAnsi="仿宋" w:eastAsia="仿宋" w:cs="仿宋"/>
          <w:b/>
          <w:sz w:val="32"/>
          <w:szCs w:val="32"/>
        </w:rPr>
        <w:t>社会保障和就业（类）</w:t>
      </w:r>
      <w:r>
        <w:rPr>
          <w:rFonts w:ascii="仿宋" w:hAnsi="仿宋" w:eastAsia="仿宋" w:cs="仿宋"/>
          <w:sz w:val="32"/>
          <w:szCs w:val="32"/>
        </w:rPr>
        <w:t>支出86.46万</w:t>
      </w:r>
      <w:r>
        <w:rPr>
          <w:rFonts w:ascii="仿宋" w:hAnsi="仿宋" w:eastAsia="仿宋" w:cs="仿宋"/>
          <w:color w:val="000000"/>
          <w:sz w:val="32"/>
          <w:szCs w:val="32"/>
        </w:rPr>
        <w:t>元，占4.81%；</w:t>
      </w:r>
      <w:r>
        <w:rPr>
          <w:rFonts w:ascii="仿宋" w:hAnsi="仿宋" w:eastAsia="仿宋" w:cs="仿宋"/>
          <w:b/>
          <w:bCs/>
          <w:color w:val="000000"/>
          <w:sz w:val="32"/>
          <w:szCs w:val="32"/>
        </w:rPr>
        <w:t>卫生健康支出</w:t>
      </w:r>
      <w:r>
        <w:rPr>
          <w:rFonts w:ascii="仿宋" w:hAnsi="仿宋" w:eastAsia="仿宋" w:cs="仿宋"/>
          <w:color w:val="000000"/>
          <w:sz w:val="32"/>
          <w:szCs w:val="32"/>
        </w:rPr>
        <w:t>43.7</w:t>
      </w:r>
      <w:r>
        <w:rPr>
          <w:rFonts w:ascii="仿宋" w:hAnsi="仿宋" w:eastAsia="仿宋" w:cs="仿宋"/>
          <w:color w:val="auto"/>
          <w:sz w:val="32"/>
          <w:szCs w:val="32"/>
        </w:rPr>
        <w:t>1</w:t>
      </w:r>
      <w:r>
        <w:rPr>
          <w:rFonts w:ascii="仿宋" w:hAnsi="仿宋" w:eastAsia="仿宋" w:cs="仿宋"/>
          <w:color w:val="000000"/>
          <w:sz w:val="32"/>
          <w:szCs w:val="32"/>
        </w:rPr>
        <w:t>万元，占2.43%；节能环保支出9万元，占0.5%，</w:t>
      </w:r>
      <w:r>
        <w:rPr>
          <w:rFonts w:ascii="仿宋" w:hAnsi="仿宋" w:eastAsia="仿宋" w:cs="仿宋"/>
          <w:b/>
          <w:sz w:val="32"/>
          <w:szCs w:val="32"/>
        </w:rPr>
        <w:t>城乡社区支出（类）</w:t>
      </w:r>
      <w:r>
        <w:rPr>
          <w:rFonts w:ascii="仿宋" w:hAnsi="仿宋" w:eastAsia="仿宋" w:cs="仿宋"/>
          <w:color w:val="000000"/>
          <w:sz w:val="32"/>
          <w:szCs w:val="32"/>
        </w:rPr>
        <w:t>34.17万元，占1.9%；</w:t>
      </w:r>
      <w:r>
        <w:rPr>
          <w:rFonts w:ascii="仿宋" w:hAnsi="仿宋" w:eastAsia="仿宋" w:cs="仿宋"/>
          <w:b/>
          <w:color w:val="000000"/>
          <w:sz w:val="32"/>
          <w:szCs w:val="32"/>
        </w:rPr>
        <w:t>农林水支出（类）</w:t>
      </w:r>
      <w:r>
        <w:rPr>
          <w:rFonts w:ascii="仿宋" w:hAnsi="仿宋" w:eastAsia="仿宋" w:cs="仿宋"/>
          <w:color w:val="000000"/>
          <w:sz w:val="32"/>
          <w:szCs w:val="32"/>
        </w:rPr>
        <w:t>1046.1</w:t>
      </w:r>
      <w:r>
        <w:rPr>
          <w:rFonts w:ascii="仿宋" w:hAnsi="仿宋" w:eastAsia="仿宋" w:cs="仿宋"/>
          <w:color w:val="auto"/>
          <w:sz w:val="32"/>
          <w:szCs w:val="32"/>
        </w:rPr>
        <w:t>6</w:t>
      </w:r>
      <w:r>
        <w:rPr>
          <w:rFonts w:ascii="仿宋" w:hAnsi="仿宋" w:eastAsia="仿宋" w:cs="仿宋"/>
          <w:color w:val="000000"/>
          <w:sz w:val="32"/>
          <w:szCs w:val="32"/>
        </w:rPr>
        <w:t>万元，占58.19%；</w:t>
      </w:r>
      <w:r>
        <w:rPr>
          <w:rFonts w:ascii="仿宋" w:hAnsi="仿宋" w:eastAsia="仿宋" w:cs="仿宋"/>
          <w:b/>
          <w:color w:val="000000"/>
          <w:sz w:val="32"/>
          <w:szCs w:val="32"/>
        </w:rPr>
        <w:t>交通运输支出（类）</w:t>
      </w:r>
      <w:r>
        <w:rPr>
          <w:rFonts w:ascii="仿宋" w:hAnsi="仿宋" w:eastAsia="仿宋" w:cs="仿宋"/>
          <w:color w:val="000000"/>
          <w:sz w:val="32"/>
          <w:szCs w:val="32"/>
        </w:rPr>
        <w:t>7万元，占0.39%；</w:t>
      </w:r>
      <w:r>
        <w:rPr>
          <w:rFonts w:ascii="仿宋" w:hAnsi="仿宋" w:eastAsia="仿宋" w:cs="仿宋"/>
          <w:b/>
          <w:color w:val="000000"/>
          <w:sz w:val="32"/>
          <w:szCs w:val="32"/>
        </w:rPr>
        <w:t>住房保障支出</w:t>
      </w:r>
      <w:r>
        <w:rPr>
          <w:rFonts w:ascii="仿宋" w:hAnsi="仿宋" w:eastAsia="仿宋" w:cs="仿宋"/>
          <w:color w:val="000000"/>
          <w:sz w:val="32"/>
          <w:szCs w:val="32"/>
        </w:rPr>
        <w:t>49万元，占2.73%，其他支出114万，占6.34%，。</w:t>
      </w:r>
    </w:p>
    <w:p>
      <w:pPr>
        <w:pStyle w:val="4"/>
        <w:numPr>
          <w:ilvl w:val="0"/>
          <w:numId w:val="0"/>
        </w:numPr>
        <w:spacing w:line="540" w:lineRule="exact"/>
        <w:ind w:firstLine="642" w:firstLineChars="200"/>
        <w:outlineLvl w:val="2"/>
        <w:rPr>
          <w:rFonts w:ascii="方正楷体简体" w:hAnsi="方正楷体简体" w:eastAsia="方正楷体简体"/>
          <w:b/>
          <w:color w:val="000000"/>
          <w:sz w:val="32"/>
          <w:szCs w:val="32"/>
        </w:rPr>
      </w:pPr>
      <w:bookmarkStart w:id="36" w:name="_Toc15377212"/>
      <w:r>
        <w:rPr>
          <w:rFonts w:ascii="方正楷体简体" w:hAnsi="方正楷体简体" w:eastAsia="方正楷体简体"/>
          <w:b/>
          <w:color w:val="000000"/>
          <w:sz w:val="32"/>
          <w:szCs w:val="32"/>
        </w:rPr>
        <w:t>（三）一般公共预算财政拨款支出决算具体情况</w:t>
      </w:r>
      <w:bookmarkEnd w:id="36"/>
    </w:p>
    <w:p>
      <w:pPr>
        <w:pStyle w:val="4"/>
        <w:numPr>
          <w:ilvl w:val="0"/>
          <w:numId w:val="0"/>
        </w:numPr>
        <w:spacing w:line="540" w:lineRule="exact"/>
        <w:ind w:firstLine="642" w:firstLineChars="200"/>
        <w:outlineLvl w:val="2"/>
        <w:rPr>
          <w:rFonts w:eastAsia="方正仿宋_GBK"/>
          <w:color w:val="000000"/>
          <w:sz w:val="32"/>
          <w:szCs w:val="32"/>
        </w:rPr>
      </w:pPr>
      <w:bookmarkStart w:id="37" w:name="_Toc15378460"/>
      <w:bookmarkStart w:id="38" w:name="_Toc15377444"/>
      <w:bookmarkStart w:id="39" w:name="_Toc15377213"/>
      <w:r>
        <w:rPr>
          <w:rFonts w:eastAsia="方正仿宋_GBK"/>
          <w:b/>
          <w:color w:val="000000"/>
          <w:sz w:val="32"/>
          <w:szCs w:val="32"/>
        </w:rPr>
        <w:t>2020年一般公共预算支出决算数为1797.79万元</w:t>
      </w:r>
      <w:r>
        <w:rPr>
          <w:rFonts w:eastAsia="方正仿宋_GBK"/>
          <w:color w:val="000000"/>
          <w:sz w:val="32"/>
          <w:szCs w:val="32"/>
        </w:rPr>
        <w:t>，</w:t>
      </w:r>
      <w:r>
        <w:rPr>
          <w:rStyle w:val="8"/>
          <w:rFonts w:eastAsia="方正仿宋_GBK"/>
          <w:bCs/>
          <w:color w:val="000000"/>
          <w:sz w:val="32"/>
          <w:szCs w:val="32"/>
        </w:rPr>
        <w:t>完成预算100%。其中：</w:t>
      </w:r>
      <w:bookmarkEnd w:id="37"/>
      <w:bookmarkEnd w:id="38"/>
      <w:bookmarkEnd w:id="39"/>
    </w:p>
    <w:p>
      <w:pPr>
        <w:pStyle w:val="4"/>
        <w:spacing w:line="600" w:lineRule="exact"/>
        <w:ind w:firstLine="642" w:firstLineChars="200"/>
        <w:rPr>
          <w:rStyle w:val="8"/>
          <w:rFonts w:ascii="仿宋" w:hAnsi="仿宋" w:eastAsia="仿宋" w:cs="仿宋"/>
          <w:bCs/>
          <w:color w:val="000000"/>
          <w:sz w:val="32"/>
          <w:szCs w:val="32"/>
        </w:rPr>
      </w:pPr>
      <w:r>
        <w:rPr>
          <w:rStyle w:val="8"/>
          <w:rFonts w:ascii="仿宋" w:hAnsi="仿宋" w:eastAsia="仿宋" w:cs="仿宋"/>
          <w:bCs/>
          <w:color w:val="000000"/>
          <w:sz w:val="32"/>
          <w:szCs w:val="32"/>
        </w:rPr>
        <w:t>1.一般公共服务：</w:t>
      </w:r>
    </w:p>
    <w:p>
      <w:pPr>
        <w:pStyle w:val="4"/>
        <w:spacing w:line="600" w:lineRule="exact"/>
        <w:ind w:firstLine="642" w:firstLineChars="200"/>
        <w:rPr>
          <w:rStyle w:val="8"/>
          <w:rFonts w:ascii="仿宋" w:hAnsi="仿宋" w:eastAsia="仿宋" w:cs="仿宋"/>
          <w:bCs/>
          <w:color w:val="000000"/>
          <w:sz w:val="32"/>
          <w:szCs w:val="32"/>
        </w:rPr>
      </w:pPr>
      <w:r>
        <w:rPr>
          <w:rStyle w:val="8"/>
          <w:rFonts w:ascii="仿宋" w:hAnsi="仿宋" w:eastAsia="仿宋" w:cs="仿宋"/>
          <w:bCs/>
          <w:color w:val="000000"/>
          <w:sz w:val="32"/>
          <w:szCs w:val="32"/>
        </w:rPr>
        <w:t>2010301一般公共服务支出（类）政府办公厅（室）及相关机构事务（款）行政运行（项）</w:t>
      </w:r>
      <w:r>
        <w:rPr>
          <w:rStyle w:val="8"/>
          <w:rFonts w:ascii="仿宋" w:hAnsi="仿宋" w:eastAsia="仿宋" w:cs="仿宋"/>
          <w:b w:val="0"/>
          <w:color w:val="000000"/>
          <w:sz w:val="32"/>
          <w:szCs w:val="32"/>
        </w:rPr>
        <w:t>支出决算为252.18万元，完成预算100%，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Fonts w:ascii="仿宋" w:hAnsi="仿宋" w:eastAsia="仿宋" w:cs="仿宋"/>
          <w:b/>
          <w:bCs/>
          <w:color w:val="000000"/>
          <w:sz w:val="32"/>
          <w:szCs w:val="32"/>
        </w:rPr>
      </w:pPr>
      <w:r>
        <w:rPr>
          <w:rStyle w:val="8"/>
          <w:rFonts w:ascii="仿宋" w:hAnsi="仿宋" w:eastAsia="仿宋" w:cs="仿宋"/>
          <w:bCs/>
          <w:color w:val="000000"/>
          <w:sz w:val="32"/>
          <w:szCs w:val="32"/>
        </w:rPr>
        <w:t>2010302一般公共服务支出（类）政府办公厅（室）及相关机构事务（款）一般行政管理事务（项）</w:t>
      </w:r>
      <w:r>
        <w:rPr>
          <w:rStyle w:val="8"/>
          <w:rFonts w:ascii="仿宋" w:hAnsi="仿宋" w:eastAsia="仿宋" w:cs="仿宋"/>
          <w:b w:val="0"/>
          <w:color w:val="000000"/>
          <w:sz w:val="32"/>
          <w:szCs w:val="32"/>
        </w:rPr>
        <w:t>支出决算为107.87万元，完成预算100%，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Style w:val="8"/>
          <w:rFonts w:ascii="仿宋" w:hAnsi="仿宋" w:eastAsia="仿宋" w:cs="仿宋"/>
          <w:bCs/>
          <w:color w:val="000000"/>
          <w:sz w:val="32"/>
          <w:szCs w:val="32"/>
        </w:rPr>
      </w:pPr>
      <w:r>
        <w:rPr>
          <w:rStyle w:val="8"/>
          <w:rFonts w:ascii="仿宋" w:hAnsi="仿宋" w:eastAsia="仿宋" w:cs="仿宋"/>
          <w:bCs/>
          <w:color w:val="000000"/>
          <w:sz w:val="32"/>
          <w:szCs w:val="32"/>
        </w:rPr>
        <w:t>2010601一般公共服务支出（类）财政事务（款）行政运行（项）</w:t>
      </w:r>
      <w:r>
        <w:rPr>
          <w:rStyle w:val="8"/>
          <w:rFonts w:ascii="仿宋" w:hAnsi="仿宋" w:eastAsia="仿宋" w:cs="仿宋"/>
          <w:b w:val="0"/>
          <w:color w:val="000000"/>
          <w:sz w:val="32"/>
          <w:szCs w:val="32"/>
        </w:rPr>
        <w:t>支出决算为17.74万元，完成预算100%，</w:t>
      </w:r>
      <w:r>
        <w:rPr>
          <w:rStyle w:val="8"/>
          <w:rFonts w:ascii="仿宋" w:hAnsi="仿宋" w:eastAsia="仿宋" w:cs="仿宋"/>
          <w:b w:val="0"/>
          <w:bCs/>
          <w:color w:val="000000"/>
          <w:sz w:val="32"/>
          <w:szCs w:val="32"/>
        </w:rPr>
        <w:t>决算数等于预算数。</w:t>
      </w:r>
    </w:p>
    <w:p>
      <w:pPr>
        <w:pStyle w:val="4"/>
        <w:spacing w:line="578" w:lineRule="exact"/>
        <w:ind w:firstLine="642" w:firstLineChars="200"/>
        <w:rPr>
          <w:rFonts w:ascii="仿宋" w:hAnsi="仿宋" w:eastAsia="仿宋" w:cs="仿宋"/>
          <w:color w:val="000000"/>
          <w:sz w:val="32"/>
          <w:szCs w:val="32"/>
        </w:rPr>
      </w:pPr>
      <w:r>
        <w:rPr>
          <w:rStyle w:val="8"/>
          <w:rFonts w:ascii="仿宋" w:hAnsi="仿宋" w:eastAsia="仿宋" w:cs="仿宋"/>
          <w:bCs/>
          <w:color w:val="000000"/>
          <w:sz w:val="32"/>
          <w:szCs w:val="32"/>
        </w:rPr>
        <w:t>2.</w:t>
      </w:r>
      <w:r>
        <w:rPr>
          <w:rStyle w:val="8"/>
          <w:rFonts w:ascii="仿宋" w:hAnsi="仿宋" w:eastAsia="仿宋" w:cs="仿宋"/>
          <w:color w:val="000000"/>
          <w:sz w:val="32"/>
          <w:szCs w:val="32"/>
        </w:rPr>
        <w:t>文化体育与传媒类：</w:t>
      </w:r>
    </w:p>
    <w:p>
      <w:pPr>
        <w:pStyle w:val="4"/>
        <w:spacing w:line="600" w:lineRule="exact"/>
        <w:ind w:firstLine="642" w:firstLineChars="200"/>
        <w:rPr>
          <w:rStyle w:val="8"/>
          <w:rFonts w:ascii="仿宋" w:hAnsi="仿宋" w:eastAsia="仿宋" w:cs="仿宋"/>
          <w:bCs/>
          <w:color w:val="000000"/>
          <w:sz w:val="32"/>
          <w:szCs w:val="32"/>
        </w:rPr>
      </w:pPr>
      <w:r>
        <w:rPr>
          <w:rStyle w:val="8"/>
          <w:rFonts w:ascii="仿宋" w:hAnsi="仿宋" w:eastAsia="仿宋" w:cs="仿宋"/>
          <w:bCs/>
          <w:color w:val="000000"/>
          <w:sz w:val="32"/>
          <w:szCs w:val="32"/>
        </w:rPr>
        <w:t>2070114文化体育与传媒支出（类）文化（款）文化和旅游管理事务（项）</w:t>
      </w:r>
      <w:r>
        <w:rPr>
          <w:rStyle w:val="8"/>
          <w:rFonts w:ascii="仿宋" w:hAnsi="仿宋" w:eastAsia="仿宋" w:cs="仿宋"/>
          <w:b w:val="0"/>
          <w:color w:val="000000"/>
          <w:sz w:val="32"/>
          <w:szCs w:val="32"/>
        </w:rPr>
        <w:t>支出决算为21.20万元，完成预算100%，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Fonts w:ascii="仿宋" w:hAnsi="仿宋" w:eastAsia="仿宋" w:cs="仿宋"/>
          <w:b/>
          <w:bCs/>
          <w:color w:val="000000"/>
          <w:sz w:val="32"/>
          <w:szCs w:val="32"/>
        </w:rPr>
      </w:pPr>
      <w:r>
        <w:rPr>
          <w:rStyle w:val="8"/>
          <w:rFonts w:ascii="仿宋" w:hAnsi="仿宋" w:eastAsia="仿宋" w:cs="仿宋"/>
          <w:bCs/>
          <w:color w:val="000000"/>
          <w:sz w:val="32"/>
          <w:szCs w:val="32"/>
        </w:rPr>
        <w:t>2070199文化体育与传媒支出（类）文化（款）其他文化支出（项）</w:t>
      </w:r>
      <w:r>
        <w:rPr>
          <w:rStyle w:val="8"/>
          <w:rFonts w:ascii="仿宋" w:hAnsi="仿宋" w:eastAsia="仿宋" w:cs="仿宋"/>
          <w:b w:val="0"/>
          <w:color w:val="000000"/>
          <w:sz w:val="32"/>
          <w:szCs w:val="32"/>
        </w:rPr>
        <w:t>支出决算为9.3万元，完成预算100%，</w:t>
      </w:r>
      <w:r>
        <w:rPr>
          <w:rStyle w:val="8"/>
          <w:rFonts w:ascii="仿宋" w:hAnsi="仿宋" w:eastAsia="仿宋" w:cs="仿宋"/>
          <w:b w:val="0"/>
          <w:bCs/>
          <w:color w:val="000000"/>
          <w:sz w:val="32"/>
          <w:szCs w:val="32"/>
        </w:rPr>
        <w:t>决算数等于预算数。</w:t>
      </w:r>
    </w:p>
    <w:p>
      <w:pPr>
        <w:pStyle w:val="4"/>
        <w:spacing w:line="578" w:lineRule="exact"/>
        <w:ind w:firstLine="642" w:firstLineChars="200"/>
        <w:rPr>
          <w:rStyle w:val="8"/>
          <w:rFonts w:ascii="仿宋" w:hAnsi="仿宋" w:eastAsia="仿宋" w:cs="仿宋"/>
          <w:color w:val="000000"/>
          <w:sz w:val="32"/>
          <w:szCs w:val="32"/>
        </w:rPr>
      </w:pPr>
      <w:r>
        <w:rPr>
          <w:rStyle w:val="8"/>
          <w:rFonts w:ascii="仿宋" w:hAnsi="仿宋" w:eastAsia="仿宋" w:cs="仿宋"/>
          <w:bCs/>
          <w:color w:val="000000"/>
          <w:sz w:val="32"/>
          <w:szCs w:val="32"/>
        </w:rPr>
        <w:t>3.</w:t>
      </w:r>
      <w:r>
        <w:rPr>
          <w:rStyle w:val="8"/>
          <w:rFonts w:ascii="仿宋" w:hAnsi="仿宋" w:eastAsia="仿宋" w:cs="仿宋"/>
          <w:color w:val="000000"/>
          <w:sz w:val="32"/>
          <w:szCs w:val="32"/>
        </w:rPr>
        <w:t>社会保障和就业：</w:t>
      </w:r>
    </w:p>
    <w:p>
      <w:pPr>
        <w:pStyle w:val="4"/>
        <w:spacing w:line="600" w:lineRule="exact"/>
        <w:ind w:firstLine="642" w:firstLineChars="200"/>
        <w:rPr>
          <w:rFonts w:ascii="仿宋" w:hAnsi="仿宋" w:eastAsia="仿宋" w:cs="仿宋"/>
          <w:b/>
          <w:bCs/>
          <w:color w:val="000000"/>
          <w:sz w:val="32"/>
          <w:szCs w:val="32"/>
        </w:rPr>
      </w:pPr>
      <w:r>
        <w:rPr>
          <w:rStyle w:val="8"/>
          <w:rFonts w:ascii="仿宋" w:hAnsi="仿宋" w:eastAsia="仿宋" w:cs="仿宋"/>
          <w:bCs/>
          <w:color w:val="000000"/>
          <w:sz w:val="32"/>
          <w:szCs w:val="32"/>
        </w:rPr>
        <w:t>2080104社会保障和就业支出（类）人力资源和社</w:t>
      </w:r>
      <w:r>
        <w:rPr>
          <w:rStyle w:val="8"/>
          <w:rFonts w:hint="eastAsia" w:ascii="仿宋" w:hAnsi="仿宋" w:eastAsia="仿宋" w:cs="仿宋"/>
          <w:bCs/>
          <w:color w:val="000000"/>
          <w:sz w:val="32"/>
          <w:szCs w:val="32"/>
          <w:lang w:eastAsia="zh-CN"/>
        </w:rPr>
        <w:t>会</w:t>
      </w:r>
      <w:bookmarkStart w:id="72" w:name="_GoBack"/>
      <w:bookmarkEnd w:id="72"/>
      <w:r>
        <w:rPr>
          <w:rStyle w:val="8"/>
          <w:rFonts w:ascii="仿宋" w:hAnsi="仿宋" w:eastAsia="仿宋" w:cs="仿宋"/>
          <w:bCs/>
          <w:color w:val="000000"/>
          <w:sz w:val="32"/>
          <w:szCs w:val="32"/>
        </w:rPr>
        <w:t>保障管理事务（款）综合业务管理（项）</w:t>
      </w:r>
      <w:r>
        <w:rPr>
          <w:rStyle w:val="8"/>
          <w:rFonts w:ascii="仿宋" w:hAnsi="仿宋" w:eastAsia="仿宋" w:cs="仿宋"/>
          <w:b w:val="0"/>
          <w:color w:val="000000"/>
          <w:sz w:val="32"/>
          <w:szCs w:val="32"/>
        </w:rPr>
        <w:t>支出决算为9.69万元，完成预算100%，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Fonts w:ascii="仿宋" w:hAnsi="仿宋" w:eastAsia="仿宋" w:cs="仿宋"/>
          <w:b/>
          <w:bCs/>
          <w:color w:val="000000"/>
          <w:sz w:val="32"/>
          <w:szCs w:val="32"/>
        </w:rPr>
      </w:pPr>
      <w:r>
        <w:rPr>
          <w:rStyle w:val="8"/>
          <w:rFonts w:ascii="仿宋" w:hAnsi="仿宋" w:eastAsia="仿宋" w:cs="仿宋"/>
          <w:bCs/>
          <w:color w:val="000000"/>
          <w:sz w:val="32"/>
          <w:szCs w:val="32"/>
        </w:rPr>
        <w:t>2080505社会保障和就业支出（类）行政事业单位离退休（款）机关事业单位基本养老保险费支出（项）</w:t>
      </w:r>
      <w:r>
        <w:rPr>
          <w:rStyle w:val="8"/>
          <w:rFonts w:ascii="仿宋" w:hAnsi="仿宋" w:eastAsia="仿宋" w:cs="仿宋"/>
          <w:b w:val="0"/>
          <w:color w:val="000000"/>
          <w:sz w:val="32"/>
          <w:szCs w:val="32"/>
        </w:rPr>
        <w:t>支出决算为32.63万元，完成预算100%，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Fonts w:ascii="仿宋" w:hAnsi="仿宋" w:eastAsia="仿宋" w:cs="仿宋"/>
          <w:b/>
          <w:bCs/>
          <w:color w:val="000000"/>
          <w:sz w:val="32"/>
          <w:szCs w:val="32"/>
        </w:rPr>
      </w:pPr>
      <w:r>
        <w:rPr>
          <w:rStyle w:val="8"/>
          <w:rFonts w:ascii="仿宋" w:hAnsi="仿宋" w:eastAsia="仿宋" w:cs="仿宋"/>
          <w:bCs/>
          <w:color w:val="000000"/>
          <w:sz w:val="32"/>
          <w:szCs w:val="32"/>
        </w:rPr>
        <w:t>2080805社会保障和就业支出（类）抚恤（款）义务兵优待（项）</w:t>
      </w:r>
      <w:r>
        <w:rPr>
          <w:rStyle w:val="8"/>
          <w:rFonts w:ascii="仿宋" w:hAnsi="仿宋" w:eastAsia="仿宋" w:cs="仿宋"/>
          <w:b w:val="0"/>
          <w:color w:val="000000"/>
          <w:sz w:val="32"/>
          <w:szCs w:val="32"/>
        </w:rPr>
        <w:t>支出决算为25.14万元，完成预算100%，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Fonts w:ascii="仿宋" w:hAnsi="仿宋" w:eastAsia="仿宋" w:cs="仿宋"/>
          <w:b/>
          <w:bCs/>
          <w:color w:val="000000"/>
          <w:sz w:val="32"/>
          <w:szCs w:val="32"/>
        </w:rPr>
      </w:pPr>
      <w:r>
        <w:rPr>
          <w:rStyle w:val="8"/>
          <w:rFonts w:ascii="仿宋" w:hAnsi="仿宋" w:eastAsia="仿宋" w:cs="仿宋"/>
          <w:bCs/>
          <w:color w:val="000000"/>
          <w:sz w:val="32"/>
          <w:szCs w:val="32"/>
        </w:rPr>
        <w:t>2089901社会保障和就业支出（类）其他社会保障和就业支出（款）社会保障和就业支出（项）</w:t>
      </w:r>
      <w:r>
        <w:rPr>
          <w:rStyle w:val="8"/>
          <w:rFonts w:ascii="仿宋" w:hAnsi="仿宋" w:eastAsia="仿宋" w:cs="仿宋"/>
          <w:b w:val="0"/>
          <w:color w:val="000000"/>
          <w:sz w:val="32"/>
          <w:szCs w:val="32"/>
        </w:rPr>
        <w:t>支出决算为19万元，完成预算100%，</w:t>
      </w:r>
      <w:r>
        <w:rPr>
          <w:rStyle w:val="8"/>
          <w:rFonts w:ascii="仿宋" w:hAnsi="仿宋" w:eastAsia="仿宋" w:cs="仿宋"/>
          <w:b w:val="0"/>
          <w:bCs/>
          <w:color w:val="000000"/>
          <w:sz w:val="32"/>
          <w:szCs w:val="32"/>
        </w:rPr>
        <w:t>决算数等于预算数。</w:t>
      </w:r>
    </w:p>
    <w:p>
      <w:pPr>
        <w:pStyle w:val="4"/>
        <w:spacing w:line="578"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4.</w:t>
      </w:r>
      <w:r>
        <w:rPr>
          <w:rStyle w:val="8"/>
          <w:rFonts w:ascii="仿宋" w:hAnsi="仿宋" w:eastAsia="仿宋" w:cs="仿宋"/>
          <w:color w:val="000000"/>
          <w:sz w:val="32"/>
          <w:szCs w:val="32"/>
        </w:rPr>
        <w:t>医疗卫生与计划生育：</w:t>
      </w:r>
      <w:r>
        <w:rPr>
          <w:rStyle w:val="8"/>
          <w:rFonts w:ascii="仿宋" w:hAnsi="仿宋" w:eastAsia="仿宋" w:cs="仿宋"/>
          <w:b w:val="0"/>
          <w:bCs/>
          <w:color w:val="000000"/>
          <w:sz w:val="32"/>
          <w:szCs w:val="32"/>
        </w:rPr>
        <w:t xml:space="preserve">                            </w:t>
      </w:r>
    </w:p>
    <w:p>
      <w:pPr>
        <w:pStyle w:val="4"/>
        <w:spacing w:line="578"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2101101医疗卫生与计划生育支出（类）行政事业单位医疗（款）行政单位医疗（项）</w:t>
      </w:r>
      <w:r>
        <w:rPr>
          <w:rStyle w:val="8"/>
          <w:rFonts w:ascii="仿宋" w:hAnsi="仿宋" w:eastAsia="仿宋" w:cs="仿宋"/>
          <w:b w:val="0"/>
          <w:color w:val="000000"/>
          <w:sz w:val="32"/>
          <w:szCs w:val="32"/>
        </w:rPr>
        <w:t>支出决算为31.87万元，完成预算100%，</w:t>
      </w:r>
      <w:r>
        <w:rPr>
          <w:rStyle w:val="8"/>
          <w:rFonts w:ascii="仿宋" w:hAnsi="仿宋" w:eastAsia="仿宋" w:cs="仿宋"/>
          <w:b w:val="0"/>
          <w:bCs/>
          <w:color w:val="000000"/>
          <w:sz w:val="32"/>
          <w:szCs w:val="32"/>
        </w:rPr>
        <w:t>决算数等于预算数。</w:t>
      </w:r>
    </w:p>
    <w:p>
      <w:pPr>
        <w:pStyle w:val="4"/>
        <w:spacing w:line="578"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2101102医疗卫生与计划生育支出（类）行政事业单位医疗（款）事业单位医疗（项）</w:t>
      </w:r>
      <w:r>
        <w:rPr>
          <w:rStyle w:val="8"/>
          <w:rFonts w:ascii="仿宋" w:hAnsi="仿宋" w:eastAsia="仿宋" w:cs="仿宋"/>
          <w:b w:val="0"/>
          <w:color w:val="000000"/>
          <w:sz w:val="32"/>
          <w:szCs w:val="32"/>
        </w:rPr>
        <w:t>支出决算为7.51万元，完成预算100%，</w:t>
      </w:r>
      <w:r>
        <w:rPr>
          <w:rStyle w:val="8"/>
          <w:rFonts w:ascii="仿宋" w:hAnsi="仿宋" w:eastAsia="仿宋" w:cs="仿宋"/>
          <w:b w:val="0"/>
          <w:bCs/>
          <w:color w:val="000000"/>
          <w:sz w:val="32"/>
          <w:szCs w:val="32"/>
        </w:rPr>
        <w:t>决算数等于预算数。</w:t>
      </w:r>
    </w:p>
    <w:p>
      <w:pPr>
        <w:pStyle w:val="4"/>
        <w:spacing w:line="578" w:lineRule="exact"/>
        <w:ind w:firstLine="640" w:firstLineChars="200"/>
        <w:rPr>
          <w:rStyle w:val="8"/>
          <w:rFonts w:ascii="仿宋" w:hAnsi="仿宋" w:eastAsia="仿宋" w:cs="仿宋"/>
          <w:b w:val="0"/>
          <w:bCs/>
          <w:color w:val="000000"/>
          <w:sz w:val="32"/>
          <w:szCs w:val="32"/>
        </w:rPr>
      </w:pPr>
      <w:r>
        <w:rPr>
          <w:rStyle w:val="8"/>
          <w:rFonts w:ascii="仿宋" w:hAnsi="仿宋" w:eastAsia="仿宋" w:cs="仿宋"/>
          <w:b w:val="0"/>
          <w:bCs/>
          <w:color w:val="000000"/>
          <w:sz w:val="32"/>
          <w:szCs w:val="32"/>
        </w:rPr>
        <w:t xml:space="preserve"> </w:t>
      </w:r>
      <w:r>
        <w:rPr>
          <w:rStyle w:val="8"/>
          <w:rFonts w:ascii="仿宋" w:hAnsi="仿宋" w:eastAsia="仿宋" w:cs="仿宋"/>
          <w:bCs/>
          <w:color w:val="000000"/>
          <w:sz w:val="32"/>
          <w:szCs w:val="32"/>
        </w:rPr>
        <w:t>2101103医疗卫生与计划生育支出（类）行政事业单位医疗（款）公务员医疗（项）</w:t>
      </w:r>
      <w:r>
        <w:rPr>
          <w:rStyle w:val="8"/>
          <w:rFonts w:ascii="仿宋" w:hAnsi="仿宋" w:eastAsia="仿宋" w:cs="仿宋"/>
          <w:b w:val="0"/>
          <w:color w:val="000000"/>
          <w:sz w:val="32"/>
          <w:szCs w:val="32"/>
        </w:rPr>
        <w:t>支出决算为4.32万元，完成预算100%，</w:t>
      </w:r>
      <w:r>
        <w:rPr>
          <w:rStyle w:val="8"/>
          <w:rFonts w:ascii="仿宋" w:hAnsi="仿宋" w:eastAsia="仿宋" w:cs="仿宋"/>
          <w:b w:val="0"/>
          <w:bCs/>
          <w:color w:val="000000"/>
          <w:sz w:val="32"/>
          <w:szCs w:val="32"/>
        </w:rPr>
        <w:t xml:space="preserve">决算数等于预算数。                                                      </w:t>
      </w:r>
    </w:p>
    <w:p>
      <w:pPr>
        <w:pStyle w:val="4"/>
        <w:numPr>
          <w:ilvl w:val="0"/>
          <w:numId w:val="2"/>
        </w:numPr>
        <w:spacing w:line="578" w:lineRule="exact"/>
        <w:ind w:firstLine="642" w:firstLineChars="200"/>
        <w:rPr>
          <w:rStyle w:val="8"/>
          <w:rFonts w:ascii="仿宋" w:hAnsi="仿宋" w:eastAsia="仿宋" w:cs="仿宋"/>
          <w:bCs/>
          <w:color w:val="000000"/>
          <w:sz w:val="32"/>
          <w:szCs w:val="32"/>
        </w:rPr>
      </w:pPr>
      <w:r>
        <w:rPr>
          <w:rStyle w:val="8"/>
          <w:rFonts w:ascii="仿宋" w:hAnsi="仿宋" w:eastAsia="仿宋" w:cs="仿宋"/>
          <w:bCs/>
          <w:color w:val="000000"/>
          <w:sz w:val="32"/>
          <w:szCs w:val="32"/>
        </w:rPr>
        <w:t>节能环保支出：</w:t>
      </w:r>
    </w:p>
    <w:p>
      <w:pPr>
        <w:pStyle w:val="4"/>
        <w:spacing w:line="578" w:lineRule="exact"/>
        <w:ind w:firstLine="642" w:firstLineChars="200"/>
        <w:rPr>
          <w:rStyle w:val="8"/>
          <w:rFonts w:ascii="仿宋" w:hAnsi="仿宋" w:eastAsia="仿宋" w:cs="仿宋"/>
          <w:color w:val="000000"/>
          <w:sz w:val="32"/>
          <w:szCs w:val="32"/>
        </w:rPr>
      </w:pPr>
      <w:r>
        <w:rPr>
          <w:rStyle w:val="8"/>
          <w:rFonts w:ascii="仿宋" w:hAnsi="仿宋" w:eastAsia="仿宋" w:cs="仿宋"/>
          <w:bCs/>
          <w:color w:val="000000"/>
          <w:sz w:val="32"/>
          <w:szCs w:val="32"/>
        </w:rPr>
        <w:t>2110302节能环保支出（类）污染防治（款）水体（项）</w:t>
      </w:r>
      <w:r>
        <w:rPr>
          <w:rStyle w:val="8"/>
          <w:rFonts w:ascii="仿宋" w:hAnsi="仿宋" w:eastAsia="仿宋" w:cs="仿宋"/>
          <w:b w:val="0"/>
          <w:color w:val="000000"/>
          <w:sz w:val="32"/>
          <w:szCs w:val="32"/>
        </w:rPr>
        <w:t>支出决算为9万元，完成预算100%，</w:t>
      </w:r>
      <w:r>
        <w:rPr>
          <w:rStyle w:val="8"/>
          <w:rFonts w:ascii="仿宋" w:hAnsi="仿宋" w:eastAsia="仿宋" w:cs="仿宋"/>
          <w:b w:val="0"/>
          <w:bCs/>
          <w:color w:val="000000"/>
          <w:sz w:val="32"/>
          <w:szCs w:val="32"/>
        </w:rPr>
        <w:t>决算数等于预算数。</w:t>
      </w:r>
    </w:p>
    <w:p>
      <w:pPr>
        <w:pStyle w:val="4"/>
        <w:spacing w:line="578" w:lineRule="exact"/>
        <w:ind w:firstLine="642" w:firstLineChars="200"/>
        <w:rPr>
          <w:rStyle w:val="8"/>
          <w:rFonts w:ascii="仿宋" w:hAnsi="仿宋" w:eastAsia="仿宋" w:cs="仿宋"/>
          <w:color w:val="000000"/>
          <w:sz w:val="32"/>
          <w:szCs w:val="32"/>
        </w:rPr>
      </w:pPr>
      <w:r>
        <w:rPr>
          <w:rStyle w:val="8"/>
          <w:rFonts w:ascii="仿宋" w:hAnsi="仿宋" w:eastAsia="仿宋" w:cs="仿宋"/>
          <w:color w:val="000000"/>
          <w:sz w:val="32"/>
          <w:szCs w:val="32"/>
        </w:rPr>
        <w:t>6.城乡社区支出：</w:t>
      </w:r>
    </w:p>
    <w:p>
      <w:pPr>
        <w:pStyle w:val="4"/>
        <w:spacing w:line="578" w:lineRule="exact"/>
        <w:ind w:firstLine="642" w:firstLineChars="200"/>
        <w:rPr>
          <w:rStyle w:val="8"/>
          <w:rFonts w:ascii="仿宋" w:hAnsi="仿宋" w:eastAsia="仿宋" w:cs="仿宋"/>
          <w:b w:val="0"/>
          <w:bCs/>
          <w:color w:val="000000"/>
          <w:sz w:val="32"/>
          <w:szCs w:val="32"/>
        </w:rPr>
      </w:pPr>
      <w:r>
        <w:rPr>
          <w:rFonts w:ascii="仿宋" w:hAnsi="仿宋" w:eastAsia="仿宋" w:cs="仿宋"/>
          <w:b/>
          <w:bCs/>
          <w:sz w:val="32"/>
          <w:szCs w:val="32"/>
        </w:rPr>
        <w:t>2120303</w:t>
      </w:r>
      <w:r>
        <w:rPr>
          <w:rStyle w:val="8"/>
          <w:rFonts w:ascii="仿宋" w:hAnsi="仿宋" w:eastAsia="仿宋" w:cs="仿宋"/>
          <w:bCs/>
          <w:color w:val="000000"/>
          <w:sz w:val="32"/>
          <w:szCs w:val="32"/>
        </w:rPr>
        <w:t>城乡社区支出（类）城乡公共设施（款）小城镇基础设施建设（项）</w:t>
      </w:r>
      <w:r>
        <w:rPr>
          <w:rStyle w:val="8"/>
          <w:rFonts w:ascii="仿宋" w:hAnsi="仿宋" w:eastAsia="仿宋" w:cs="仿宋"/>
          <w:b w:val="0"/>
          <w:color w:val="000000"/>
          <w:sz w:val="32"/>
          <w:szCs w:val="32"/>
        </w:rPr>
        <w:t>支出决算为9万元，完成预算100%，</w:t>
      </w:r>
      <w:r>
        <w:rPr>
          <w:rStyle w:val="8"/>
          <w:rFonts w:ascii="仿宋" w:hAnsi="仿宋" w:eastAsia="仿宋" w:cs="仿宋"/>
          <w:b w:val="0"/>
          <w:bCs/>
          <w:color w:val="000000"/>
          <w:sz w:val="32"/>
          <w:szCs w:val="32"/>
        </w:rPr>
        <w:t xml:space="preserve">决算数等于预算数。                                      </w:t>
      </w:r>
    </w:p>
    <w:p>
      <w:pPr>
        <w:pStyle w:val="4"/>
        <w:spacing w:line="578"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2129901城乡社区支出（类）其他城乡社区支出（款）其他城乡社区支出（项）</w:t>
      </w:r>
      <w:r>
        <w:rPr>
          <w:rStyle w:val="8"/>
          <w:rFonts w:ascii="仿宋" w:hAnsi="仿宋" w:eastAsia="仿宋" w:cs="仿宋"/>
          <w:b w:val="0"/>
          <w:color w:val="000000"/>
          <w:sz w:val="32"/>
          <w:szCs w:val="32"/>
        </w:rPr>
        <w:t>支出决算为25.17万元，完成预算100%，</w:t>
      </w:r>
      <w:r>
        <w:rPr>
          <w:rStyle w:val="8"/>
          <w:rFonts w:ascii="仿宋" w:hAnsi="仿宋" w:eastAsia="仿宋" w:cs="仿宋"/>
          <w:b w:val="0"/>
          <w:bCs/>
          <w:color w:val="000000"/>
          <w:sz w:val="32"/>
          <w:szCs w:val="32"/>
        </w:rPr>
        <w:t xml:space="preserve">决算数等于预算数。                            </w:t>
      </w:r>
    </w:p>
    <w:p>
      <w:pPr>
        <w:pStyle w:val="4"/>
        <w:spacing w:line="600" w:lineRule="exact"/>
        <w:ind w:firstLine="642" w:firstLineChars="200"/>
        <w:rPr>
          <w:rStyle w:val="8"/>
          <w:rFonts w:ascii="仿宋" w:hAnsi="仿宋" w:eastAsia="仿宋" w:cs="仿宋"/>
          <w:bCs/>
          <w:color w:val="000000"/>
          <w:sz w:val="32"/>
          <w:szCs w:val="32"/>
        </w:rPr>
      </w:pPr>
      <w:r>
        <w:rPr>
          <w:rStyle w:val="8"/>
          <w:rFonts w:ascii="仿宋" w:hAnsi="仿宋" w:eastAsia="仿宋" w:cs="仿宋"/>
          <w:color w:val="000000"/>
          <w:sz w:val="32"/>
          <w:szCs w:val="32"/>
        </w:rPr>
        <w:t>6.农林水支出：</w:t>
      </w:r>
    </w:p>
    <w:p>
      <w:pPr>
        <w:pStyle w:val="4"/>
        <w:spacing w:line="578"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2130104农林水支出（类）农业（款）事业运行（项）</w:t>
      </w:r>
      <w:r>
        <w:rPr>
          <w:rStyle w:val="8"/>
          <w:rFonts w:ascii="仿宋" w:hAnsi="仿宋" w:eastAsia="仿宋" w:cs="仿宋"/>
          <w:b w:val="0"/>
          <w:color w:val="000000"/>
          <w:sz w:val="32"/>
          <w:szCs w:val="32"/>
        </w:rPr>
        <w:t>支出决算为309.79万元，完成预算100%，</w:t>
      </w:r>
      <w:r>
        <w:rPr>
          <w:rStyle w:val="8"/>
          <w:rFonts w:ascii="仿宋" w:hAnsi="仿宋" w:eastAsia="仿宋" w:cs="仿宋"/>
          <w:b w:val="0"/>
          <w:bCs/>
          <w:color w:val="000000"/>
          <w:sz w:val="32"/>
          <w:szCs w:val="32"/>
        </w:rPr>
        <w:t xml:space="preserve">决算数等于预算数。                            </w:t>
      </w:r>
    </w:p>
    <w:p>
      <w:pPr>
        <w:pStyle w:val="4"/>
        <w:spacing w:line="600"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2130142 农林水支出（类）农业（款）农村道路建设（项）</w:t>
      </w:r>
      <w:r>
        <w:rPr>
          <w:rStyle w:val="8"/>
          <w:rFonts w:ascii="仿宋" w:hAnsi="仿宋" w:eastAsia="仿宋" w:cs="仿宋"/>
          <w:b w:val="0"/>
          <w:color w:val="000000"/>
          <w:sz w:val="32"/>
          <w:szCs w:val="32"/>
        </w:rPr>
        <w:t>支出决算为195万元，完成预算100%，</w:t>
      </w:r>
      <w:r>
        <w:rPr>
          <w:rStyle w:val="8"/>
          <w:rFonts w:ascii="仿宋" w:hAnsi="仿宋" w:eastAsia="仿宋" w:cs="仿宋"/>
          <w:b w:val="0"/>
          <w:bCs/>
          <w:color w:val="000000"/>
          <w:sz w:val="32"/>
          <w:szCs w:val="32"/>
        </w:rPr>
        <w:t>决算数等于预算数。</w:t>
      </w:r>
    </w:p>
    <w:p>
      <w:pPr>
        <w:pStyle w:val="2"/>
      </w:pPr>
      <w:r>
        <w:rPr>
          <w:rStyle w:val="8"/>
          <w:rFonts w:ascii="仿宋" w:hAnsi="仿宋" w:eastAsia="仿宋" w:cs="仿宋"/>
          <w:bCs/>
          <w:color w:val="000000"/>
          <w:sz w:val="32"/>
          <w:szCs w:val="32"/>
        </w:rPr>
        <w:t>2130504农林水支出（类）扶贫（款）农村基础设施建设（项）</w:t>
      </w:r>
      <w:r>
        <w:rPr>
          <w:rStyle w:val="8"/>
          <w:rFonts w:ascii="仿宋" w:hAnsi="仿宋" w:eastAsia="仿宋" w:cs="仿宋"/>
          <w:b w:val="0"/>
          <w:color w:val="000000"/>
          <w:sz w:val="32"/>
          <w:szCs w:val="32"/>
        </w:rPr>
        <w:t>支出决算为3.5万元，完成预算100%，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2130701 农林水支出（类）农村综合改革（款）对村级一事一议的补助（项）</w:t>
      </w:r>
      <w:r>
        <w:rPr>
          <w:rStyle w:val="8"/>
          <w:rFonts w:ascii="仿宋" w:hAnsi="仿宋" w:eastAsia="仿宋" w:cs="仿宋"/>
          <w:b w:val="0"/>
          <w:color w:val="000000"/>
          <w:sz w:val="32"/>
          <w:szCs w:val="32"/>
        </w:rPr>
        <w:t>支出决算为36万元，完成预算100%，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2130705农林水支出（类）农村综合改革（款）对村民委员会和村党支部的补助（项）</w:t>
      </w:r>
      <w:r>
        <w:rPr>
          <w:rStyle w:val="8"/>
          <w:rFonts w:ascii="仿宋" w:hAnsi="仿宋" w:eastAsia="仿宋" w:cs="仿宋"/>
          <w:b w:val="0"/>
          <w:color w:val="000000"/>
          <w:sz w:val="32"/>
          <w:szCs w:val="32"/>
        </w:rPr>
        <w:t>支出决算为495.88万元，完成预算100%，</w:t>
      </w:r>
      <w:r>
        <w:rPr>
          <w:rStyle w:val="8"/>
          <w:rFonts w:ascii="仿宋" w:hAnsi="仿宋" w:eastAsia="仿宋" w:cs="仿宋"/>
          <w:b w:val="0"/>
          <w:bCs/>
          <w:color w:val="000000"/>
          <w:sz w:val="32"/>
          <w:szCs w:val="32"/>
        </w:rPr>
        <w:t>决算数等于预算数。</w:t>
      </w:r>
    </w:p>
    <w:p>
      <w:pPr>
        <w:pStyle w:val="4"/>
        <w:spacing w:line="600"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 xml:space="preserve"> 2139999农林水支出（类）其他农林水支出（款）其他农林水支出（项）</w:t>
      </w:r>
      <w:r>
        <w:rPr>
          <w:rStyle w:val="8"/>
          <w:rFonts w:ascii="仿宋" w:hAnsi="仿宋" w:eastAsia="仿宋" w:cs="仿宋"/>
          <w:b w:val="0"/>
          <w:color w:val="000000"/>
          <w:sz w:val="32"/>
          <w:szCs w:val="32"/>
        </w:rPr>
        <w:t>支出决算为6万元，完成预算100%，</w:t>
      </w:r>
      <w:r>
        <w:rPr>
          <w:rStyle w:val="8"/>
          <w:rFonts w:ascii="仿宋" w:hAnsi="仿宋" w:eastAsia="仿宋" w:cs="仿宋"/>
          <w:b w:val="0"/>
          <w:bCs/>
          <w:color w:val="000000"/>
          <w:sz w:val="32"/>
          <w:szCs w:val="32"/>
        </w:rPr>
        <w:t>决算数等于预算数。</w:t>
      </w:r>
    </w:p>
    <w:p>
      <w:pPr>
        <w:pStyle w:val="4"/>
        <w:numPr>
          <w:ilvl w:val="0"/>
          <w:numId w:val="3"/>
        </w:numPr>
        <w:spacing w:line="600" w:lineRule="exact"/>
        <w:ind w:firstLine="643"/>
        <w:rPr>
          <w:rStyle w:val="8"/>
          <w:rFonts w:ascii="仿宋" w:hAnsi="仿宋" w:eastAsia="仿宋" w:cs="仿宋"/>
          <w:bCs/>
          <w:color w:val="000000"/>
          <w:sz w:val="32"/>
          <w:szCs w:val="32"/>
        </w:rPr>
      </w:pPr>
      <w:r>
        <w:rPr>
          <w:rStyle w:val="8"/>
          <w:rFonts w:ascii="仿宋" w:hAnsi="仿宋" w:eastAsia="仿宋" w:cs="仿宋"/>
          <w:bCs/>
          <w:color w:val="000000"/>
          <w:sz w:val="32"/>
          <w:szCs w:val="32"/>
        </w:rPr>
        <w:t>交通运输支出：</w:t>
      </w:r>
    </w:p>
    <w:p>
      <w:pPr>
        <w:pStyle w:val="4"/>
        <w:spacing w:line="600" w:lineRule="exact"/>
        <w:ind w:firstLine="642" w:firstLineChars="200"/>
        <w:rPr>
          <w:rStyle w:val="8"/>
          <w:rFonts w:ascii="仿宋" w:hAnsi="仿宋" w:eastAsia="仿宋" w:cs="仿宋"/>
          <w:bCs/>
          <w:color w:val="000000"/>
          <w:sz w:val="32"/>
          <w:szCs w:val="32"/>
        </w:rPr>
      </w:pPr>
      <w:r>
        <w:rPr>
          <w:rStyle w:val="8"/>
          <w:rFonts w:ascii="仿宋" w:hAnsi="仿宋" w:eastAsia="仿宋" w:cs="仿宋"/>
          <w:bCs/>
          <w:color w:val="000000"/>
          <w:sz w:val="32"/>
          <w:szCs w:val="32"/>
        </w:rPr>
        <w:t>2140199交通运输支出（类）公路水路运输（款）其他公路水路运输支出（项）</w:t>
      </w:r>
      <w:r>
        <w:rPr>
          <w:rStyle w:val="8"/>
          <w:rFonts w:ascii="仿宋" w:hAnsi="仿宋" w:eastAsia="仿宋" w:cs="仿宋"/>
          <w:b w:val="0"/>
          <w:color w:val="000000"/>
          <w:sz w:val="32"/>
          <w:szCs w:val="32"/>
        </w:rPr>
        <w:t>支出决算为</w:t>
      </w:r>
      <w:r>
        <w:rPr>
          <w:rStyle w:val="8"/>
          <w:rFonts w:ascii="仿宋" w:hAnsi="仿宋" w:eastAsia="仿宋" w:cs="仿宋"/>
          <w:b w:val="0"/>
          <w:color w:val="auto"/>
          <w:sz w:val="32"/>
          <w:szCs w:val="32"/>
        </w:rPr>
        <w:t>7</w:t>
      </w:r>
      <w:r>
        <w:rPr>
          <w:rStyle w:val="8"/>
          <w:rFonts w:ascii="仿宋" w:hAnsi="仿宋" w:eastAsia="仿宋" w:cs="仿宋"/>
          <w:b w:val="0"/>
          <w:color w:val="000000"/>
          <w:sz w:val="32"/>
          <w:szCs w:val="32"/>
        </w:rPr>
        <w:t>万元，完成预算100%，</w:t>
      </w:r>
      <w:r>
        <w:rPr>
          <w:rStyle w:val="8"/>
          <w:rFonts w:ascii="仿宋" w:hAnsi="仿宋" w:eastAsia="仿宋" w:cs="仿宋"/>
          <w:b w:val="0"/>
          <w:bCs/>
          <w:color w:val="000000"/>
          <w:sz w:val="32"/>
          <w:szCs w:val="32"/>
        </w:rPr>
        <w:t>决算数等于预算数。</w:t>
      </w:r>
    </w:p>
    <w:p>
      <w:pPr>
        <w:pStyle w:val="4"/>
        <w:spacing w:line="578" w:lineRule="exact"/>
        <w:ind w:firstLine="642" w:firstLineChars="200"/>
        <w:rPr>
          <w:rFonts w:ascii="仿宋" w:hAnsi="仿宋" w:eastAsia="仿宋" w:cs="仿宋"/>
          <w:b/>
          <w:bCs/>
          <w:sz w:val="32"/>
          <w:szCs w:val="32"/>
        </w:rPr>
      </w:pPr>
      <w:r>
        <w:rPr>
          <w:rStyle w:val="8"/>
          <w:rFonts w:ascii="仿宋" w:hAnsi="仿宋" w:eastAsia="仿宋" w:cs="仿宋"/>
          <w:bCs/>
          <w:color w:val="000000"/>
          <w:sz w:val="32"/>
          <w:szCs w:val="32"/>
        </w:rPr>
        <w:t>8、住房保障支出</w:t>
      </w:r>
    </w:p>
    <w:p>
      <w:pPr>
        <w:pStyle w:val="4"/>
        <w:spacing w:line="600" w:lineRule="exact"/>
        <w:ind w:firstLine="642" w:firstLineChars="200"/>
        <w:rPr>
          <w:rStyle w:val="8"/>
          <w:rFonts w:ascii="仿宋" w:hAnsi="仿宋" w:eastAsia="仿宋" w:cs="仿宋"/>
          <w:b w:val="0"/>
          <w:bCs/>
          <w:color w:val="000000"/>
          <w:sz w:val="32"/>
          <w:szCs w:val="32"/>
        </w:rPr>
      </w:pPr>
      <w:r>
        <w:rPr>
          <w:rStyle w:val="8"/>
          <w:rFonts w:ascii="仿宋" w:hAnsi="仿宋" w:eastAsia="仿宋" w:cs="仿宋"/>
          <w:bCs/>
          <w:color w:val="000000"/>
          <w:sz w:val="32"/>
          <w:szCs w:val="32"/>
        </w:rPr>
        <w:t>2210201住房保障支出（类）住房改革支出（款）住房公积金（项）</w:t>
      </w:r>
      <w:r>
        <w:rPr>
          <w:rStyle w:val="8"/>
          <w:rFonts w:ascii="仿宋" w:hAnsi="仿宋" w:eastAsia="仿宋" w:cs="仿宋"/>
          <w:b w:val="0"/>
          <w:color w:val="000000"/>
          <w:sz w:val="32"/>
          <w:szCs w:val="32"/>
        </w:rPr>
        <w:t>支出</w:t>
      </w:r>
      <w:r>
        <w:rPr>
          <w:rFonts w:ascii="仿宋" w:hAnsi="仿宋" w:eastAsia="仿宋" w:cs="仿宋"/>
          <w:sz w:val="32"/>
          <w:szCs w:val="32"/>
        </w:rPr>
        <w:t>决算数49万元，</w:t>
      </w:r>
      <w:r>
        <w:rPr>
          <w:rStyle w:val="8"/>
          <w:rFonts w:ascii="仿宋" w:hAnsi="仿宋" w:eastAsia="仿宋" w:cs="仿宋"/>
          <w:b w:val="0"/>
          <w:color w:val="000000"/>
          <w:sz w:val="32"/>
          <w:szCs w:val="32"/>
        </w:rPr>
        <w:t>完成预算100%，</w:t>
      </w:r>
      <w:r>
        <w:rPr>
          <w:rStyle w:val="8"/>
          <w:rFonts w:ascii="仿宋" w:hAnsi="仿宋" w:eastAsia="仿宋" w:cs="仿宋"/>
          <w:b w:val="0"/>
          <w:bCs/>
          <w:color w:val="000000"/>
          <w:sz w:val="32"/>
          <w:szCs w:val="32"/>
        </w:rPr>
        <w:t>决算数等于预算数。</w:t>
      </w:r>
    </w:p>
    <w:p>
      <w:pPr>
        <w:pStyle w:val="2"/>
        <w:ind w:left="630" w:leftChars="0"/>
        <w:rPr>
          <w:rStyle w:val="8"/>
          <w:rFonts w:ascii="仿宋" w:hAnsi="仿宋" w:eastAsia="仿宋" w:cs="仿宋"/>
          <w:b w:val="0"/>
          <w:bCs/>
          <w:color w:val="000000"/>
          <w:sz w:val="32"/>
          <w:szCs w:val="32"/>
        </w:rPr>
      </w:pPr>
      <w:r>
        <w:rPr>
          <w:rStyle w:val="8"/>
          <w:rFonts w:ascii="仿宋" w:hAnsi="仿宋" w:eastAsia="仿宋" w:cs="仿宋"/>
          <w:b w:val="0"/>
          <w:bCs/>
          <w:color w:val="000000"/>
          <w:sz w:val="32"/>
          <w:szCs w:val="32"/>
        </w:rPr>
        <w:t>9、其他支出：</w:t>
      </w:r>
    </w:p>
    <w:p>
      <w:pPr>
        <w:pStyle w:val="4"/>
        <w:spacing w:line="600" w:lineRule="exact"/>
        <w:ind w:firstLine="640" w:firstLineChars="200"/>
        <w:rPr>
          <w:rStyle w:val="8"/>
          <w:rFonts w:ascii="仿宋" w:hAnsi="仿宋" w:eastAsia="仿宋" w:cs="仿宋"/>
          <w:b w:val="0"/>
          <w:bCs/>
          <w:color w:val="000000"/>
          <w:sz w:val="32"/>
          <w:szCs w:val="32"/>
        </w:rPr>
      </w:pPr>
      <w:bookmarkStart w:id="40" w:name="_Toc15377214"/>
      <w:bookmarkStart w:id="41" w:name="_Toc15396608"/>
      <w:r>
        <w:rPr>
          <w:rStyle w:val="8"/>
          <w:rFonts w:ascii="仿宋" w:hAnsi="仿宋" w:eastAsia="仿宋" w:cs="仿宋"/>
          <w:b w:val="0"/>
          <w:bCs/>
          <w:color w:val="000000"/>
          <w:sz w:val="32"/>
          <w:szCs w:val="32"/>
        </w:rPr>
        <w:t>2299901</w:t>
      </w:r>
      <w:r>
        <w:rPr>
          <w:rStyle w:val="8"/>
          <w:rFonts w:ascii="仿宋" w:hAnsi="仿宋" w:eastAsia="仿宋" w:cs="仿宋"/>
          <w:bCs/>
          <w:color w:val="000000"/>
          <w:sz w:val="32"/>
          <w:szCs w:val="32"/>
        </w:rPr>
        <w:t>其他支出（类）其他支出（款）其他支出（项）</w:t>
      </w:r>
      <w:r>
        <w:rPr>
          <w:rStyle w:val="8"/>
          <w:rFonts w:ascii="仿宋" w:hAnsi="仿宋" w:eastAsia="仿宋" w:cs="仿宋"/>
          <w:b w:val="0"/>
          <w:color w:val="000000"/>
          <w:sz w:val="32"/>
          <w:szCs w:val="32"/>
        </w:rPr>
        <w:t>支出</w:t>
      </w:r>
      <w:r>
        <w:rPr>
          <w:rFonts w:ascii="仿宋" w:hAnsi="仿宋" w:eastAsia="仿宋" w:cs="仿宋"/>
          <w:sz w:val="32"/>
          <w:szCs w:val="32"/>
        </w:rPr>
        <w:t>决算数114万元，</w:t>
      </w:r>
      <w:r>
        <w:rPr>
          <w:rStyle w:val="8"/>
          <w:rFonts w:ascii="仿宋" w:hAnsi="仿宋" w:eastAsia="仿宋" w:cs="仿宋"/>
          <w:b w:val="0"/>
          <w:color w:val="000000"/>
          <w:sz w:val="32"/>
          <w:szCs w:val="32"/>
        </w:rPr>
        <w:t>完成预算100%，</w:t>
      </w:r>
      <w:r>
        <w:rPr>
          <w:rStyle w:val="8"/>
          <w:rFonts w:ascii="仿宋" w:hAnsi="仿宋" w:eastAsia="仿宋" w:cs="仿宋"/>
          <w:b w:val="0"/>
          <w:bCs/>
          <w:color w:val="000000"/>
          <w:sz w:val="32"/>
          <w:szCs w:val="32"/>
        </w:rPr>
        <w:t>决算数等于预算数。</w:t>
      </w:r>
    </w:p>
    <w:p>
      <w:pPr>
        <w:pStyle w:val="4"/>
        <w:numPr>
          <w:ilvl w:val="0"/>
          <w:numId w:val="0"/>
        </w:numPr>
        <w:tabs>
          <w:tab w:val="right" w:pos="8306"/>
        </w:tabs>
        <w:spacing w:line="540" w:lineRule="exact"/>
        <w:ind w:firstLine="640" w:firstLineChars="200"/>
        <w:outlineLvl w:val="1"/>
        <w:rPr>
          <w:rStyle w:val="8"/>
          <w:rFonts w:ascii="仿宋" w:hAnsi="仿宋" w:eastAsia="仿宋" w:cs="仿宋"/>
          <w:b w:val="0"/>
          <w:bCs/>
          <w:color w:val="000000"/>
          <w:sz w:val="32"/>
          <w:szCs w:val="32"/>
        </w:rPr>
      </w:pPr>
    </w:p>
    <w:p>
      <w:pPr>
        <w:pStyle w:val="4"/>
        <w:numPr>
          <w:ilvl w:val="0"/>
          <w:numId w:val="0"/>
        </w:numPr>
        <w:tabs>
          <w:tab w:val="right" w:pos="8306"/>
        </w:tabs>
        <w:spacing w:line="540" w:lineRule="exact"/>
        <w:ind w:firstLine="640" w:firstLineChars="200"/>
        <w:outlineLvl w:val="1"/>
        <w:rPr>
          <w:rStyle w:val="10"/>
          <w:rFonts w:ascii="方正黑体_GBK" w:hAnsi="方正黑体_GBK" w:eastAsia="方正黑体_GBK"/>
          <w:color w:val="000000"/>
        </w:rPr>
      </w:pPr>
      <w:r>
        <w:rPr>
          <w:rFonts w:ascii="方正黑体_GBK" w:hAnsi="方正黑体_GBK" w:eastAsia="方正黑体_GBK"/>
          <w:color w:val="000000"/>
          <w:sz w:val="32"/>
          <w:szCs w:val="32"/>
        </w:rPr>
        <w:t>六</w:t>
      </w:r>
      <w:r>
        <w:rPr>
          <w:rFonts w:ascii="方正黑体_GBK" w:hAnsi="方正黑体_GBK" w:eastAsia="方正黑体_GBK"/>
          <w:b/>
          <w:color w:val="000000"/>
          <w:sz w:val="32"/>
          <w:szCs w:val="32"/>
        </w:rPr>
        <w:t>、一</w:t>
      </w:r>
      <w:r>
        <w:rPr>
          <w:rStyle w:val="10"/>
          <w:rFonts w:ascii="方正黑体_GBK" w:hAnsi="方正黑体_GBK" w:eastAsia="方正黑体_GBK"/>
          <w:b w:val="0"/>
          <w:color w:val="000000"/>
        </w:rPr>
        <w:t>般公共预算财政拨款基本支出决算情况说明</w:t>
      </w:r>
      <w:bookmarkEnd w:id="40"/>
      <w:bookmarkEnd w:id="41"/>
    </w:p>
    <w:p>
      <w:pPr>
        <w:pStyle w:val="4"/>
        <w:spacing w:line="540" w:lineRule="exact"/>
        <w:ind w:firstLine="645"/>
        <w:rPr>
          <w:rFonts w:ascii="仿宋" w:hAnsi="仿宋" w:eastAsia="仿宋" w:cs="仿宋"/>
          <w:color w:val="000000"/>
          <w:sz w:val="32"/>
          <w:szCs w:val="32"/>
        </w:rPr>
      </w:pPr>
      <w:r>
        <w:rPr>
          <w:rFonts w:ascii="仿宋" w:hAnsi="仿宋" w:eastAsia="仿宋" w:cs="仿宋"/>
          <w:color w:val="000000"/>
          <w:sz w:val="32"/>
          <w:szCs w:val="32"/>
        </w:rPr>
        <w:t>2020年一般公共预算财政拨款基本支出</w:t>
      </w:r>
      <w:r>
        <w:rPr>
          <w:rFonts w:ascii="仿宋" w:hAnsi="仿宋" w:eastAsia="仿宋" w:cs="仿宋"/>
          <w:color w:val="auto"/>
          <w:sz w:val="32"/>
          <w:szCs w:val="32"/>
        </w:rPr>
        <w:t>1157.12</w:t>
      </w:r>
      <w:r>
        <w:rPr>
          <w:rFonts w:ascii="仿宋" w:hAnsi="仿宋" w:eastAsia="仿宋" w:cs="仿宋"/>
          <w:color w:val="000000"/>
          <w:sz w:val="32"/>
          <w:szCs w:val="32"/>
        </w:rPr>
        <w:t>万元，其中：</w:t>
      </w:r>
    </w:p>
    <w:p>
      <w:pPr>
        <w:pStyle w:val="4"/>
        <w:spacing w:line="540" w:lineRule="exact"/>
        <w:ind w:firstLine="645"/>
        <w:rPr>
          <w:rFonts w:ascii="仿宋" w:hAnsi="仿宋" w:eastAsia="仿宋" w:cs="仿宋"/>
          <w:color w:val="000000"/>
          <w:sz w:val="32"/>
          <w:szCs w:val="32"/>
        </w:rPr>
      </w:pPr>
      <w:r>
        <w:rPr>
          <w:rFonts w:ascii="仿宋" w:hAnsi="仿宋" w:eastAsia="仿宋" w:cs="仿宋"/>
          <w:color w:val="000000"/>
          <w:sz w:val="32"/>
          <w:szCs w:val="32"/>
        </w:rPr>
        <w:t>人员经费908.5</w:t>
      </w:r>
      <w:r>
        <w:rPr>
          <w:rFonts w:ascii="仿宋" w:hAnsi="仿宋" w:eastAsia="仿宋" w:cs="仿宋"/>
          <w:color w:val="auto"/>
          <w:sz w:val="32"/>
          <w:szCs w:val="32"/>
        </w:rPr>
        <w:t>5</w:t>
      </w:r>
      <w:r>
        <w:rPr>
          <w:rFonts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Style w:val="4"/>
        <w:spacing w:line="540" w:lineRule="exact"/>
        <w:ind w:firstLine="645"/>
        <w:rPr>
          <w:rFonts w:ascii="仿宋" w:hAnsi="仿宋" w:eastAsia="仿宋" w:cs="仿宋"/>
          <w:color w:val="000000"/>
          <w:sz w:val="32"/>
          <w:szCs w:val="32"/>
        </w:rPr>
      </w:pPr>
      <w:r>
        <w:rPr>
          <w:rFonts w:ascii="仿宋" w:hAnsi="仿宋" w:eastAsia="仿宋" w:cs="仿宋"/>
          <w:color w:val="000000"/>
          <w:sz w:val="32"/>
          <w:szCs w:val="32"/>
        </w:rPr>
        <w:t>日常公用经费248.57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4"/>
        <w:numPr>
          <w:ilvl w:val="0"/>
          <w:numId w:val="0"/>
        </w:numPr>
        <w:tabs>
          <w:tab w:val="right" w:pos="8306"/>
        </w:tabs>
        <w:spacing w:line="540" w:lineRule="exact"/>
        <w:ind w:firstLine="640"/>
        <w:outlineLvl w:val="1"/>
        <w:rPr>
          <w:rFonts w:ascii="方正黑体_GBK" w:hAnsi="方正黑体_GBK" w:eastAsia="方正黑体_GBK"/>
          <w:bCs/>
          <w:sz w:val="32"/>
          <w:szCs w:val="32"/>
        </w:rPr>
      </w:pPr>
      <w:bookmarkStart w:id="42" w:name="_Toc15396609"/>
      <w:bookmarkStart w:id="43" w:name="_Toc15377215"/>
      <w:r>
        <w:rPr>
          <w:rFonts w:ascii="方正黑体_GBK" w:hAnsi="方正黑体_GBK" w:eastAsia="方正黑体_GBK"/>
          <w:color w:val="000000"/>
          <w:sz w:val="32"/>
          <w:szCs w:val="32"/>
        </w:rPr>
        <w:t>七、</w:t>
      </w:r>
      <w:r>
        <w:rPr>
          <w:rFonts w:ascii="方正黑体_GBK" w:hAnsi="方正黑体_GBK" w:eastAsia="方正黑体_GBK"/>
          <w:b/>
          <w:bCs/>
          <w:sz w:val="32"/>
          <w:szCs w:val="32"/>
        </w:rPr>
        <w:t>“</w:t>
      </w:r>
      <w:r>
        <w:rPr>
          <w:rFonts w:ascii="方正黑体_GBK" w:hAnsi="方正黑体_GBK" w:eastAsia="方正黑体_GBK"/>
          <w:bCs/>
          <w:sz w:val="32"/>
          <w:szCs w:val="32"/>
        </w:rPr>
        <w:t>三公”经费财政拨款支出决算情况说明</w:t>
      </w:r>
      <w:bookmarkEnd w:id="42"/>
      <w:bookmarkEnd w:id="43"/>
    </w:p>
    <w:p>
      <w:pPr>
        <w:pStyle w:val="4"/>
        <w:numPr>
          <w:ilvl w:val="0"/>
          <w:numId w:val="0"/>
        </w:numPr>
        <w:spacing w:line="540" w:lineRule="exact"/>
        <w:ind w:firstLine="642" w:firstLineChars="200"/>
        <w:outlineLvl w:val="2"/>
        <w:rPr>
          <w:rFonts w:ascii="仿宋" w:hAnsi="仿宋" w:eastAsia="仿宋" w:cs="仿宋"/>
          <w:b/>
          <w:color w:val="000000"/>
          <w:sz w:val="32"/>
          <w:szCs w:val="32"/>
        </w:rPr>
      </w:pPr>
      <w:bookmarkStart w:id="44" w:name="_Toc15377216"/>
      <w:r>
        <w:rPr>
          <w:rFonts w:ascii="仿宋" w:hAnsi="仿宋" w:eastAsia="仿宋" w:cs="仿宋"/>
          <w:b/>
          <w:color w:val="000000"/>
          <w:sz w:val="32"/>
          <w:szCs w:val="32"/>
        </w:rPr>
        <w:t>（一）“三公”经费财政拨款支出决算总体情况说明</w:t>
      </w:r>
      <w:bookmarkEnd w:id="44"/>
    </w:p>
    <w:p>
      <w:pPr>
        <w:pStyle w:val="4"/>
        <w:spacing w:line="540" w:lineRule="exact"/>
        <w:ind w:firstLine="640"/>
        <w:rPr>
          <w:rFonts w:ascii="仿宋" w:hAnsi="仿宋" w:eastAsia="仿宋" w:cs="仿宋"/>
          <w:b/>
          <w:color w:val="000000"/>
          <w:sz w:val="32"/>
          <w:szCs w:val="32"/>
        </w:rPr>
      </w:pPr>
      <w:r>
        <w:rPr>
          <w:rFonts w:ascii="仿宋" w:hAnsi="仿宋" w:eastAsia="仿宋" w:cs="仿宋"/>
          <w:color w:val="000000"/>
          <w:sz w:val="32"/>
          <w:szCs w:val="32"/>
        </w:rPr>
        <w:t>2020年“三公”经费财政拨款支出决算为16.52万元，完成预算100%，决算数与预算数一致。</w:t>
      </w:r>
    </w:p>
    <w:p>
      <w:pPr>
        <w:pStyle w:val="4"/>
        <w:numPr>
          <w:ilvl w:val="0"/>
          <w:numId w:val="0"/>
        </w:numPr>
        <w:spacing w:line="540" w:lineRule="exact"/>
        <w:ind w:firstLine="642" w:firstLineChars="200"/>
        <w:outlineLvl w:val="2"/>
        <w:rPr>
          <w:rFonts w:ascii="仿宋" w:hAnsi="仿宋" w:eastAsia="仿宋" w:cs="仿宋"/>
          <w:b/>
          <w:color w:val="000000"/>
          <w:sz w:val="32"/>
          <w:szCs w:val="32"/>
        </w:rPr>
      </w:pPr>
      <w:bookmarkStart w:id="45" w:name="_Toc15377217"/>
      <w:r>
        <w:rPr>
          <w:rFonts w:ascii="仿宋" w:hAnsi="仿宋" w:eastAsia="仿宋" w:cs="仿宋"/>
          <w:b/>
          <w:color w:val="000000"/>
          <w:sz w:val="32"/>
          <w:szCs w:val="32"/>
        </w:rPr>
        <w:t>（二）“三公”经费财政拨款支出决算具体情况说明</w:t>
      </w:r>
      <w:bookmarkEnd w:id="45"/>
    </w:p>
    <w:p>
      <w:pPr>
        <w:pStyle w:val="4"/>
        <w:spacing w:line="540" w:lineRule="exact"/>
        <w:ind w:firstLine="640"/>
        <w:rPr>
          <w:rFonts w:ascii="仿宋" w:hAnsi="仿宋" w:eastAsia="仿宋" w:cs="仿宋"/>
          <w:color w:val="000000"/>
          <w:sz w:val="32"/>
          <w:szCs w:val="32"/>
        </w:rPr>
      </w:pPr>
      <w:r>
        <w:rPr>
          <w:rFonts w:ascii="仿宋" w:hAnsi="仿宋" w:eastAsia="仿宋" w:cs="仿宋"/>
          <w:sz w:val="32"/>
          <w:szCs w:val="32"/>
        </w:rPr>
        <w:t>2020</w:t>
      </w:r>
      <w:r>
        <w:rPr>
          <w:rFonts w:ascii="仿宋" w:hAnsi="仿宋" w:eastAsia="仿宋" w:cs="仿宋"/>
          <w:color w:val="000000"/>
          <w:sz w:val="32"/>
          <w:szCs w:val="32"/>
        </w:rPr>
        <w:t>年“三公”经费财政拨款支出决算中，因公出国（境）费支出决算0万元，占0%；公务用车购置及运行维护费支出决算0万元，占0%；公务接待费支出决算16.52万元，占100%。具体情况如下：</w:t>
      </w:r>
    </w:p>
    <w:p>
      <w:pPr>
        <w:pStyle w:val="4"/>
        <w:spacing w:line="600" w:lineRule="exact"/>
        <w:ind w:firstLine="642" w:firstLineChars="200"/>
        <w:rPr>
          <w:rFonts w:ascii="仿宋" w:hAnsi="仿宋" w:eastAsia="仿宋" w:cs="仿宋"/>
          <w:color w:val="000000"/>
          <w:sz w:val="32"/>
          <w:szCs w:val="32"/>
        </w:rPr>
      </w:pPr>
      <w:r>
        <w:rPr>
          <w:rFonts w:ascii="仿宋" w:hAnsi="仿宋" w:eastAsia="仿宋" w:cs="仿宋"/>
          <w:b/>
          <w:bCs/>
          <w:color w:val="000000"/>
          <w:sz w:val="32"/>
          <w:szCs w:val="32"/>
        </w:rPr>
        <w:t>1.因公出国（境）经费</w:t>
      </w:r>
      <w:r>
        <w:rPr>
          <w:rFonts w:ascii="仿宋" w:hAnsi="仿宋" w:eastAsia="仿宋" w:cs="仿宋"/>
          <w:color w:val="000000"/>
          <w:sz w:val="32"/>
          <w:szCs w:val="32"/>
        </w:rPr>
        <w:t>支出0万元，</w:t>
      </w:r>
      <w:r>
        <w:rPr>
          <w:rStyle w:val="8"/>
          <w:rFonts w:ascii="仿宋" w:hAnsi="仿宋" w:eastAsia="仿宋" w:cs="仿宋"/>
          <w:b w:val="0"/>
          <w:color w:val="000000"/>
          <w:sz w:val="32"/>
          <w:szCs w:val="32"/>
        </w:rPr>
        <w:t>完成预算100%</w:t>
      </w:r>
      <w:r>
        <w:rPr>
          <w:rStyle w:val="8"/>
          <w:rFonts w:ascii="仿宋" w:hAnsi="仿宋" w:eastAsia="仿宋" w:cs="仿宋"/>
          <w:bCs/>
          <w:color w:val="000000"/>
          <w:sz w:val="32"/>
          <w:szCs w:val="32"/>
        </w:rPr>
        <w:t>。</w:t>
      </w:r>
      <w:r>
        <w:rPr>
          <w:rFonts w:ascii="仿宋" w:hAnsi="仿宋" w:eastAsia="仿宋" w:cs="仿宋"/>
          <w:color w:val="000000"/>
          <w:sz w:val="32"/>
          <w:szCs w:val="32"/>
        </w:rPr>
        <w:t>全年安排因公出国（境）团组0次，出国（境）0人。</w:t>
      </w:r>
    </w:p>
    <w:p>
      <w:pPr>
        <w:pStyle w:val="4"/>
        <w:spacing w:line="600" w:lineRule="exact"/>
        <w:ind w:firstLine="640"/>
        <w:rPr>
          <w:rFonts w:ascii="仿宋" w:hAnsi="仿宋" w:eastAsia="仿宋" w:cs="仿宋"/>
          <w:b/>
          <w:color w:val="000000"/>
          <w:sz w:val="32"/>
          <w:szCs w:val="32"/>
        </w:rPr>
      </w:pPr>
      <w:r>
        <w:rPr>
          <w:rFonts w:ascii="仿宋" w:hAnsi="仿宋" w:eastAsia="仿宋" w:cs="仿宋"/>
          <w:b/>
          <w:bCs/>
          <w:color w:val="000000"/>
          <w:sz w:val="32"/>
          <w:szCs w:val="32"/>
        </w:rPr>
        <w:t>2.公务用车购置及运行维护费</w:t>
      </w:r>
      <w:r>
        <w:rPr>
          <w:rFonts w:ascii="仿宋" w:hAnsi="仿宋" w:eastAsia="仿宋" w:cs="仿宋"/>
          <w:color w:val="000000"/>
          <w:sz w:val="32"/>
          <w:szCs w:val="32"/>
        </w:rPr>
        <w:t>支出0万元,</w:t>
      </w:r>
      <w:r>
        <w:rPr>
          <w:rStyle w:val="8"/>
          <w:rFonts w:ascii="仿宋" w:hAnsi="仿宋" w:eastAsia="仿宋" w:cs="仿宋"/>
          <w:b w:val="0"/>
          <w:color w:val="000000"/>
          <w:sz w:val="32"/>
          <w:szCs w:val="32"/>
        </w:rPr>
        <w:t>完成预算100%。</w:t>
      </w:r>
      <w:r>
        <w:rPr>
          <w:rStyle w:val="8"/>
          <w:rFonts w:ascii="仿宋" w:hAnsi="仿宋" w:eastAsia="仿宋" w:cs="仿宋"/>
          <w:b w:val="0"/>
          <w:bCs/>
          <w:color w:val="000000"/>
          <w:sz w:val="32"/>
          <w:szCs w:val="32"/>
        </w:rPr>
        <w:t>年初无预算</w:t>
      </w:r>
      <w:r>
        <w:rPr>
          <w:rFonts w:ascii="仿宋" w:hAnsi="仿宋" w:eastAsia="仿宋" w:cs="仿宋"/>
          <w:color w:val="000000"/>
          <w:sz w:val="32"/>
          <w:szCs w:val="32"/>
        </w:rPr>
        <w:t>公务用车购置及运行维护费。</w:t>
      </w:r>
    </w:p>
    <w:p>
      <w:pPr>
        <w:pStyle w:val="4"/>
        <w:spacing w:line="600" w:lineRule="exact"/>
        <w:ind w:firstLine="640" w:firstLineChars="200"/>
        <w:rPr>
          <w:rFonts w:ascii="仿宋" w:hAnsi="仿宋" w:eastAsia="仿宋" w:cs="仿宋"/>
          <w:b/>
          <w:color w:val="000000"/>
          <w:sz w:val="32"/>
          <w:szCs w:val="32"/>
        </w:rPr>
      </w:pPr>
      <w:r>
        <w:rPr>
          <w:rFonts w:ascii="仿宋" w:hAnsi="仿宋" w:eastAsia="仿宋" w:cs="仿宋"/>
          <w:color w:val="000000"/>
          <w:sz w:val="32"/>
          <w:szCs w:val="32"/>
        </w:rPr>
        <w:t>其中：</w:t>
      </w:r>
      <w:r>
        <w:rPr>
          <w:rFonts w:ascii="仿宋" w:hAnsi="仿宋" w:eastAsia="仿宋" w:cs="仿宋"/>
          <w:b/>
          <w:color w:val="000000"/>
          <w:sz w:val="32"/>
          <w:szCs w:val="32"/>
        </w:rPr>
        <w:t>公务用车购置支出</w:t>
      </w:r>
      <w:r>
        <w:rPr>
          <w:rFonts w:ascii="仿宋" w:hAnsi="仿宋" w:eastAsia="仿宋" w:cs="仿宋"/>
          <w:color w:val="000000"/>
          <w:sz w:val="32"/>
          <w:szCs w:val="32"/>
        </w:rPr>
        <w:t>0万元。全年按规定更新购置公务用车0辆，其中：轿车0辆、金额0万元，越野车0辆、金额0万元，载客汽车0辆、金额0万元，截至2020年12月底，单位公务用车0辆。</w:t>
      </w:r>
    </w:p>
    <w:p>
      <w:pPr>
        <w:pStyle w:val="4"/>
        <w:spacing w:line="578" w:lineRule="exact"/>
        <w:ind w:firstLine="642" w:firstLineChars="200"/>
        <w:rPr>
          <w:rFonts w:ascii="仿宋" w:hAnsi="仿宋" w:eastAsia="仿宋" w:cs="仿宋"/>
          <w:b/>
          <w:bCs/>
          <w:sz w:val="32"/>
          <w:szCs w:val="32"/>
        </w:rPr>
      </w:pPr>
      <w:r>
        <w:rPr>
          <w:rFonts w:ascii="仿宋" w:hAnsi="仿宋" w:eastAsia="仿宋" w:cs="仿宋"/>
          <w:b/>
          <w:color w:val="000000"/>
          <w:sz w:val="32"/>
          <w:szCs w:val="32"/>
        </w:rPr>
        <w:t>3.公务接待费支出</w:t>
      </w:r>
      <w:r>
        <w:rPr>
          <w:rFonts w:ascii="仿宋" w:hAnsi="仿宋" w:eastAsia="仿宋" w:cs="仿宋"/>
          <w:color w:val="000000"/>
          <w:sz w:val="32"/>
          <w:szCs w:val="32"/>
        </w:rPr>
        <w:t>16.52万元，</w:t>
      </w:r>
      <w:r>
        <w:rPr>
          <w:rStyle w:val="8"/>
          <w:rFonts w:ascii="仿宋" w:hAnsi="仿宋" w:eastAsia="仿宋" w:cs="仿宋"/>
          <w:b w:val="0"/>
          <w:bCs/>
          <w:color w:val="000000"/>
          <w:sz w:val="32"/>
          <w:szCs w:val="32"/>
        </w:rPr>
        <w:t>完成预算100%。</w:t>
      </w:r>
      <w:r>
        <w:rPr>
          <w:rFonts w:ascii="仿宋" w:hAnsi="仿宋" w:eastAsia="仿宋" w:cs="仿宋"/>
          <w:color w:val="000000"/>
          <w:sz w:val="32"/>
          <w:szCs w:val="32"/>
        </w:rPr>
        <w:t>公务接待费支出决算比2019年减少1.08万元，下降6.5%。主要原因是桥湾镇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pStyle w:val="4"/>
        <w:spacing w:line="578" w:lineRule="exact"/>
        <w:ind w:firstLine="640" w:firstLineChars="200"/>
        <w:rPr>
          <w:rFonts w:ascii="仿宋" w:hAnsi="仿宋" w:eastAsia="仿宋" w:cs="仿宋"/>
          <w:sz w:val="32"/>
          <w:szCs w:val="32"/>
        </w:rPr>
      </w:pPr>
      <w:r>
        <w:rPr>
          <w:rFonts w:ascii="仿宋" w:hAnsi="仿宋" w:eastAsia="仿宋" w:cs="仿宋"/>
          <w:sz w:val="32"/>
          <w:szCs w:val="32"/>
        </w:rPr>
        <w:t>主要用于执行公务、开展业务活动开支的交通费、住宿费、用餐费等。其中：外事接待费支出0万元。国内公务接待567批次，4232人，共计支出16.52万元，具体开支内容包括：开展工作交流，迎检，</w:t>
      </w:r>
      <w:r>
        <w:rPr>
          <w:rFonts w:ascii="仿宋" w:hAnsi="仿宋" w:eastAsia="仿宋" w:cs="仿宋"/>
          <w:color w:val="000000"/>
          <w:sz w:val="32"/>
          <w:szCs w:val="32"/>
        </w:rPr>
        <w:t>脱贫攻坚巡查，</w:t>
      </w:r>
      <w:r>
        <w:rPr>
          <w:rFonts w:ascii="仿宋" w:hAnsi="仿宋" w:eastAsia="仿宋" w:cs="仿宋"/>
          <w:sz w:val="32"/>
          <w:szCs w:val="32"/>
        </w:rPr>
        <w:t>上级工作指导等方面工作。</w:t>
      </w:r>
    </w:p>
    <w:p>
      <w:pPr>
        <w:pStyle w:val="4"/>
        <w:numPr>
          <w:ilvl w:val="0"/>
          <w:numId w:val="0"/>
        </w:numPr>
        <w:spacing w:line="600" w:lineRule="exact"/>
        <w:ind w:firstLine="640"/>
        <w:outlineLvl w:val="1"/>
        <w:rPr>
          <w:rFonts w:ascii="仿宋" w:hAnsi="仿宋" w:eastAsia="仿宋" w:cs="仿宋"/>
          <w:color w:val="000000"/>
          <w:sz w:val="32"/>
          <w:szCs w:val="32"/>
        </w:rPr>
      </w:pPr>
      <w:r>
        <w:rPr>
          <w:rFonts w:ascii="仿宋" w:hAnsi="仿宋" w:eastAsia="仿宋" w:cs="仿宋"/>
          <w:color w:val="000000"/>
          <w:sz w:val="32"/>
          <w:szCs w:val="32"/>
        </w:rPr>
        <w:t>外事接待支出0元，外事接待0批次，0人，共计支出0万元。</w:t>
      </w:r>
    </w:p>
    <w:p>
      <w:pPr>
        <w:pStyle w:val="4"/>
        <w:spacing w:line="578" w:lineRule="exact"/>
        <w:ind w:firstLine="640" w:firstLineChars="200"/>
        <w:rPr>
          <w:rFonts w:ascii="仿宋" w:hAnsi="仿宋" w:eastAsia="仿宋" w:cs="仿宋"/>
          <w:sz w:val="32"/>
          <w:szCs w:val="32"/>
        </w:rPr>
      </w:pPr>
      <w:r>
        <w:rPr>
          <w:rFonts w:ascii="仿宋" w:hAnsi="仿宋" w:eastAsia="仿宋" w:cs="仿宋"/>
          <w:color w:val="000000"/>
          <w:sz w:val="32"/>
          <w:szCs w:val="32"/>
        </w:rPr>
        <w:t>其他国内公务接待支出0万元。</w:t>
      </w:r>
    </w:p>
    <w:p>
      <w:pPr>
        <w:pStyle w:val="4"/>
        <w:numPr>
          <w:ilvl w:val="0"/>
          <w:numId w:val="0"/>
        </w:numPr>
        <w:spacing w:line="540" w:lineRule="exact"/>
        <w:ind w:firstLine="640"/>
        <w:outlineLvl w:val="1"/>
        <w:rPr>
          <w:rStyle w:val="10"/>
          <w:rFonts w:ascii="方正黑体_GBK" w:hAnsi="方正黑体_GBK" w:eastAsia="方正黑体_GBK"/>
          <w:color w:val="000000"/>
        </w:rPr>
      </w:pPr>
      <w:bookmarkStart w:id="46" w:name="_Toc15377218"/>
      <w:bookmarkStart w:id="47" w:name="_Toc15396610"/>
      <w:r>
        <w:rPr>
          <w:rFonts w:ascii="方正黑体_GBK" w:hAnsi="方正黑体_GBK" w:eastAsia="方正黑体_GBK"/>
          <w:color w:val="000000"/>
          <w:sz w:val="32"/>
          <w:szCs w:val="32"/>
        </w:rPr>
        <w:t>八、</w:t>
      </w:r>
      <w:r>
        <w:rPr>
          <w:rStyle w:val="10"/>
          <w:rFonts w:ascii="方正黑体_GBK" w:hAnsi="方正黑体_GBK" w:eastAsia="方正黑体_GBK"/>
          <w:b w:val="0"/>
          <w:color w:val="000000"/>
        </w:rPr>
        <w:t>政府性基金预算支出决算情况说明</w:t>
      </w:r>
      <w:bookmarkEnd w:id="46"/>
      <w:bookmarkEnd w:id="47"/>
    </w:p>
    <w:p>
      <w:pPr>
        <w:pStyle w:val="4"/>
        <w:spacing w:line="540" w:lineRule="exact"/>
        <w:ind w:firstLine="640"/>
        <w:rPr>
          <w:rFonts w:ascii="仿宋" w:hAnsi="仿宋" w:eastAsia="仿宋" w:cs="仿宋"/>
          <w:color w:val="000000"/>
          <w:sz w:val="32"/>
          <w:szCs w:val="32"/>
        </w:rPr>
      </w:pPr>
      <w:r>
        <w:rPr>
          <w:rFonts w:ascii="仿宋" w:hAnsi="仿宋" w:eastAsia="仿宋" w:cs="仿宋"/>
          <w:color w:val="000000"/>
          <w:sz w:val="32"/>
          <w:szCs w:val="32"/>
        </w:rPr>
        <w:t>2020年政府性基金预算拨款支出269.93万元。</w:t>
      </w:r>
    </w:p>
    <w:p>
      <w:pPr>
        <w:pStyle w:val="4"/>
        <w:numPr>
          <w:ilvl w:val="0"/>
          <w:numId w:val="0"/>
        </w:numPr>
        <w:spacing w:line="540" w:lineRule="exact"/>
        <w:ind w:firstLine="640"/>
        <w:outlineLvl w:val="1"/>
        <w:rPr>
          <w:rFonts w:ascii="方正黑体_GBK" w:hAnsi="方正黑体_GBK" w:eastAsia="方正黑体_GBK"/>
          <w:bCs/>
          <w:sz w:val="32"/>
          <w:szCs w:val="32"/>
        </w:rPr>
      </w:pPr>
      <w:bookmarkStart w:id="48" w:name="_Toc15377219"/>
      <w:bookmarkStart w:id="49" w:name="_Toc15396611"/>
      <w:r>
        <w:rPr>
          <w:rFonts w:ascii="方正黑体_GBK" w:hAnsi="方正黑体_GBK" w:eastAsia="方正黑体_GBK"/>
          <w:bCs/>
          <w:sz w:val="32"/>
          <w:szCs w:val="32"/>
        </w:rPr>
        <w:t>九、国有资本经营预算支出决算情况说明</w:t>
      </w:r>
      <w:bookmarkEnd w:id="48"/>
      <w:bookmarkEnd w:id="49"/>
    </w:p>
    <w:p>
      <w:pPr>
        <w:pStyle w:val="4"/>
        <w:spacing w:line="540" w:lineRule="exact"/>
        <w:ind w:firstLine="640"/>
        <w:rPr>
          <w:rFonts w:ascii="仿宋" w:hAnsi="仿宋" w:eastAsia="仿宋" w:cs="仿宋"/>
          <w:color w:val="000000"/>
          <w:sz w:val="32"/>
          <w:szCs w:val="32"/>
        </w:rPr>
      </w:pPr>
      <w:r>
        <w:rPr>
          <w:rFonts w:ascii="仿宋" w:hAnsi="仿宋" w:eastAsia="仿宋" w:cs="仿宋"/>
          <w:color w:val="000000"/>
          <w:sz w:val="32"/>
          <w:szCs w:val="32"/>
        </w:rPr>
        <w:t>2020年国有资本经营预算拨款支出0万元。</w:t>
      </w:r>
    </w:p>
    <w:p>
      <w:pPr>
        <w:pStyle w:val="4"/>
        <w:numPr>
          <w:ilvl w:val="0"/>
          <w:numId w:val="0"/>
        </w:numPr>
        <w:spacing w:line="540" w:lineRule="exact"/>
        <w:ind w:firstLine="640"/>
        <w:outlineLvl w:val="1"/>
        <w:rPr>
          <w:rFonts w:ascii="方正黑体_GBK" w:hAnsi="方正黑体_GBK" w:eastAsia="方正黑体_GBK"/>
          <w:b/>
          <w:bCs/>
          <w:sz w:val="32"/>
          <w:szCs w:val="32"/>
        </w:rPr>
      </w:pPr>
      <w:bookmarkStart w:id="50" w:name="_Toc15377221"/>
      <w:bookmarkStart w:id="51" w:name="_Toc15396612"/>
      <w:r>
        <w:rPr>
          <w:rFonts w:ascii="方正黑体_GBK" w:hAnsi="方正黑体_GBK" w:eastAsia="方正黑体_GBK"/>
          <w:color w:val="000000"/>
          <w:sz w:val="32"/>
          <w:szCs w:val="32"/>
        </w:rPr>
        <w:t>十</w:t>
      </w:r>
      <w:r>
        <w:rPr>
          <w:rFonts w:ascii="方正黑体_GBK" w:hAnsi="方正黑体_GBK" w:eastAsia="方正黑体_GBK"/>
          <w:b/>
          <w:bCs/>
          <w:sz w:val="32"/>
          <w:szCs w:val="32"/>
        </w:rPr>
        <w:t>、</w:t>
      </w:r>
      <w:r>
        <w:rPr>
          <w:rFonts w:ascii="方正黑体_GBK" w:hAnsi="方正黑体_GBK" w:eastAsia="方正黑体_GBK"/>
          <w:bCs/>
          <w:sz w:val="32"/>
          <w:szCs w:val="32"/>
        </w:rPr>
        <w:t>其他重要事项的情况说明</w:t>
      </w:r>
      <w:bookmarkEnd w:id="50"/>
      <w:bookmarkEnd w:id="51"/>
    </w:p>
    <w:p>
      <w:pPr>
        <w:pStyle w:val="4"/>
        <w:numPr>
          <w:ilvl w:val="0"/>
          <w:numId w:val="0"/>
        </w:numPr>
        <w:spacing w:line="540" w:lineRule="exact"/>
        <w:ind w:firstLine="642" w:firstLineChars="200"/>
        <w:outlineLvl w:val="2"/>
        <w:rPr>
          <w:rFonts w:ascii="方正楷体简体" w:hAnsi="方正楷体简体" w:eastAsia="方正楷体简体"/>
          <w:b/>
          <w:color w:val="000000"/>
          <w:sz w:val="32"/>
          <w:szCs w:val="32"/>
        </w:rPr>
      </w:pPr>
      <w:bookmarkStart w:id="52" w:name="_Toc15377222"/>
      <w:r>
        <w:rPr>
          <w:rFonts w:ascii="方正楷体简体" w:hAnsi="方正楷体简体" w:eastAsia="方正楷体简体"/>
          <w:b/>
          <w:color w:val="000000"/>
          <w:sz w:val="32"/>
          <w:szCs w:val="32"/>
        </w:rPr>
        <w:t>（一）</w:t>
      </w:r>
      <w:bookmarkEnd w:id="52"/>
      <w:bookmarkStart w:id="53" w:name="_Toc15377223"/>
      <w:r>
        <w:rPr>
          <w:rFonts w:ascii="方正楷体简体" w:hAnsi="方正楷体简体" w:eastAsia="方正楷体简体"/>
          <w:b/>
          <w:color w:val="000000"/>
          <w:sz w:val="32"/>
          <w:szCs w:val="32"/>
        </w:rPr>
        <w:t>政府采购支出情况</w:t>
      </w:r>
      <w:bookmarkEnd w:id="53"/>
    </w:p>
    <w:p>
      <w:pPr>
        <w:pStyle w:val="4"/>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2020年，桥湾镇政府采购支出总额0.82万元，其中：政府采购货物支出8.25万元、政府采购工程支出0万元、政府采购服务支出8.25万元。主要用于购买打印机、复印机、电脑、桌子、凳子等。授予中小企业合同金额0.82万元，占政府采购支出总额的100%，其中：授予小微企业合同金额0.82万元，占政府采购支出总额的100%。</w:t>
      </w:r>
    </w:p>
    <w:p>
      <w:pPr>
        <w:pStyle w:val="4"/>
        <w:numPr>
          <w:ilvl w:val="0"/>
          <w:numId w:val="0"/>
        </w:numPr>
        <w:spacing w:line="540" w:lineRule="exact"/>
        <w:ind w:firstLine="642" w:firstLineChars="200"/>
        <w:outlineLvl w:val="2"/>
        <w:rPr>
          <w:rFonts w:ascii="方正楷体简体" w:hAnsi="方正楷体简体" w:eastAsia="方正楷体简体"/>
          <w:b/>
          <w:color w:val="000000"/>
          <w:sz w:val="32"/>
          <w:szCs w:val="32"/>
        </w:rPr>
      </w:pPr>
      <w:bookmarkStart w:id="54" w:name="_Toc15377224"/>
      <w:r>
        <w:rPr>
          <w:rFonts w:ascii="方正楷体简体" w:hAnsi="方正楷体简体" w:eastAsia="方正楷体简体"/>
          <w:b/>
          <w:color w:val="000000"/>
          <w:sz w:val="32"/>
          <w:szCs w:val="32"/>
        </w:rPr>
        <w:t>（三）国有资产占有使用情况</w:t>
      </w:r>
      <w:bookmarkEnd w:id="54"/>
    </w:p>
    <w:p>
      <w:pPr>
        <w:pStyle w:val="4"/>
        <w:spacing w:line="578" w:lineRule="exact"/>
        <w:ind w:firstLine="640" w:firstLineChars="200"/>
        <w:rPr>
          <w:rFonts w:eastAsia="方正仿宋_GBK"/>
          <w:b/>
          <w:color w:val="000000"/>
          <w:sz w:val="32"/>
          <w:szCs w:val="32"/>
        </w:rPr>
      </w:pPr>
      <w:r>
        <w:rPr>
          <w:rFonts w:ascii="仿宋_GB2312" w:hAnsi="仿宋_GB2312" w:eastAsia="仿宋_GB2312"/>
          <w:color w:val="000000"/>
          <w:sz w:val="32"/>
          <w:szCs w:val="32"/>
        </w:rPr>
        <w:t>截至2020年12月31日，桥湾镇共有车辆0辆，其中：部级领导干部用车0辆、一般公务用车0辆、一般执法执勤用车0辆、特种专业技术用车0辆、其他用车0辆，</w:t>
      </w:r>
      <w:r>
        <w:rPr>
          <w:rFonts w:ascii="仿宋_GB2312" w:hAnsi="仿宋_GB2312" w:eastAsia="仿宋_GB2312"/>
          <w:color w:val="000000" w:themeColor="text1"/>
          <w:sz w:val="32"/>
          <w:szCs w:val="32"/>
          <w14:textFill>
            <w14:solidFill>
              <w14:schemeClr w14:val="tx1"/>
            </w14:solidFill>
          </w14:textFill>
        </w:rPr>
        <w:t>其他用车主要是用于</w:t>
      </w:r>
      <w:r>
        <w:rPr>
          <w:rFonts w:ascii="仿宋_GB2312" w:hAnsi="仿宋_GB2312" w:eastAsia="仿宋_GB2312"/>
          <w:color w:val="000000"/>
          <w:sz w:val="32"/>
          <w:szCs w:val="32"/>
        </w:rPr>
        <w:t>场镇垃圾清理用车，但本单位未使用，故未产生公务车运行维护费。</w:t>
      </w:r>
      <w:r>
        <w:rPr>
          <w:rFonts w:ascii="仿宋_GB2312" w:hAnsi="仿宋_GB2312" w:eastAsia="仿宋_GB2312"/>
          <w:color w:val="000000" w:themeColor="text1"/>
          <w:sz w:val="32"/>
          <w:szCs w:val="32"/>
          <w14:textFill>
            <w14:solidFill>
              <w14:schemeClr w14:val="tx1"/>
            </w14:solidFill>
          </w14:textFill>
        </w:rPr>
        <w:t>无单价50万元以上通用设备，无单价100</w:t>
      </w:r>
      <w:r>
        <w:rPr>
          <w:rFonts w:ascii="仿宋_GB2312" w:hAnsi="仿宋_GB2312" w:eastAsia="仿宋_GB2312"/>
          <w:color w:val="000000"/>
          <w:sz w:val="32"/>
          <w:szCs w:val="32"/>
        </w:rPr>
        <w:t>万元以上专用设备。</w:t>
      </w:r>
    </w:p>
    <w:p>
      <w:pPr>
        <w:pStyle w:val="4"/>
        <w:numPr>
          <w:ilvl w:val="0"/>
          <w:numId w:val="0"/>
        </w:numPr>
        <w:spacing w:line="540" w:lineRule="exact"/>
        <w:ind w:firstLine="642" w:firstLineChars="200"/>
        <w:outlineLvl w:val="2"/>
        <w:rPr>
          <w:rFonts w:ascii="方正楷体简体" w:hAnsi="方正楷体简体" w:eastAsia="方正楷体简体"/>
          <w:b/>
          <w:color w:val="000000"/>
          <w:sz w:val="32"/>
          <w:szCs w:val="32"/>
        </w:rPr>
      </w:pPr>
      <w:r>
        <w:rPr>
          <w:rFonts w:ascii="方正楷体简体" w:hAnsi="方正楷体简体" w:eastAsia="方正楷体简体"/>
          <w:b/>
          <w:color w:val="000000"/>
          <w:sz w:val="32"/>
          <w:szCs w:val="32"/>
        </w:rPr>
        <w:t>（四）预算绩效管理情况</w:t>
      </w:r>
    </w:p>
    <w:p>
      <w:pPr>
        <w:pStyle w:val="4"/>
        <w:numPr>
          <w:ilvl w:val="0"/>
          <w:numId w:val="4"/>
        </w:numPr>
        <w:spacing w:line="580" w:lineRule="exact"/>
        <w:ind w:firstLine="642" w:firstLineChars="200"/>
        <w:rPr>
          <w:rFonts w:ascii="仿宋" w:hAnsi="仿宋" w:eastAsia="仿宋" w:cs="楷体_GB2312"/>
          <w:b/>
          <w:bCs/>
          <w:sz w:val="32"/>
          <w:szCs w:val="32"/>
        </w:rPr>
      </w:pPr>
      <w:r>
        <w:rPr>
          <w:rFonts w:ascii="仿宋" w:hAnsi="仿宋" w:eastAsia="仿宋" w:cs="楷体_GB2312"/>
          <w:b/>
          <w:bCs/>
          <w:sz w:val="32"/>
          <w:szCs w:val="32"/>
        </w:rPr>
        <w:t>预算绩效管理工作开展情况。</w:t>
      </w:r>
    </w:p>
    <w:p>
      <w:pPr>
        <w:pStyle w:val="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预算绩效管理要求，本部门（单位）在年初预算编制阶段，组织对预算项目开展了预算事前绩效评估，对4个项目编制了绩效目标，预算执行过程中，选取4个项目开展绩效监控，年终执行完毕后，对4个项目开展了绩效目标完成情况梳理填报。</w:t>
      </w:r>
    </w:p>
    <w:p>
      <w:pPr>
        <w:pStyle w:val="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pStyle w:val="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财力保障环境综合治理项目绩效目标完成情况综述。项目全年预算数35万元，执行数35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5"/>
        <w:tblpPr w:leftFromText="180" w:rightFromText="180" w:vertAnchor="text" w:horzAnchor="page" w:tblpXSpec="center" w:tblpY="423"/>
        <w:tblW w:w="9960" w:type="dxa"/>
        <w:jc w:val="center"/>
        <w:tblLayout w:type="fixed"/>
        <w:tblCellMar>
          <w:top w:w="15" w:type="dxa"/>
          <w:left w:w="15" w:type="dxa"/>
          <w:bottom w:w="0" w:type="dxa"/>
          <w:right w:w="15" w:type="dxa"/>
        </w:tblCellMar>
      </w:tblPr>
      <w:tblGrid>
        <w:gridCol w:w="390"/>
        <w:gridCol w:w="1366"/>
        <w:gridCol w:w="1025"/>
        <w:gridCol w:w="2393"/>
        <w:gridCol w:w="2393"/>
        <w:gridCol w:w="2392"/>
      </w:tblGrid>
      <w:tr>
        <w:tblPrEx>
          <w:tblCellMar>
            <w:top w:w="15" w:type="dxa"/>
            <w:left w:w="15" w:type="dxa"/>
            <w:bottom w:w="0" w:type="dxa"/>
            <w:right w:w="15" w:type="dxa"/>
          </w:tblCellMar>
        </w:tblPrEx>
        <w:trPr>
          <w:trHeight w:val="1034" w:hRule="atLeast"/>
          <w:jc w:val="center"/>
        </w:trPr>
        <w:tc>
          <w:tcPr>
            <w:tcW w:w="9959" w:type="dxa"/>
            <w:gridSpan w:val="6"/>
            <w:vAlign w:val="center"/>
          </w:tcPr>
          <w:p>
            <w:pPr>
              <w:pStyle w:val="20"/>
              <w:widowControl w:val="0"/>
              <w:spacing w:beforeLines="0" w:beforeAutospacing="0" w:afterLines="0" w:afterAutospacing="0"/>
              <w:ind w:left="4042" w:leftChars="1310" w:hanging="1422" w:hangingChars="395"/>
              <w:textAlignment w:val="center"/>
              <w:rPr>
                <w:rFonts w:ascii="宋体" w:hAnsi="宋体" w:cs="宋体"/>
                <w:color w:val="000000"/>
                <w:sz w:val="36"/>
                <w:szCs w:val="36"/>
              </w:rPr>
            </w:pPr>
            <w:r>
              <w:rPr>
                <w:rFonts w:ascii="黑体" w:hAnsi="黑体" w:eastAsia="黑体" w:cs="宋体"/>
                <w:bCs/>
                <w:color w:val="000000"/>
                <w:kern w:val="0"/>
                <w:sz w:val="36"/>
                <w:szCs w:val="36"/>
              </w:rPr>
              <w:t>项目支出绩效目标完成情况表（1）</w:t>
            </w:r>
            <w:r>
              <w:rPr>
                <w:rFonts w:ascii="宋体" w:hAnsi="宋体" w:cs="宋体"/>
                <w:b/>
                <w:bCs/>
                <w:color w:val="000000"/>
                <w:kern w:val="0"/>
                <w:sz w:val="36"/>
                <w:szCs w:val="36"/>
              </w:rPr>
              <w:br w:type="textWrapping"/>
            </w:r>
            <w:r>
              <w:rPr>
                <w:rFonts w:ascii="宋体" w:hAnsi="宋体" w:cs="宋体"/>
                <w:color w:val="000000"/>
                <w:kern w:val="0"/>
                <w:sz w:val="36"/>
                <w:szCs w:val="36"/>
              </w:rPr>
              <w:t>(2020年度)</w:t>
            </w:r>
          </w:p>
        </w:tc>
      </w:tr>
      <w:tr>
        <w:tblPrEx>
          <w:tblCellMar>
            <w:top w:w="15" w:type="dxa"/>
            <w:left w:w="15" w:type="dxa"/>
            <w:bottom w:w="0" w:type="dxa"/>
            <w:right w:w="15" w:type="dxa"/>
          </w:tblCellMar>
        </w:tblPrEx>
        <w:trPr>
          <w:trHeight w:val="276" w:hRule="atLeast"/>
          <w:jc w:val="center"/>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桥湾镇2020年度财力保障环境综合治理项目</w:t>
            </w:r>
          </w:p>
        </w:tc>
      </w:tr>
      <w:tr>
        <w:tblPrEx>
          <w:tblCellMar>
            <w:top w:w="15" w:type="dxa"/>
            <w:left w:w="15" w:type="dxa"/>
            <w:bottom w:w="0" w:type="dxa"/>
            <w:right w:w="15" w:type="dxa"/>
          </w:tblCellMar>
        </w:tblPrEx>
        <w:trPr>
          <w:trHeight w:val="276" w:hRule="atLeast"/>
          <w:jc w:val="center"/>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达州市达川区桥湾镇人民政府</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35万元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35万元</w:t>
            </w:r>
          </w:p>
        </w:tc>
      </w:tr>
      <w:tr>
        <w:tblPrEx>
          <w:tblCellMar>
            <w:top w:w="15" w:type="dxa"/>
            <w:left w:w="15" w:type="dxa"/>
            <w:bottom w:w="0" w:type="dxa"/>
            <w:right w:w="15"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35万元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35万元</w:t>
            </w:r>
          </w:p>
        </w:tc>
      </w:tr>
      <w:tr>
        <w:tblPrEx>
          <w:tblCellMar>
            <w:top w:w="15" w:type="dxa"/>
            <w:left w:w="15" w:type="dxa"/>
            <w:bottom w:w="0" w:type="dxa"/>
            <w:right w:w="15"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rPr>
                <w:rFonts w:ascii="宋体" w:hAnsi="宋体" w:cs="宋体"/>
                <w:color w:val="000000"/>
                <w:sz w:val="24"/>
              </w:rPr>
            </w:pPr>
            <w:r>
              <w:rPr>
                <w:rFonts w:ascii="宋体" w:hAnsi="宋体" w:cs="宋体"/>
                <w:color w:val="000000"/>
                <w:sz w:val="24"/>
              </w:rPr>
              <w:t>0</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left"/>
              <w:textAlignment w:val="center"/>
              <w:rPr>
                <w:rFonts w:ascii="宋体" w:hAnsi="宋体" w:cs="宋体"/>
                <w:color w:val="000000"/>
                <w:sz w:val="24"/>
              </w:rPr>
            </w:pPr>
            <w:r>
              <w:rPr>
                <w:rFonts w:ascii="宋体" w:hAnsi="宋体" w:cs="宋体"/>
                <w:color w:val="000000"/>
                <w:sz w:val="24"/>
              </w:rPr>
              <w:t>推进环保节能治理，建立健全农村生活垃圾处理长效机制，深入开展环境污染和面源污染治理。</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w:t>
            </w:r>
          </w:p>
        </w:tc>
      </w:tr>
      <w:tr>
        <w:tblPrEx>
          <w:tblCellMar>
            <w:top w:w="15" w:type="dxa"/>
            <w:left w:w="15" w:type="dxa"/>
            <w:bottom w:w="0" w:type="dxa"/>
            <w:right w:w="15"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实际完成指标值(包含数字及文字描述)</w:t>
            </w:r>
          </w:p>
        </w:tc>
      </w:tr>
      <w:tr>
        <w:tblPrEx>
          <w:tblCellMar>
            <w:top w:w="15" w:type="dxa"/>
            <w:left w:w="15" w:type="dxa"/>
            <w:bottom w:w="0" w:type="dxa"/>
            <w:right w:w="15"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保洁工作、环境治理宣传活动</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落实社区保洁员12名，各村保洁员1名、宣传标语不低于24幅，会议每月一次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已完成落实社区保洁员12名，各村保洁员1名、宣传标语不低于24幅，会议每月一次</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卫生保洁、垃圾清运、车辆停放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已完成做到场镇和村主要交通路干净，无污水，无垃圾。天天有人清扫做到垃圾日清，及时将垃圾运往佳境环保做无害化处理。</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完成率</w:t>
            </w:r>
            <w:r>
              <w:rPr>
                <w:rFonts w:ascii="Arial" w:hAnsi="Arial" w:cs="Arial"/>
                <w:color w:val="000000"/>
                <w:sz w:val="24"/>
              </w:rPr>
              <w:t>≥</w:t>
            </w:r>
            <w:r>
              <w:rPr>
                <w:rFonts w:ascii="宋体" w:hAnsi="宋体" w:cs="宋体"/>
                <w:color w:val="000000"/>
                <w:sz w:val="24"/>
              </w:rPr>
              <w:t>100%</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垃圾处置费用、保洁员工资、垃圾清运车费</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严格按相关要求报账、严格按相关要求报账、严格按相关要求报账</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投资环境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为外来投资商创建一个干净、整治的投资环境，提升XX招商引资能力。</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w:t>
            </w:r>
          </w:p>
        </w:tc>
      </w:tr>
      <w:tr>
        <w:tblPrEx>
          <w:tblCellMar>
            <w:top w:w="15" w:type="dxa"/>
            <w:left w:w="15" w:type="dxa"/>
            <w:bottom w:w="0" w:type="dxa"/>
            <w:right w:w="15" w:type="dxa"/>
          </w:tblCellMar>
        </w:tblPrEx>
        <w:trPr>
          <w:trHeight w:val="103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环境卫生整治</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改善了群众的人居环境，提升了幸福生活 指数。</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做到了垃圾日清，垃圾池周清。</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政策导向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Arial" w:hAnsi="Arial" w:cs="Arial"/>
                <w:color w:val="000000"/>
                <w:sz w:val="24"/>
              </w:rPr>
              <w:t>促进了全乡环境整治的发展</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社会满意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社会满意度</w:t>
            </w:r>
            <w:r>
              <w:rPr>
                <w:rFonts w:ascii="Arial" w:hAnsi="Arial" w:cs="Arial"/>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已达到满意度</w:t>
            </w:r>
            <w:r>
              <w:rPr>
                <w:rFonts w:ascii="Arial" w:hAnsi="Arial" w:cs="Arial"/>
                <w:color w:val="000000"/>
                <w:sz w:val="24"/>
              </w:rPr>
              <w:t>≥</w:t>
            </w:r>
            <w:r>
              <w:rPr>
                <w:rFonts w:ascii="宋体" w:hAnsi="宋体" w:cs="宋体"/>
                <w:color w:val="000000"/>
                <w:sz w:val="24"/>
              </w:rPr>
              <w:t>95%</w:t>
            </w:r>
          </w:p>
        </w:tc>
      </w:tr>
    </w:tbl>
    <w:p>
      <w:pPr>
        <w:pStyle w:val="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5"/>
        <w:tblpPr w:leftFromText="180" w:rightFromText="180" w:vertAnchor="text" w:horzAnchor="page" w:tblpXSpec="center" w:tblpY="423"/>
        <w:tblW w:w="9960" w:type="dxa"/>
        <w:jc w:val="center"/>
        <w:tblLayout w:type="fixed"/>
        <w:tblCellMar>
          <w:top w:w="15" w:type="dxa"/>
          <w:left w:w="15" w:type="dxa"/>
          <w:bottom w:w="0" w:type="dxa"/>
          <w:right w:w="15" w:type="dxa"/>
        </w:tblCellMar>
      </w:tblPr>
      <w:tblGrid>
        <w:gridCol w:w="390"/>
        <w:gridCol w:w="1366"/>
        <w:gridCol w:w="1025"/>
        <w:gridCol w:w="2393"/>
        <w:gridCol w:w="2393"/>
        <w:gridCol w:w="2392"/>
      </w:tblGrid>
      <w:tr>
        <w:tblPrEx>
          <w:tblCellMar>
            <w:top w:w="15" w:type="dxa"/>
            <w:left w:w="15" w:type="dxa"/>
            <w:bottom w:w="0" w:type="dxa"/>
            <w:right w:w="15" w:type="dxa"/>
          </w:tblCellMar>
        </w:tblPrEx>
        <w:trPr>
          <w:trHeight w:val="1034" w:hRule="atLeast"/>
          <w:jc w:val="center"/>
        </w:trPr>
        <w:tc>
          <w:tcPr>
            <w:tcW w:w="9959" w:type="dxa"/>
            <w:gridSpan w:val="6"/>
            <w:vAlign w:val="center"/>
          </w:tcPr>
          <w:p>
            <w:pPr>
              <w:pStyle w:val="20"/>
              <w:widowControl w:val="0"/>
              <w:spacing w:beforeLines="0" w:beforeAutospacing="0" w:afterLines="0" w:afterAutospacing="0"/>
              <w:ind w:left="4042" w:leftChars="1310" w:hanging="1422" w:hangingChars="395"/>
              <w:textAlignment w:val="center"/>
              <w:rPr>
                <w:rFonts w:ascii="宋体" w:hAnsi="宋体" w:cs="宋体"/>
                <w:color w:val="000000"/>
                <w:sz w:val="36"/>
                <w:szCs w:val="36"/>
              </w:rPr>
            </w:pPr>
            <w:r>
              <w:rPr>
                <w:rFonts w:ascii="黑体" w:hAnsi="黑体" w:eastAsia="黑体" w:cs="宋体"/>
                <w:bCs/>
                <w:color w:val="000000"/>
                <w:kern w:val="0"/>
                <w:sz w:val="36"/>
                <w:szCs w:val="36"/>
              </w:rPr>
              <w:t>项目支出绩效目标完成情况表（2）</w:t>
            </w:r>
            <w:r>
              <w:rPr>
                <w:rFonts w:ascii="宋体" w:hAnsi="宋体" w:cs="宋体"/>
                <w:b/>
                <w:bCs/>
                <w:color w:val="000000"/>
                <w:kern w:val="0"/>
                <w:sz w:val="36"/>
                <w:szCs w:val="36"/>
              </w:rPr>
              <w:br w:type="textWrapping"/>
            </w:r>
            <w:r>
              <w:rPr>
                <w:rFonts w:ascii="宋体" w:hAnsi="宋体" w:cs="宋体"/>
                <w:color w:val="000000"/>
                <w:kern w:val="0"/>
                <w:sz w:val="36"/>
                <w:szCs w:val="36"/>
              </w:rPr>
              <w:t>(2020年度)</w:t>
            </w:r>
          </w:p>
        </w:tc>
      </w:tr>
      <w:tr>
        <w:tblPrEx>
          <w:tblCellMar>
            <w:top w:w="15" w:type="dxa"/>
            <w:left w:w="15" w:type="dxa"/>
            <w:bottom w:w="0" w:type="dxa"/>
            <w:right w:w="15" w:type="dxa"/>
          </w:tblCellMar>
        </w:tblPrEx>
        <w:trPr>
          <w:trHeight w:val="90" w:hRule="atLeast"/>
          <w:jc w:val="center"/>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桥湾镇2020年度财力保障促发展项目</w:t>
            </w:r>
          </w:p>
        </w:tc>
      </w:tr>
      <w:tr>
        <w:tblPrEx>
          <w:tblCellMar>
            <w:top w:w="15" w:type="dxa"/>
            <w:left w:w="15" w:type="dxa"/>
            <w:bottom w:w="0" w:type="dxa"/>
            <w:right w:w="15" w:type="dxa"/>
          </w:tblCellMar>
        </w:tblPrEx>
        <w:trPr>
          <w:trHeight w:val="276" w:hRule="atLeast"/>
          <w:jc w:val="center"/>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达州市达川区桥湾镇人民政府</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10万元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10万元</w:t>
            </w:r>
          </w:p>
        </w:tc>
      </w:tr>
      <w:tr>
        <w:tblPrEx>
          <w:tblCellMar>
            <w:top w:w="15" w:type="dxa"/>
            <w:left w:w="15" w:type="dxa"/>
            <w:bottom w:w="0" w:type="dxa"/>
            <w:right w:w="15"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10万元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10万元</w:t>
            </w:r>
          </w:p>
        </w:tc>
      </w:tr>
      <w:tr>
        <w:tblPrEx>
          <w:tblCellMar>
            <w:top w:w="15" w:type="dxa"/>
            <w:left w:w="15" w:type="dxa"/>
            <w:bottom w:w="0" w:type="dxa"/>
            <w:right w:w="15"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rPr>
                <w:rFonts w:ascii="宋体" w:hAnsi="宋体" w:cs="宋体"/>
                <w:color w:val="000000"/>
                <w:sz w:val="24"/>
              </w:rPr>
            </w:pPr>
            <w:r>
              <w:rPr>
                <w:rFonts w:ascii="宋体" w:hAnsi="宋体" w:cs="宋体"/>
                <w:color w:val="000000"/>
                <w:sz w:val="24"/>
              </w:rPr>
              <w:t>0</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86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left"/>
              <w:textAlignment w:val="center"/>
              <w:rPr>
                <w:rFonts w:ascii="宋体" w:hAnsi="宋体" w:cs="宋体"/>
                <w:color w:val="000000"/>
                <w:sz w:val="24"/>
              </w:rPr>
            </w:pPr>
            <w:r>
              <w:rPr>
                <w:rFonts w:ascii="宋体" w:hAnsi="宋体" w:cs="宋体"/>
                <w:color w:val="000000"/>
                <w:sz w:val="24"/>
              </w:rPr>
              <w:t>加大村级基础设施建设投入，改善农村基础设施状况，修建水利、道路，增强农村经济发展实力</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w:t>
            </w:r>
          </w:p>
        </w:tc>
      </w:tr>
      <w:tr>
        <w:tblPrEx>
          <w:tblCellMar>
            <w:top w:w="15" w:type="dxa"/>
            <w:left w:w="15" w:type="dxa"/>
            <w:bottom w:w="0" w:type="dxa"/>
            <w:right w:w="15" w:type="dxa"/>
          </w:tblCellMar>
        </w:tblPrEx>
        <w:trPr>
          <w:trHeight w:val="82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实际完成指标值(包含数字及文字描述)</w:t>
            </w:r>
          </w:p>
        </w:tc>
      </w:tr>
      <w:tr>
        <w:tblPrEx>
          <w:tblCellMar>
            <w:top w:w="15" w:type="dxa"/>
            <w:left w:w="15" w:type="dxa"/>
            <w:bottom w:w="0" w:type="dxa"/>
            <w:right w:w="15"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方便群众出行</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解决556余人出行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已完成涉及621人的出行问题</w:t>
            </w:r>
          </w:p>
        </w:tc>
      </w:tr>
      <w:tr>
        <w:tblPrEx>
          <w:tblCellMar>
            <w:top w:w="15" w:type="dxa"/>
            <w:left w:w="15" w:type="dxa"/>
            <w:bottom w:w="0" w:type="dxa"/>
            <w:right w:w="15" w:type="dxa"/>
          </w:tblCellMar>
        </w:tblPrEx>
        <w:trPr>
          <w:trHeight w:val="110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工程标准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left"/>
              <w:textAlignment w:val="center"/>
              <w:rPr>
                <w:rFonts w:ascii="宋体" w:hAnsi="宋体" w:cs="宋体"/>
                <w:color w:val="000000"/>
                <w:sz w:val="24"/>
              </w:rPr>
            </w:pPr>
            <w:r>
              <w:rPr>
                <w:rFonts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已完成相关任务</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完成率</w:t>
            </w:r>
            <w:r>
              <w:rPr>
                <w:rFonts w:ascii="Arial" w:hAnsi="Arial" w:cs="Arial"/>
                <w:color w:val="000000"/>
                <w:sz w:val="24"/>
              </w:rPr>
              <w:t>≥</w:t>
            </w:r>
            <w:r>
              <w:rPr>
                <w:rFonts w:ascii="宋体" w:hAnsi="宋体" w:cs="宋体"/>
                <w:color w:val="000000"/>
                <w:sz w:val="24"/>
              </w:rPr>
              <w:t>100%</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材料采购、人工费用、其他费用</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严格预算，最后以审计价为准、以当地人工费用标准为准、严格预算，最后以审计价为准</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为经济发展提供基础</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提升运输能力，联通产业发展圈，提高运输迅速，节约运输成本，引起产业规模扩大，增加就业人员的工资水平，提高经济发展。</w:t>
            </w:r>
          </w:p>
        </w:tc>
      </w:tr>
      <w:tr>
        <w:tblPrEx>
          <w:tblCellMar>
            <w:top w:w="15" w:type="dxa"/>
            <w:left w:w="15" w:type="dxa"/>
            <w:bottom w:w="0" w:type="dxa"/>
            <w:right w:w="15" w:type="dxa"/>
          </w:tblCellMar>
        </w:tblPrEx>
        <w:trPr>
          <w:trHeight w:val="103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改善出行</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方便群众出行，农产品物资运输更加方便快捷，提升物流速度，为社会提供安全便捷的运输条件。</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后期经济发展</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Arial" w:hAnsi="Arial" w:cs="Arial"/>
                <w:color w:val="000000"/>
                <w:sz w:val="24"/>
              </w:rPr>
              <w:t>促进了当地经济发展</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满意度</w:t>
            </w:r>
            <w:r>
              <w:rPr>
                <w:rFonts w:ascii="Arial" w:hAnsi="Arial" w:cs="Arial"/>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已达到满意度</w:t>
            </w:r>
            <w:r>
              <w:rPr>
                <w:rFonts w:ascii="Arial" w:hAnsi="Arial" w:cs="Arial"/>
                <w:color w:val="000000"/>
                <w:sz w:val="24"/>
              </w:rPr>
              <w:t>≥</w:t>
            </w:r>
            <w:r>
              <w:rPr>
                <w:rFonts w:ascii="宋体" w:hAnsi="宋体" w:cs="宋体"/>
                <w:color w:val="000000"/>
                <w:sz w:val="24"/>
              </w:rPr>
              <w:t>95%</w:t>
            </w:r>
          </w:p>
        </w:tc>
      </w:tr>
    </w:tbl>
    <w:p>
      <w:pPr>
        <w:pStyle w:val="4"/>
        <w:spacing w:line="540" w:lineRule="exact"/>
        <w:ind w:firstLine="640" w:firstLineChars="200"/>
        <w:rPr>
          <w:rFonts w:eastAsia="方正仿宋_GBK"/>
          <w:color w:val="000000"/>
          <w:sz w:val="32"/>
          <w:szCs w:val="32"/>
        </w:rPr>
      </w:pPr>
      <w:r>
        <w:rPr>
          <w:rFonts w:ascii="仿宋_GB2312" w:hAnsi="仿宋_GB2312" w:eastAsia="仿宋_GB2312" w:cs="仿宋_GB2312"/>
          <w:sz w:val="32"/>
          <w:szCs w:val="32"/>
        </w:rPr>
        <w:t>3、财力保障党建工作项目绩效目标完成情况综述。项目全年预算数20万元，执行数为20万元，完成预算的100%。通过项目实施，保障各项工作圆满完成，努力提高党政廉风建设，发挥党组织的堡垒作用。</w:t>
      </w:r>
    </w:p>
    <w:tbl>
      <w:tblPr>
        <w:tblStyle w:val="5"/>
        <w:tblpPr w:leftFromText="180" w:rightFromText="180" w:vertAnchor="text" w:horzAnchor="page" w:tblpXSpec="center" w:tblpY="423"/>
        <w:tblW w:w="9960" w:type="dxa"/>
        <w:jc w:val="center"/>
        <w:tblLayout w:type="fixed"/>
        <w:tblCellMar>
          <w:top w:w="15" w:type="dxa"/>
          <w:left w:w="15" w:type="dxa"/>
          <w:bottom w:w="0" w:type="dxa"/>
          <w:right w:w="15" w:type="dxa"/>
        </w:tblCellMar>
      </w:tblPr>
      <w:tblGrid>
        <w:gridCol w:w="390"/>
        <w:gridCol w:w="1366"/>
        <w:gridCol w:w="1078"/>
        <w:gridCol w:w="2340"/>
        <w:gridCol w:w="2393"/>
        <w:gridCol w:w="2392"/>
      </w:tblGrid>
      <w:tr>
        <w:tblPrEx>
          <w:tblCellMar>
            <w:top w:w="15" w:type="dxa"/>
            <w:left w:w="15" w:type="dxa"/>
            <w:bottom w:w="0" w:type="dxa"/>
            <w:right w:w="15" w:type="dxa"/>
          </w:tblCellMar>
        </w:tblPrEx>
        <w:trPr>
          <w:trHeight w:val="1034" w:hRule="atLeast"/>
          <w:jc w:val="center"/>
        </w:trPr>
        <w:tc>
          <w:tcPr>
            <w:tcW w:w="9959" w:type="dxa"/>
            <w:gridSpan w:val="6"/>
            <w:vAlign w:val="center"/>
          </w:tcPr>
          <w:p>
            <w:pPr>
              <w:pStyle w:val="20"/>
              <w:widowControl w:val="0"/>
              <w:spacing w:beforeLines="0" w:beforeAutospacing="0" w:afterLines="0" w:afterAutospacing="0"/>
              <w:ind w:left="4042" w:leftChars="1310" w:hanging="1422" w:hangingChars="395"/>
              <w:textAlignment w:val="center"/>
              <w:rPr>
                <w:rFonts w:ascii="宋体" w:hAnsi="宋体" w:cs="宋体"/>
                <w:color w:val="000000"/>
                <w:sz w:val="36"/>
                <w:szCs w:val="36"/>
              </w:rPr>
            </w:pPr>
            <w:r>
              <w:rPr>
                <w:rFonts w:ascii="黑体" w:hAnsi="黑体" w:eastAsia="黑体" w:cs="宋体"/>
                <w:bCs/>
                <w:color w:val="000000"/>
                <w:kern w:val="0"/>
                <w:sz w:val="36"/>
                <w:szCs w:val="36"/>
              </w:rPr>
              <w:t>项目支出绩效目标完成情况表（3）</w:t>
            </w:r>
            <w:r>
              <w:rPr>
                <w:rFonts w:ascii="宋体" w:hAnsi="宋体" w:cs="宋体"/>
                <w:b/>
                <w:bCs/>
                <w:color w:val="000000"/>
                <w:kern w:val="0"/>
                <w:sz w:val="36"/>
                <w:szCs w:val="36"/>
              </w:rPr>
              <w:br w:type="textWrapping"/>
            </w:r>
            <w:r>
              <w:rPr>
                <w:rFonts w:ascii="宋体" w:hAnsi="宋体" w:cs="宋体"/>
                <w:color w:val="000000"/>
                <w:kern w:val="0"/>
                <w:sz w:val="36"/>
                <w:szCs w:val="36"/>
              </w:rPr>
              <w:t>(2020年度)</w:t>
            </w:r>
          </w:p>
        </w:tc>
      </w:tr>
      <w:tr>
        <w:tblPrEx>
          <w:tblCellMar>
            <w:top w:w="15" w:type="dxa"/>
            <w:left w:w="15" w:type="dxa"/>
            <w:bottom w:w="0" w:type="dxa"/>
            <w:right w:w="15" w:type="dxa"/>
          </w:tblCellMar>
        </w:tblPrEx>
        <w:trPr>
          <w:trHeight w:val="276" w:hRule="atLeast"/>
          <w:jc w:val="center"/>
        </w:trPr>
        <w:tc>
          <w:tcPr>
            <w:tcW w:w="283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项目名称</w:t>
            </w:r>
          </w:p>
        </w:tc>
        <w:tc>
          <w:tcPr>
            <w:tcW w:w="7125"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桥湾镇2020年度财力保障脱贫攻坚项目</w:t>
            </w:r>
          </w:p>
        </w:tc>
      </w:tr>
      <w:tr>
        <w:tblPrEx>
          <w:tblCellMar>
            <w:top w:w="15" w:type="dxa"/>
            <w:left w:w="15" w:type="dxa"/>
            <w:bottom w:w="0" w:type="dxa"/>
            <w:right w:w="15" w:type="dxa"/>
          </w:tblCellMar>
        </w:tblPrEx>
        <w:trPr>
          <w:trHeight w:val="276" w:hRule="atLeast"/>
          <w:jc w:val="center"/>
        </w:trPr>
        <w:tc>
          <w:tcPr>
            <w:tcW w:w="283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预算单位</w:t>
            </w:r>
          </w:p>
        </w:tc>
        <w:tc>
          <w:tcPr>
            <w:tcW w:w="7125"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达州市达川区桥湾镇人民政府</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预算执行情况(万元)</w:t>
            </w: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预算数:</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20万元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20万元</w:t>
            </w:r>
          </w:p>
        </w:tc>
      </w:tr>
      <w:tr>
        <w:tblPrEx>
          <w:tblCellMar>
            <w:top w:w="15" w:type="dxa"/>
            <w:left w:w="15" w:type="dxa"/>
            <w:bottom w:w="0" w:type="dxa"/>
            <w:right w:w="15"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20万元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20万元</w:t>
            </w:r>
          </w:p>
        </w:tc>
      </w:tr>
      <w:tr>
        <w:tblPrEx>
          <w:tblCellMar>
            <w:top w:w="15" w:type="dxa"/>
            <w:left w:w="15" w:type="dxa"/>
            <w:bottom w:w="0" w:type="dxa"/>
            <w:right w:w="15"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444"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rPr>
                <w:rFonts w:ascii="宋体" w:hAnsi="宋体" w:cs="宋体"/>
                <w:color w:val="000000"/>
                <w:sz w:val="24"/>
              </w:rPr>
            </w:pPr>
            <w:r>
              <w:rPr>
                <w:rFonts w:ascii="宋体" w:hAnsi="宋体" w:cs="宋体"/>
                <w:color w:val="000000"/>
                <w:sz w:val="24"/>
              </w:rPr>
              <w:t>0</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化解遗留问题及临时突发事件，巩固基层组织建设</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w:t>
            </w:r>
          </w:p>
        </w:tc>
      </w:tr>
      <w:tr>
        <w:tblPrEx>
          <w:tblCellMar>
            <w:top w:w="15" w:type="dxa"/>
            <w:left w:w="15" w:type="dxa"/>
            <w:bottom w:w="0" w:type="dxa"/>
            <w:right w:w="15"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一级指标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二级指标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实际完成指标值(包含数字及文字描述)</w:t>
            </w:r>
          </w:p>
        </w:tc>
      </w:tr>
      <w:tr>
        <w:tblPrEx>
          <w:tblCellMar>
            <w:top w:w="15" w:type="dxa"/>
            <w:left w:w="15" w:type="dxa"/>
            <w:bottom w:w="0" w:type="dxa"/>
            <w:right w:w="15"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数量指标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脱贫攻坚工作</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宣传等</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已完宣传20余次，宣传标语100余幅。</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质量指标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帐务处理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已完成相关任务</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时效指标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完成率</w:t>
            </w:r>
            <w:r>
              <w:rPr>
                <w:rFonts w:ascii="Arial" w:hAnsi="Arial" w:cs="Arial"/>
                <w:color w:val="000000"/>
                <w:sz w:val="24"/>
              </w:rPr>
              <w:t>≥</w:t>
            </w:r>
            <w:r>
              <w:rPr>
                <w:rFonts w:ascii="宋体" w:hAnsi="宋体" w:cs="宋体"/>
                <w:color w:val="000000"/>
                <w:sz w:val="24"/>
              </w:rPr>
              <w:t>100%</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项目效益指标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经济效益指标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解决存在债务</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解决实际债务提高经济。</w:t>
            </w:r>
          </w:p>
        </w:tc>
      </w:tr>
      <w:tr>
        <w:tblPrEx>
          <w:tblCellMar>
            <w:top w:w="15" w:type="dxa"/>
            <w:left w:w="15" w:type="dxa"/>
            <w:bottom w:w="0" w:type="dxa"/>
            <w:right w:w="15" w:type="dxa"/>
          </w:tblCellMar>
        </w:tblPrEx>
        <w:trPr>
          <w:trHeight w:val="103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社会效益指标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化解矛盾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已完成相关债务，达到目标</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生态效益指标意</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可持续影响指标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后期经济发展</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Arial" w:hAnsi="Arial" w:cs="Arial"/>
                <w:color w:val="000000"/>
                <w:sz w:val="24"/>
              </w:rPr>
              <w:t>促进了当地经济发展</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满意度指标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满意度指标</w:t>
            </w:r>
          </w:p>
        </w:tc>
        <w:tc>
          <w:tcPr>
            <w:tcW w:w="2340"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满意度</w:t>
            </w:r>
            <w:r>
              <w:rPr>
                <w:rFonts w:ascii="Arial" w:hAnsi="Arial" w:cs="Arial"/>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已达到满意度</w:t>
            </w:r>
            <w:r>
              <w:rPr>
                <w:rFonts w:ascii="Arial" w:hAnsi="Arial" w:cs="Arial"/>
                <w:color w:val="000000"/>
                <w:sz w:val="24"/>
              </w:rPr>
              <w:t>≥</w:t>
            </w:r>
            <w:r>
              <w:rPr>
                <w:rFonts w:ascii="宋体" w:hAnsi="宋体" w:cs="宋体"/>
                <w:color w:val="000000"/>
                <w:sz w:val="24"/>
              </w:rPr>
              <w:t>95%</w:t>
            </w:r>
          </w:p>
        </w:tc>
      </w:tr>
    </w:tbl>
    <w:p>
      <w:pPr>
        <w:pStyle w:val="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财力保障信访、维稳、扫黄、除黑、禁毒资金项目绩效目标完成情况综述。项目全年预算数5万元，执行数为5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5"/>
        <w:tblpPr w:leftFromText="180" w:rightFromText="180" w:vertAnchor="text" w:horzAnchor="page" w:tblpXSpec="center" w:tblpY="423"/>
        <w:tblW w:w="9960" w:type="dxa"/>
        <w:jc w:val="center"/>
        <w:tblLayout w:type="fixed"/>
        <w:tblCellMar>
          <w:top w:w="15" w:type="dxa"/>
          <w:left w:w="15" w:type="dxa"/>
          <w:bottom w:w="0" w:type="dxa"/>
          <w:right w:w="15" w:type="dxa"/>
        </w:tblCellMar>
      </w:tblPr>
      <w:tblGrid>
        <w:gridCol w:w="390"/>
        <w:gridCol w:w="1366"/>
        <w:gridCol w:w="1025"/>
        <w:gridCol w:w="2393"/>
        <w:gridCol w:w="2393"/>
        <w:gridCol w:w="2392"/>
      </w:tblGrid>
      <w:tr>
        <w:tblPrEx>
          <w:tblCellMar>
            <w:top w:w="15" w:type="dxa"/>
            <w:left w:w="15" w:type="dxa"/>
            <w:bottom w:w="0" w:type="dxa"/>
            <w:right w:w="15" w:type="dxa"/>
          </w:tblCellMar>
        </w:tblPrEx>
        <w:trPr>
          <w:trHeight w:val="1034" w:hRule="atLeast"/>
          <w:jc w:val="center"/>
        </w:trPr>
        <w:tc>
          <w:tcPr>
            <w:tcW w:w="9959" w:type="dxa"/>
            <w:gridSpan w:val="6"/>
            <w:vAlign w:val="center"/>
          </w:tcPr>
          <w:p>
            <w:pPr>
              <w:pStyle w:val="20"/>
              <w:widowControl w:val="0"/>
              <w:spacing w:beforeLines="0" w:beforeAutospacing="0" w:afterLines="0" w:afterAutospacing="0"/>
              <w:ind w:left="4042" w:leftChars="1310" w:hanging="1422" w:hangingChars="395"/>
              <w:textAlignment w:val="center"/>
              <w:rPr>
                <w:rFonts w:ascii="宋体" w:hAnsi="宋体" w:cs="宋体"/>
                <w:color w:val="000000"/>
                <w:sz w:val="36"/>
                <w:szCs w:val="36"/>
              </w:rPr>
            </w:pPr>
            <w:r>
              <w:rPr>
                <w:rFonts w:ascii="黑体" w:hAnsi="黑体" w:eastAsia="黑体" w:cs="宋体"/>
                <w:bCs/>
                <w:color w:val="000000"/>
                <w:kern w:val="0"/>
                <w:sz w:val="36"/>
                <w:szCs w:val="36"/>
              </w:rPr>
              <w:t>项目支出绩效目标完成情况表（4）</w:t>
            </w:r>
            <w:r>
              <w:rPr>
                <w:rFonts w:ascii="宋体" w:hAnsi="宋体" w:cs="宋体"/>
                <w:b/>
                <w:bCs/>
                <w:color w:val="000000"/>
                <w:kern w:val="0"/>
                <w:sz w:val="36"/>
                <w:szCs w:val="36"/>
              </w:rPr>
              <w:br w:type="textWrapping"/>
            </w:r>
            <w:r>
              <w:rPr>
                <w:rFonts w:ascii="宋体" w:hAnsi="宋体" w:cs="宋体"/>
                <w:color w:val="000000"/>
                <w:kern w:val="0"/>
                <w:sz w:val="36"/>
                <w:szCs w:val="36"/>
              </w:rPr>
              <w:t>(2020年度)</w:t>
            </w:r>
          </w:p>
        </w:tc>
      </w:tr>
      <w:tr>
        <w:tblPrEx>
          <w:tblCellMar>
            <w:top w:w="15" w:type="dxa"/>
            <w:left w:w="15" w:type="dxa"/>
            <w:bottom w:w="0" w:type="dxa"/>
            <w:right w:w="15" w:type="dxa"/>
          </w:tblCellMar>
        </w:tblPrEx>
        <w:trPr>
          <w:trHeight w:val="276" w:hRule="atLeast"/>
          <w:jc w:val="center"/>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桥湾镇2020年度信访、维稳、扫黄、除黑、禁毒资金项目</w:t>
            </w:r>
          </w:p>
        </w:tc>
      </w:tr>
      <w:tr>
        <w:tblPrEx>
          <w:tblCellMar>
            <w:top w:w="15" w:type="dxa"/>
            <w:left w:w="15" w:type="dxa"/>
            <w:bottom w:w="0" w:type="dxa"/>
            <w:right w:w="15" w:type="dxa"/>
          </w:tblCellMar>
        </w:tblPrEx>
        <w:trPr>
          <w:trHeight w:val="276" w:hRule="atLeast"/>
          <w:jc w:val="center"/>
        </w:trPr>
        <w:tc>
          <w:tcPr>
            <w:tcW w:w="2781"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达州市达川区桥湾镇人民政府</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预算执行情况(万元)</w:t>
            </w: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预算数:</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5万元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5万元</w:t>
            </w:r>
          </w:p>
        </w:tc>
      </w:tr>
      <w:tr>
        <w:tblPrEx>
          <w:tblCellMar>
            <w:top w:w="15" w:type="dxa"/>
            <w:left w:w="15" w:type="dxa"/>
            <w:bottom w:w="0" w:type="dxa"/>
            <w:right w:w="15"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5万元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5万元</w:t>
            </w:r>
          </w:p>
        </w:tc>
      </w:tr>
      <w:tr>
        <w:tblPrEx>
          <w:tblCellMar>
            <w:top w:w="15" w:type="dxa"/>
            <w:left w:w="15" w:type="dxa"/>
            <w:bottom w:w="0" w:type="dxa"/>
            <w:right w:w="15"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2391"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0</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rPr>
                <w:rFonts w:ascii="宋体" w:hAnsi="宋体" w:cs="宋体"/>
                <w:color w:val="000000"/>
                <w:sz w:val="24"/>
              </w:rPr>
            </w:pPr>
            <w:r>
              <w:rPr>
                <w:rFonts w:ascii="宋体" w:hAnsi="宋体" w:cs="宋体"/>
                <w:color w:val="000000"/>
                <w:sz w:val="24"/>
              </w:rPr>
              <w:t>0</w:t>
            </w:r>
          </w:p>
        </w:tc>
      </w:tr>
      <w:tr>
        <w:tblPrEx>
          <w:tblCellMar>
            <w:top w:w="15" w:type="dxa"/>
            <w:left w:w="15" w:type="dxa"/>
            <w:bottom w:w="0" w:type="dxa"/>
            <w:right w:w="15"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预期目标</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实际完成目标</w:t>
            </w:r>
          </w:p>
        </w:tc>
      </w:tr>
      <w:tr>
        <w:tblPrEx>
          <w:tblCellMar>
            <w:top w:w="15" w:type="dxa"/>
            <w:left w:w="15" w:type="dxa"/>
            <w:bottom w:w="0" w:type="dxa"/>
            <w:right w:w="15"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解决群众合理诉求，，打击黄、赌、毒，扫清黑恶势力，为人民群众塑造一个安定、和谐、稳定的社会环境</w:t>
            </w:r>
          </w:p>
        </w:tc>
        <w:tc>
          <w:tcPr>
            <w:tcW w:w="4785" w:type="dxa"/>
            <w:gridSpan w:val="2"/>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w:t>
            </w:r>
          </w:p>
        </w:tc>
      </w:tr>
      <w:tr>
        <w:tblPrEx>
          <w:tblCellMar>
            <w:top w:w="15" w:type="dxa"/>
            <w:left w:w="15" w:type="dxa"/>
            <w:bottom w:w="0" w:type="dxa"/>
            <w:right w:w="15"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绩效指标完成情况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二级指标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三级指标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实际完成指标值(包含数字及文字描述)</w:t>
            </w:r>
          </w:p>
        </w:tc>
      </w:tr>
      <w:tr>
        <w:tblPrEx>
          <w:tblCellMar>
            <w:top w:w="15" w:type="dxa"/>
            <w:left w:w="15" w:type="dxa"/>
            <w:bottom w:w="0" w:type="dxa"/>
            <w:right w:w="15"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数量指标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开展教育宣传活动、组织专项行动</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已完成全年开展了宣传活动12次，组织专项行动3次。</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质量指标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hint="eastAsia" w:ascii="宋体" w:hAnsi="宋体" w:eastAsia="宋体" w:cs="宋体"/>
                <w:color w:val="000000"/>
                <w:sz w:val="24"/>
                <w:lang w:eastAsia="zh-CN"/>
              </w:rPr>
            </w:pPr>
            <w:r>
              <w:rPr>
                <w:rFonts w:ascii="宋体" w:hAnsi="宋体" w:cs="宋体"/>
                <w:color w:val="000000"/>
                <w:sz w:val="24"/>
              </w:rPr>
              <w:t>合理诉求、</w:t>
            </w:r>
            <w:r>
              <w:rPr>
                <w:rFonts w:hint="eastAsia" w:ascii="宋体" w:hAnsi="宋体" w:cs="宋体"/>
                <w:color w:val="000000"/>
                <w:sz w:val="24"/>
                <w:lang w:eastAsia="zh-CN"/>
              </w:rPr>
              <w:t>扫黑除恶</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已完成相关任务</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时效指标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年度目标任务完成率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完成率</w:t>
            </w:r>
            <w:r>
              <w:rPr>
                <w:rFonts w:ascii="Arial" w:hAnsi="Arial" w:cs="Arial"/>
                <w:color w:val="000000"/>
                <w:sz w:val="24"/>
              </w:rPr>
              <w:t>≥</w:t>
            </w:r>
            <w:r>
              <w:rPr>
                <w:rFonts w:ascii="宋体" w:hAnsi="宋体" w:cs="宋体"/>
                <w:color w:val="000000"/>
                <w:sz w:val="24"/>
              </w:rPr>
              <w:t>100%</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成本指标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差旅费标准、会议培训会标准、会议培训会标准</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遵守达州市达川区差旅费有关标准、遵守达州市达川区会议费有关标准、遵守达州市达川区政府采购有关标准</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kern w:val="0"/>
                <w:sz w:val="24"/>
              </w:rPr>
            </w:pPr>
            <w:r>
              <w:rPr>
                <w:rFonts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经济效益指标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经济投资环境</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保护投资人的利益不受损害。确保社会平安、稳定。</w:t>
            </w:r>
          </w:p>
        </w:tc>
      </w:tr>
      <w:tr>
        <w:tblPrEx>
          <w:tblCellMar>
            <w:top w:w="15" w:type="dxa"/>
            <w:left w:w="15" w:type="dxa"/>
            <w:bottom w:w="0" w:type="dxa"/>
            <w:right w:w="15" w:type="dxa"/>
          </w:tblCellMar>
        </w:tblPrEx>
        <w:trPr>
          <w:trHeight w:val="103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社会效益指标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营造良好社会风气</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合理信访，及时处置，</w:t>
            </w:r>
            <w:r>
              <w:rPr>
                <w:rFonts w:hint="eastAsia" w:ascii="宋体" w:hAnsi="宋体" w:cs="宋体"/>
                <w:color w:val="000000"/>
                <w:sz w:val="24"/>
                <w:lang w:eastAsia="zh-CN"/>
              </w:rPr>
              <w:t>扫黑除恶</w:t>
            </w:r>
            <w:r>
              <w:rPr>
                <w:rFonts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合理信访，及时处置，</w:t>
            </w:r>
            <w:r>
              <w:rPr>
                <w:rFonts w:hint="eastAsia" w:ascii="宋体" w:hAnsi="宋体" w:cs="宋体"/>
                <w:color w:val="000000"/>
                <w:sz w:val="24"/>
                <w:lang w:eastAsia="zh-CN"/>
              </w:rPr>
              <w:t>扫黑除恶</w:t>
            </w:r>
            <w:r>
              <w:rPr>
                <w:rFonts w:ascii="宋体" w:hAnsi="宋体" w:cs="宋体"/>
                <w:color w:val="000000"/>
                <w:sz w:val="24"/>
              </w:rPr>
              <w:t>，综合治理，塑造了公平、正义、平安、和谐的社会。</w:t>
            </w:r>
          </w:p>
        </w:tc>
      </w:tr>
      <w:tr>
        <w:tblPrEx>
          <w:tblCellMar>
            <w:top w:w="15" w:type="dxa"/>
            <w:left w:w="15" w:type="dxa"/>
            <w:bottom w:w="0" w:type="dxa"/>
            <w:right w:w="15"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生态效益指标意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坚持绿色环保</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w:t>
            </w:r>
          </w:p>
        </w:tc>
      </w:tr>
      <w:tr>
        <w:tblPrEx>
          <w:tblCellMar>
            <w:top w:w="15" w:type="dxa"/>
            <w:left w:w="15" w:type="dxa"/>
            <w:bottom w:w="0" w:type="dxa"/>
            <w:right w:w="15" w:type="dxa"/>
          </w:tblCellMar>
        </w:tblPrEx>
        <w:trPr>
          <w:trHeight w:val="11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项目效益指标</w:t>
            </w:r>
            <w:r>
              <w:rPr>
                <w:rFonts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可持续影响指标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政策导向</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Arial" w:hAnsi="Arial" w:cs="Arial"/>
                <w:color w:val="000000"/>
                <w:sz w:val="24"/>
              </w:rPr>
              <w:t>已保障工作平稳进行</w:t>
            </w:r>
          </w:p>
        </w:tc>
      </w:tr>
      <w:tr>
        <w:tblPrEx>
          <w:tblCellMar>
            <w:top w:w="15" w:type="dxa"/>
            <w:left w:w="15" w:type="dxa"/>
            <w:bottom w:w="0" w:type="dxa"/>
            <w:right w:w="15"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0" w:type="dxa"/>
              <w:left w:w="0" w:type="dxa"/>
              <w:right w:w="0" w:type="dxa"/>
            </w:tcMar>
            <w:vAlign w:val="center"/>
          </w:tcPr>
          <w:p>
            <w:pPr>
              <w:pStyle w:val="4"/>
              <w:widowControl w:val="0"/>
              <w:spacing w:beforeLines="0" w:beforeAutospacing="0" w:afterLines="0" w:afterAutospacing="0"/>
              <w:jc w:val="left"/>
              <w:rPr>
                <w:rFonts w:ascii="宋体" w:hAnsi="宋体" w:cs="宋体"/>
                <w:color w:val="000000"/>
                <w:sz w:val="24"/>
              </w:rPr>
            </w:pPr>
          </w:p>
        </w:tc>
        <w:tc>
          <w:tcPr>
            <w:tcW w:w="1366"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满意度指标</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村民满意</w:t>
            </w:r>
          </w:p>
        </w:tc>
        <w:tc>
          <w:tcPr>
            <w:tcW w:w="2393"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textAlignment w:val="center"/>
              <w:rPr>
                <w:rFonts w:ascii="宋体" w:hAnsi="宋体" w:cs="宋体"/>
                <w:color w:val="000000"/>
                <w:sz w:val="24"/>
              </w:rPr>
            </w:pPr>
            <w:r>
              <w:rPr>
                <w:rFonts w:ascii="宋体" w:hAnsi="宋体" w:cs="宋体"/>
                <w:color w:val="000000"/>
                <w:sz w:val="24"/>
              </w:rPr>
              <w:t xml:space="preserve">       满意度</w:t>
            </w:r>
            <w:r>
              <w:rPr>
                <w:rFonts w:ascii="Arial" w:hAnsi="Arial" w:cs="Arial"/>
                <w:color w:val="000000"/>
                <w:sz w:val="24"/>
              </w:rPr>
              <w:t>≥</w:t>
            </w:r>
            <w:r>
              <w:rPr>
                <w:rFonts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vAlign w:val="center"/>
          </w:tcPr>
          <w:p>
            <w:pPr>
              <w:pStyle w:val="4"/>
              <w:widowControl w:val="0"/>
              <w:spacing w:beforeLines="0" w:beforeAutospacing="0" w:afterLines="0" w:afterAutospacing="0"/>
              <w:jc w:val="center"/>
              <w:textAlignment w:val="center"/>
              <w:rPr>
                <w:rFonts w:ascii="宋体" w:hAnsi="宋体" w:cs="宋体"/>
                <w:color w:val="000000"/>
                <w:sz w:val="24"/>
              </w:rPr>
            </w:pPr>
            <w:r>
              <w:rPr>
                <w:rFonts w:ascii="宋体" w:hAnsi="宋体" w:cs="宋体"/>
                <w:color w:val="000000"/>
                <w:sz w:val="24"/>
              </w:rPr>
              <w:t>已达到满意度</w:t>
            </w:r>
            <w:r>
              <w:rPr>
                <w:rFonts w:ascii="Arial" w:hAnsi="Arial" w:cs="Arial"/>
                <w:color w:val="000000"/>
                <w:sz w:val="24"/>
              </w:rPr>
              <w:t>≥</w:t>
            </w:r>
            <w:r>
              <w:rPr>
                <w:rFonts w:ascii="宋体" w:hAnsi="宋体" w:cs="宋体"/>
                <w:color w:val="000000"/>
                <w:sz w:val="24"/>
              </w:rPr>
              <w:t>95%</w:t>
            </w:r>
          </w:p>
        </w:tc>
      </w:tr>
    </w:tbl>
    <w:p>
      <w:pPr>
        <w:pStyle w:val="4"/>
        <w:spacing w:line="580" w:lineRule="exact"/>
        <w:ind w:firstLine="642" w:firstLineChars="200"/>
        <w:rPr>
          <w:rFonts w:ascii="仿宋" w:hAnsi="仿宋" w:eastAsia="仿宋" w:cs="仿宋_GB2312"/>
          <w:sz w:val="32"/>
          <w:szCs w:val="32"/>
        </w:rPr>
      </w:pPr>
      <w:r>
        <w:rPr>
          <w:rFonts w:ascii="仿宋" w:hAnsi="仿宋" w:eastAsia="仿宋" w:cs="楷体_GB2312"/>
          <w:b/>
          <w:bCs/>
          <w:sz w:val="32"/>
          <w:szCs w:val="32"/>
        </w:rPr>
        <w:t>（三）部门开展绩效评价结果。</w:t>
      </w:r>
    </w:p>
    <w:p>
      <w:pPr>
        <w:pStyle w:val="4"/>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本部门按要求对2020年部门整体支出绩效评价情况开展自评，《达川区桥湾镇部门2020年部门整体支出绩效评价报告》见附件。</w:t>
      </w:r>
    </w:p>
    <w:p>
      <w:pPr>
        <w:pStyle w:val="4"/>
        <w:numPr>
          <w:ilvl w:val="0"/>
          <w:numId w:val="0"/>
        </w:numPr>
        <w:spacing w:line="600" w:lineRule="exact"/>
        <w:ind w:firstLine="800" w:firstLineChars="250"/>
        <w:outlineLvl w:val="1"/>
        <w:rPr>
          <w:rFonts w:ascii="黑体" w:hAnsi="黑体" w:eastAsia="黑体"/>
          <w:color w:val="000000"/>
          <w:sz w:val="32"/>
          <w:szCs w:val="32"/>
        </w:rPr>
      </w:pPr>
      <w:r>
        <w:rPr>
          <w:rFonts w:ascii="仿宋_GB2312" w:hAnsi="仿宋_GB2312" w:eastAsia="仿宋_GB2312" w:cs="仿宋_GB2312"/>
          <w:sz w:val="32"/>
          <w:szCs w:val="32"/>
        </w:rPr>
        <w:t>本部门自行组织对财力保障项目开展了绩效评价，《桥湾镇2020项目年绩效评价报告》见附件。</w:t>
      </w:r>
    </w:p>
    <w:p>
      <w:pPr>
        <w:pStyle w:val="4"/>
        <w:numPr>
          <w:ilvl w:val="0"/>
          <w:numId w:val="0"/>
        </w:numPr>
        <w:spacing w:line="600" w:lineRule="exact"/>
        <w:jc w:val="center"/>
        <w:outlineLvl w:val="0"/>
        <w:rPr>
          <w:rFonts w:ascii="黑体" w:hAnsi="黑体" w:eastAsia="黑体"/>
          <w:b/>
          <w:color w:val="000000"/>
          <w:sz w:val="44"/>
          <w:szCs w:val="44"/>
        </w:rPr>
      </w:pPr>
    </w:p>
    <w:p>
      <w:pPr>
        <w:pStyle w:val="4"/>
        <w:numPr>
          <w:ilvl w:val="0"/>
          <w:numId w:val="0"/>
        </w:numPr>
        <w:spacing w:line="600" w:lineRule="exact"/>
        <w:jc w:val="center"/>
        <w:outlineLvl w:val="0"/>
        <w:rPr>
          <w:rFonts w:ascii="宋体" w:hAnsi="宋体"/>
          <w:b/>
          <w:color w:val="000000"/>
          <w:sz w:val="44"/>
          <w:szCs w:val="44"/>
        </w:rPr>
      </w:pPr>
      <w:r>
        <w:rPr>
          <w:rFonts w:ascii="黑体" w:hAnsi="黑体" w:eastAsia="黑体"/>
          <w:b/>
          <w:color w:val="000000"/>
          <w:sz w:val="44"/>
          <w:szCs w:val="44"/>
        </w:rPr>
        <w:t>第三部分名</w:t>
      </w:r>
      <w:r>
        <w:rPr>
          <w:rStyle w:val="11"/>
          <w:rFonts w:ascii="黑体" w:hAnsi="黑体" w:eastAsia="黑体"/>
          <w:b w:val="0"/>
        </w:rPr>
        <w:t>词解释</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1、财政拨款收入：指区级财政当年拨付的资金。</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2、一般公共服务（类）政府办公厅（室）及相关机构事务（款）行政运行（项）：反映行政单位（包括实行公务员管理的事业单位）的基本支出。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 一般公共服务支出（类）政府办公厅（室）及相关机构事务（款）一般行政管理事务（项）：反应行政单位行政管理事物方面的支出。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4、一般公共服务（类）财政事务（款）行政运行（项）：反映财政方面的支出。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5、一般公共服务支出（类）纪检监察事务（款）其他纪检监察事务支出（项）：反应本单位纪检监察相关事物支出。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6、文化体育与传媒支出（类）文化（款）群众文化（项）：反映群众文化方面的支出，包括基层文化馆（站）、群众艺术馆支出等。</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 xml:space="preserve">7、文化体育与传媒支出（类）新闻出版广播影视（款）广播（项）：反映广播系统职工工资及影视方面的支出。 </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8、社会保障和就业支出（类）行政事业单位离退休（款）  机关事业单位基本养老保险缴费支出★（项）：反映机关事业单位基本养老保险缴费。</w:t>
      </w:r>
    </w:p>
    <w:p>
      <w:pPr>
        <w:pStyle w:val="4"/>
        <w:spacing w:line="600" w:lineRule="exact"/>
        <w:ind w:firstLine="640" w:firstLineChars="200"/>
        <w:rPr>
          <w:rStyle w:val="8"/>
          <w:rFonts w:ascii="仿宋" w:hAnsi="仿宋" w:eastAsia="仿宋"/>
          <w:b w:val="0"/>
          <w:bCs/>
          <w:color w:val="000000"/>
          <w:sz w:val="32"/>
          <w:szCs w:val="32"/>
        </w:rPr>
      </w:pPr>
      <w:r>
        <w:rPr>
          <w:rFonts w:ascii="仿宋_GB2312" w:hAnsi="仿宋_GB2312" w:eastAsia="仿宋_GB2312"/>
          <w:sz w:val="32"/>
          <w:szCs w:val="32"/>
        </w:rPr>
        <w:t>9、社会保障和就业支出（类）行政事业单位离退休（款）机关事业单位职业年金缴费支出★（项）：反应机关事业</w:t>
      </w:r>
      <w:r>
        <w:rPr>
          <w:rStyle w:val="8"/>
          <w:rFonts w:ascii="仿宋" w:hAnsi="仿宋" w:eastAsia="仿宋"/>
          <w:b w:val="0"/>
          <w:bCs/>
          <w:color w:val="000000"/>
          <w:sz w:val="32"/>
          <w:szCs w:val="32"/>
        </w:rPr>
        <w:t>单位职业年金单位部分缴费情况。</w:t>
      </w:r>
    </w:p>
    <w:p>
      <w:pPr>
        <w:pStyle w:val="4"/>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10社会保障和就业支出（类）抚恤（款）死亡抚恤（项）反应机关事业单位职工死亡抚恤金安葬费等情况。</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11、社会保障和就业支出（类）抚恤（款）在乡复员、退伍军人生活补助（项）：反映复员、退伍军人领取的生活补助等方面的支出。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12、社会保障和就业支出（类）残疾人事业（款）其他残疾人事业支出（项）：主要反应残疾人专职委员相关工资福利费开支。</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 xml:space="preserve">13、社会保障和就业支出（类）抚恤（款）义务兵优待（项）：反映义务兵优待方面的支出。 </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14、社会保障和就业支出（类）特困人员救助供养★（款）农村特困人员救助供养支出★（项）：反映用于城乡五保人员的生活补助支出。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15、医疗卫生与计划生育支出（类）计划生育事务（款）计划生育机构（项）：反映卫生和计划生育部门所属计划生育机构的支出。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18、医疗卫生与计划生育支出（类）行政事业单位医疗（款）公务员医疗补助★（项）：主要反映本单位公务员医疗补助缴费的情况。</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19、医疗卫生与计划生育支出（类）计划生育事务（款）其他计划生育事物支出（项）：反应计划生育机构事业单位部门等发生的支出。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20、城乡社区支出（类）城乡社区环境卫生（款）  城乡社区环境卫生（项）：主要反映本单位辖区城乡社区环境整治等费用支出。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22、城乡社区支出（类）其他城乡社区支出（款）其他城乡社区支出（项）：反应城乡社区其他方面支出。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23、农林水支出（类）农业（款）事业运行（项）：反映用于农业事业单位基本支出，事业单位设施、系统运行与资产维护等方面的支出。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24、农林水支出（类）农业（款）农村道路建设（项）：反映对农村道路建设的补助支出。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25、农林水支出（类）扶贫（款）其他扶贫支出（项）：反映用于农村脱贫攻坚中的支出。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26、农林水支出（类）农业综合开发（款）产业化经营（项）：主要反映农村产业发展的补助支出。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27、农林水支出（类）农村综合改革（款）对村级一事一议的补助（项）：反映农村对村级一事一议财政奖补情况的支出。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28、农林水支出（类）农村综合改革（款）对村民委员会和村支部的补助（项）：反映各级财政对村民委员会和村党支部的补助支出。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29、住房保障支出（类）住房改革支出（款）  住房公积金（项）：反映用于本乡职工住房公积金缴存等支出。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30、其他支出（类）彩票公益金及对应专项债务收入安排的支出（款）用于体育事业的彩票公益金支出（项）：反映用于本乡维修维护支出。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31、结余分配：指事业单位按规定提取的职工福利基金、事业基金和缴纳的所得税，以及建设单位按规定应交回的基本建设竣工项目结余资金。</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32、年末结转和结余：指本年度或以前年度预算安排、因客观条件发生变化无法按原计划实施，需延迟到以后年度按有关规定继续使用的资金。</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33、基本支出：指为保障机构正常运转、完成日常工作任务而发生的人员支出和公用支出。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 xml:space="preserve">34、项目支出：指在基本支出之外为完成特定行政任务和事业发展目标所发生的支出。 </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35、经营支出：指事业单位在专业业务活动及其辅助活动之外开展非独立核算经营活动发生的支出。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numPr>
          <w:ilvl w:val="0"/>
          <w:numId w:val="0"/>
        </w:numPr>
        <w:spacing w:line="600" w:lineRule="exact"/>
        <w:ind w:firstLine="640" w:firstLineChars="200"/>
        <w:jc w:val="left"/>
        <w:outlineLvl w:val="0"/>
        <w:rPr>
          <w:rFonts w:ascii="仿宋_GB2312" w:hAnsi="仿宋_GB2312" w:eastAsia="仿宋_GB2312"/>
          <w:sz w:val="32"/>
          <w:szCs w:val="32"/>
        </w:rPr>
      </w:pPr>
      <w:r>
        <w:rPr>
          <w:rFonts w:ascii="仿宋_GB2312" w:hAns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
        <w:numPr>
          <w:ilvl w:val="0"/>
          <w:numId w:val="0"/>
        </w:numPr>
        <w:spacing w:line="600" w:lineRule="exact"/>
        <w:jc w:val="center"/>
        <w:outlineLvl w:val="0"/>
        <w:rPr>
          <w:rStyle w:val="11"/>
        </w:rPr>
      </w:pPr>
      <w:bookmarkStart w:id="55" w:name="_Toc15377226"/>
      <w:r>
        <w:rPr>
          <w:rFonts w:ascii="黑体" w:hAnsi="黑体" w:eastAsia="黑体"/>
          <w:color w:val="000000"/>
          <w:sz w:val="44"/>
          <w:szCs w:val="44"/>
        </w:rPr>
        <w:t>第</w:t>
      </w:r>
      <w:r>
        <w:rPr>
          <w:rStyle w:val="11"/>
          <w:rFonts w:ascii="黑体" w:hAnsi="黑体" w:eastAsia="黑体"/>
          <w:b w:val="0"/>
        </w:rPr>
        <w:t>四部分 附件</w:t>
      </w:r>
    </w:p>
    <w:p>
      <w:pPr>
        <w:pStyle w:val="14"/>
        <w:rPr>
          <w:rStyle w:val="11"/>
          <w:rFonts w:ascii="仿宋" w:hAnsi="仿宋" w:eastAsia="仿宋"/>
          <w:b w:val="0"/>
          <w:bCs w:val="0"/>
          <w:sz w:val="32"/>
          <w:szCs w:val="32"/>
        </w:rPr>
      </w:pPr>
      <w:bookmarkStart w:id="56" w:name="_Toc15396615"/>
      <w:r>
        <w:rPr>
          <w:rStyle w:val="11"/>
          <w:rFonts w:ascii="仿宋" w:hAnsi="仿宋" w:eastAsia="仿宋"/>
          <w:b w:val="0"/>
          <w:bCs w:val="0"/>
          <w:sz w:val="32"/>
          <w:szCs w:val="32"/>
        </w:rPr>
        <w:t>附件</w:t>
      </w:r>
      <w:bookmarkEnd w:id="56"/>
      <w:r>
        <w:rPr>
          <w:rStyle w:val="11"/>
          <w:rFonts w:ascii="仿宋" w:hAnsi="仿宋" w:eastAsia="仿宋"/>
          <w:b w:val="0"/>
          <w:bCs w:val="0"/>
          <w:sz w:val="32"/>
          <w:szCs w:val="32"/>
        </w:rPr>
        <w:t>1</w:t>
      </w:r>
    </w:p>
    <w:p>
      <w:pPr>
        <w:pStyle w:val="4"/>
        <w:numPr>
          <w:ilvl w:val="0"/>
          <w:numId w:val="0"/>
        </w:numPr>
        <w:spacing w:line="600" w:lineRule="exact"/>
        <w:jc w:val="center"/>
        <w:outlineLvl w:val="0"/>
        <w:rPr>
          <w:rStyle w:val="11"/>
          <w:rFonts w:ascii="仿宋" w:hAnsi="仿宋" w:eastAsia="仿宋"/>
          <w:b w:val="0"/>
          <w:bCs w:val="0"/>
          <w:sz w:val="32"/>
          <w:szCs w:val="32"/>
        </w:rPr>
      </w:pPr>
      <w:r>
        <w:rPr>
          <w:rFonts w:ascii="黑体" w:hAnsi="黑体" w:eastAsia="黑体" w:cs="黑体"/>
          <w:sz w:val="44"/>
          <w:szCs w:val="44"/>
        </w:rPr>
        <w:t>关于2020年度部门整体支出绩效自评报告</w:t>
      </w:r>
      <w:bookmarkStart w:id="57" w:name="_Toc15396616"/>
      <w:bookmarkEnd w:id="57"/>
    </w:p>
    <w:p>
      <w:pPr>
        <w:pStyle w:val="4"/>
        <w:spacing w:line="578" w:lineRule="exact"/>
        <w:ind w:firstLine="800" w:firstLineChars="250"/>
        <w:rPr>
          <w:rFonts w:ascii="仿宋" w:hAnsi="仿宋" w:eastAsia="仿宋" w:cs="仿宋"/>
          <w:sz w:val="32"/>
          <w:szCs w:val="32"/>
        </w:rPr>
      </w:pPr>
      <w:bookmarkStart w:id="58" w:name="_Toc15396618"/>
    </w:p>
    <w:p>
      <w:pPr>
        <w:pStyle w:val="4"/>
        <w:spacing w:line="578" w:lineRule="exact"/>
        <w:rPr>
          <w:rFonts w:ascii="仿宋" w:hAnsi="仿宋" w:eastAsia="仿宋" w:cs="仿宋"/>
          <w:sz w:val="32"/>
          <w:szCs w:val="32"/>
        </w:rPr>
      </w:pPr>
      <w:r>
        <w:rPr>
          <w:rFonts w:ascii="仿宋" w:hAnsi="仿宋" w:eastAsia="仿宋" w:cs="仿宋"/>
          <w:sz w:val="32"/>
          <w:szCs w:val="32"/>
        </w:rPr>
        <w:t xml:space="preserve">    按照区委区政府全面推进财政绩效管理，进一步强化支出责任，着力提高财政资金使用效益，结合自身实际，特对我镇2020年度部门整体支出绩效自评报告如下：</w:t>
      </w:r>
    </w:p>
    <w:p>
      <w:pPr>
        <w:pStyle w:val="4"/>
        <w:spacing w:line="578" w:lineRule="exact"/>
        <w:ind w:firstLine="640" w:firstLineChars="200"/>
        <w:rPr>
          <w:rFonts w:ascii="黑体" w:hAnsi="黑体" w:eastAsia="黑体"/>
          <w:sz w:val="32"/>
          <w:szCs w:val="32"/>
        </w:rPr>
      </w:pPr>
      <w:r>
        <w:rPr>
          <w:rFonts w:ascii="黑体" w:hAnsi="黑体" w:eastAsia="黑体"/>
          <w:sz w:val="32"/>
          <w:szCs w:val="32"/>
        </w:rPr>
        <w:t>一、部门（单位）概况</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（一）机构组成</w:t>
      </w:r>
    </w:p>
    <w:p>
      <w:pPr>
        <w:pStyle w:val="4"/>
        <w:spacing w:line="578" w:lineRule="exact"/>
        <w:ind w:firstLine="627" w:firstLineChars="196"/>
        <w:rPr>
          <w:rFonts w:ascii="方正仿宋简体" w:hAnsi="方正仿宋简体" w:eastAsia="方正仿宋简体"/>
          <w:sz w:val="32"/>
          <w:szCs w:val="32"/>
        </w:rPr>
      </w:pPr>
      <w:r>
        <w:rPr>
          <w:rFonts w:ascii="方正仿宋简体" w:hAnsi="方正仿宋简体" w:eastAsia="方正仿宋简体"/>
          <w:sz w:val="32"/>
          <w:szCs w:val="32"/>
        </w:rPr>
        <w:t>达州市达川区桥湾镇人民政府为四级行政单位，属于全额拨款行政单位，机关包括党委、政府、人大、政协联络组四个领导机构及五个中心，即：便民服务中心、农民工服务中心、农业综合服务中心、社会事业发展中心及社区管理中心。</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（二）机构职能</w:t>
      </w:r>
    </w:p>
    <w:p>
      <w:pPr>
        <w:pStyle w:val="4"/>
        <w:spacing w:line="578" w:lineRule="exact"/>
        <w:ind w:firstLine="627" w:firstLineChars="196"/>
        <w:rPr>
          <w:rFonts w:ascii="方正仿宋简体" w:hAnsi="方正仿宋简体" w:eastAsia="方正仿宋简体"/>
          <w:sz w:val="32"/>
          <w:szCs w:val="32"/>
        </w:rPr>
      </w:pPr>
      <w:r>
        <w:rPr>
          <w:rFonts w:ascii="方正仿宋简体" w:hAnsi="方正仿宋简体" w:eastAsia="方正仿宋简体"/>
          <w:sz w:val="32"/>
          <w:szCs w:val="32"/>
        </w:rPr>
        <w:t>维护社会稳定，促进经济发展，不断提高人民群众的生活水平，全心全意为人民服务。</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（三）人员概况</w:t>
      </w:r>
    </w:p>
    <w:p>
      <w:pPr>
        <w:pStyle w:val="4"/>
        <w:spacing w:line="578" w:lineRule="exact"/>
        <w:ind w:firstLine="627" w:firstLineChars="196"/>
        <w:rPr>
          <w:rFonts w:ascii="方正仿宋简体" w:hAnsi="方正仿宋简体" w:eastAsia="方正仿宋简体"/>
          <w:sz w:val="32"/>
          <w:szCs w:val="32"/>
        </w:rPr>
      </w:pPr>
      <w:r>
        <w:rPr>
          <w:rFonts w:ascii="方正仿宋简体" w:hAnsi="方正仿宋简体" w:eastAsia="方正仿宋简体"/>
          <w:sz w:val="32"/>
          <w:szCs w:val="32"/>
        </w:rPr>
        <w:t>本单位编制人数</w:t>
      </w:r>
      <w:r>
        <w:rPr>
          <w:rFonts w:ascii="方正仿宋简体" w:hAnsi="方正仿宋简体" w:eastAsia="方正仿宋简体"/>
          <w:color w:val="000000"/>
          <w:sz w:val="32"/>
          <w:szCs w:val="32"/>
        </w:rPr>
        <w:t>39</w:t>
      </w:r>
      <w:r>
        <w:rPr>
          <w:rFonts w:ascii="方正仿宋简体" w:hAnsi="方正仿宋简体" w:eastAsia="方正仿宋简体"/>
          <w:sz w:val="32"/>
          <w:szCs w:val="32"/>
        </w:rPr>
        <w:t>人，其中行政编制</w:t>
      </w:r>
      <w:r>
        <w:rPr>
          <w:rFonts w:ascii="方正仿宋简体" w:hAnsi="方正仿宋简体" w:eastAsia="方正仿宋简体"/>
          <w:color w:val="000000"/>
          <w:sz w:val="32"/>
          <w:szCs w:val="32"/>
        </w:rPr>
        <w:t>23</w:t>
      </w:r>
      <w:r>
        <w:rPr>
          <w:rFonts w:ascii="方正仿宋简体" w:hAnsi="方正仿宋简体" w:eastAsia="方正仿宋简体"/>
          <w:sz w:val="32"/>
          <w:szCs w:val="32"/>
        </w:rPr>
        <w:t>人，事业编制</w:t>
      </w:r>
      <w:r>
        <w:rPr>
          <w:rFonts w:ascii="方正仿宋简体" w:hAnsi="方正仿宋简体" w:eastAsia="方正仿宋简体"/>
          <w:color w:val="000000"/>
          <w:sz w:val="32"/>
          <w:szCs w:val="32"/>
        </w:rPr>
        <w:t>16</w:t>
      </w:r>
      <w:r>
        <w:rPr>
          <w:rFonts w:ascii="方正仿宋简体" w:hAnsi="方正仿宋简体" w:eastAsia="方正仿宋简体"/>
          <w:sz w:val="32"/>
          <w:szCs w:val="32"/>
        </w:rPr>
        <w:t>人；年末实有人数</w:t>
      </w:r>
      <w:r>
        <w:rPr>
          <w:rFonts w:ascii="方正仿宋简体" w:hAnsi="方正仿宋简体" w:eastAsia="方正仿宋简体"/>
          <w:color w:val="000000"/>
          <w:sz w:val="32"/>
          <w:szCs w:val="32"/>
        </w:rPr>
        <w:t>39</w:t>
      </w:r>
      <w:r>
        <w:rPr>
          <w:rFonts w:ascii="方正仿宋简体" w:hAnsi="方正仿宋简体" w:eastAsia="方正仿宋简体"/>
          <w:sz w:val="32"/>
          <w:szCs w:val="32"/>
        </w:rPr>
        <w:t>人，其中在职</w:t>
      </w:r>
      <w:r>
        <w:rPr>
          <w:rFonts w:ascii="方正仿宋简体" w:hAnsi="方正仿宋简体" w:eastAsia="方正仿宋简体"/>
          <w:color w:val="000000"/>
          <w:sz w:val="32"/>
          <w:szCs w:val="32"/>
        </w:rPr>
        <w:t>39</w:t>
      </w:r>
      <w:r>
        <w:rPr>
          <w:rFonts w:ascii="方正仿宋简体" w:hAnsi="方正仿宋简体" w:eastAsia="方正仿宋简体"/>
          <w:sz w:val="32"/>
          <w:szCs w:val="32"/>
        </w:rPr>
        <w:t>人，退休</w:t>
      </w:r>
      <w:r>
        <w:rPr>
          <w:rFonts w:ascii="方正仿宋简体" w:hAnsi="方正仿宋简体" w:eastAsia="方正仿宋简体"/>
          <w:color w:val="000000"/>
          <w:sz w:val="32"/>
          <w:szCs w:val="32"/>
        </w:rPr>
        <w:t>21</w:t>
      </w:r>
      <w:r>
        <w:rPr>
          <w:rFonts w:ascii="方正仿宋简体" w:hAnsi="方正仿宋简体" w:eastAsia="方正仿宋简体"/>
          <w:sz w:val="32"/>
          <w:szCs w:val="32"/>
        </w:rPr>
        <w:t>人。</w:t>
      </w:r>
    </w:p>
    <w:p>
      <w:pPr>
        <w:pStyle w:val="4"/>
        <w:spacing w:line="578" w:lineRule="exact"/>
        <w:ind w:firstLine="640" w:firstLineChars="200"/>
        <w:rPr>
          <w:rFonts w:ascii="黑体" w:hAnsi="黑体" w:eastAsia="黑体"/>
          <w:sz w:val="32"/>
          <w:szCs w:val="32"/>
        </w:rPr>
      </w:pPr>
      <w:r>
        <w:rPr>
          <w:rFonts w:ascii="黑体" w:hAnsi="黑体" w:eastAsia="黑体"/>
          <w:sz w:val="32"/>
          <w:szCs w:val="32"/>
        </w:rPr>
        <w:t>二、2019年部门收支情况</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（一）部门财政资金收入情况</w:t>
      </w:r>
    </w:p>
    <w:p>
      <w:pPr>
        <w:pStyle w:val="4"/>
        <w:spacing w:line="578" w:lineRule="exact"/>
        <w:ind w:firstLine="627" w:firstLineChars="196"/>
        <w:rPr>
          <w:rFonts w:ascii="方正仿宋简体" w:hAnsi="方正仿宋简体" w:eastAsia="方正仿宋简体"/>
          <w:sz w:val="32"/>
          <w:szCs w:val="32"/>
        </w:rPr>
      </w:pPr>
      <w:r>
        <w:rPr>
          <w:rFonts w:ascii="方正仿宋简体" w:hAnsi="方正仿宋简体" w:eastAsia="方正仿宋简体"/>
          <w:sz w:val="32"/>
          <w:szCs w:val="32"/>
        </w:rPr>
        <w:t>2020年，桥湾镇财政拨款收入</w:t>
      </w:r>
      <w:r>
        <w:rPr>
          <w:rFonts w:ascii="方正仿宋简体" w:hAnsi="方正仿宋简体" w:eastAsia="方正仿宋简体"/>
          <w:color w:val="000000"/>
          <w:sz w:val="32"/>
          <w:szCs w:val="32"/>
        </w:rPr>
        <w:t>2067.72</w:t>
      </w:r>
      <w:r>
        <w:rPr>
          <w:rFonts w:ascii="方正仿宋简体" w:hAnsi="方正仿宋简体" w:eastAsia="方正仿宋简体"/>
          <w:sz w:val="32"/>
          <w:szCs w:val="32"/>
        </w:rPr>
        <w:t>万元，其中：一般公共预算财政拨款</w:t>
      </w:r>
      <w:r>
        <w:rPr>
          <w:rFonts w:ascii="方正仿宋简体" w:hAnsi="方正仿宋简体" w:eastAsia="方正仿宋简体"/>
          <w:color w:val="auto"/>
          <w:sz w:val="32"/>
          <w:szCs w:val="32"/>
        </w:rPr>
        <w:t>1797.79</w:t>
      </w:r>
      <w:r>
        <w:rPr>
          <w:rFonts w:ascii="方正仿宋简体" w:hAnsi="方正仿宋简体" w:eastAsia="方正仿宋简体"/>
          <w:sz w:val="32"/>
          <w:szCs w:val="32"/>
        </w:rPr>
        <w:t>万元，政府性基金预算财政拨款</w:t>
      </w:r>
      <w:r>
        <w:rPr>
          <w:rFonts w:ascii="方正仿宋简体" w:hAnsi="方正仿宋简体" w:eastAsia="方正仿宋简体"/>
          <w:color w:val="auto"/>
          <w:sz w:val="32"/>
          <w:szCs w:val="32"/>
        </w:rPr>
        <w:t>269.93</w:t>
      </w:r>
      <w:r>
        <w:rPr>
          <w:rFonts w:ascii="方正仿宋简体" w:hAnsi="方正仿宋简体" w:eastAsia="方正仿宋简体"/>
          <w:sz w:val="32"/>
          <w:szCs w:val="32"/>
        </w:rPr>
        <w:t>万元。</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（二）部门财政资金支出情况</w:t>
      </w:r>
    </w:p>
    <w:p>
      <w:pPr>
        <w:pStyle w:val="4"/>
        <w:spacing w:line="578" w:lineRule="exact"/>
        <w:ind w:firstLine="627" w:firstLineChars="196"/>
        <w:rPr>
          <w:rFonts w:ascii="方正仿宋简体" w:hAnsi="方正仿宋简体" w:eastAsia="方正仿宋简体"/>
          <w:bCs/>
          <w:sz w:val="32"/>
          <w:szCs w:val="32"/>
        </w:rPr>
      </w:pPr>
      <w:r>
        <w:rPr>
          <w:rFonts w:ascii="方正仿宋简体" w:hAnsi="方正仿宋简体" w:eastAsia="方正仿宋简体"/>
          <w:bCs/>
          <w:sz w:val="32"/>
          <w:szCs w:val="32"/>
        </w:rPr>
        <w:t>2020年达州市达川区桥湾镇人民政府本级本年支出</w:t>
      </w:r>
      <w:r>
        <w:rPr>
          <w:rFonts w:ascii="方正仿宋简体" w:hAnsi="方正仿宋简体" w:eastAsia="方正仿宋简体"/>
          <w:bCs/>
          <w:color w:val="000000"/>
          <w:sz w:val="32"/>
          <w:szCs w:val="32"/>
        </w:rPr>
        <w:t>2067.72</w:t>
      </w:r>
      <w:r>
        <w:rPr>
          <w:rFonts w:ascii="方正仿宋简体" w:hAnsi="方正仿宋简体" w:eastAsia="方正仿宋简体"/>
          <w:bCs/>
          <w:sz w:val="32"/>
          <w:szCs w:val="32"/>
        </w:rPr>
        <w:t>万元，其中：基本支出</w:t>
      </w:r>
      <w:r>
        <w:rPr>
          <w:rFonts w:ascii="方正仿宋简体" w:hAnsi="方正仿宋简体" w:eastAsia="方正仿宋简体"/>
          <w:bCs/>
          <w:color w:val="000000"/>
          <w:sz w:val="32"/>
          <w:szCs w:val="32"/>
        </w:rPr>
        <w:t>1157.12</w:t>
      </w:r>
      <w:r>
        <w:rPr>
          <w:rFonts w:ascii="方正仿宋简体" w:hAnsi="方正仿宋简体" w:eastAsia="方正仿宋简体"/>
          <w:bCs/>
          <w:sz w:val="32"/>
          <w:szCs w:val="32"/>
        </w:rPr>
        <w:t>万元（人员经费</w:t>
      </w:r>
      <w:r>
        <w:rPr>
          <w:rFonts w:ascii="方正仿宋简体" w:hAnsi="方正仿宋简体" w:eastAsia="方正仿宋简体"/>
          <w:bCs/>
          <w:color w:val="000000"/>
          <w:sz w:val="32"/>
          <w:szCs w:val="32"/>
        </w:rPr>
        <w:t>908.55</w:t>
      </w:r>
      <w:r>
        <w:rPr>
          <w:rFonts w:ascii="方正仿宋简体" w:hAnsi="方正仿宋简体" w:eastAsia="方正仿宋简体"/>
          <w:bCs/>
          <w:sz w:val="32"/>
          <w:szCs w:val="32"/>
        </w:rPr>
        <w:t>万元和日常公用经费</w:t>
      </w:r>
      <w:r>
        <w:rPr>
          <w:rFonts w:ascii="方正仿宋简体" w:hAnsi="方正仿宋简体" w:eastAsia="方正仿宋简体"/>
          <w:bCs/>
          <w:color w:val="000000"/>
          <w:sz w:val="32"/>
          <w:szCs w:val="32"/>
        </w:rPr>
        <w:t>248.57</w:t>
      </w:r>
      <w:r>
        <w:rPr>
          <w:rFonts w:ascii="方正仿宋简体" w:hAnsi="方正仿宋简体" w:eastAsia="方正仿宋简体"/>
          <w:bCs/>
          <w:sz w:val="32"/>
          <w:szCs w:val="32"/>
        </w:rPr>
        <w:t>万元），项目支出</w:t>
      </w:r>
      <w:r>
        <w:rPr>
          <w:rFonts w:ascii="方正仿宋简体" w:hAnsi="方正仿宋简体" w:eastAsia="方正仿宋简体"/>
          <w:bCs/>
          <w:color w:val="000000"/>
          <w:sz w:val="32"/>
          <w:szCs w:val="32"/>
        </w:rPr>
        <w:t>910.6</w:t>
      </w:r>
      <w:r>
        <w:rPr>
          <w:rFonts w:ascii="方正仿宋简体" w:hAnsi="方正仿宋简体" w:eastAsia="方正仿宋简体"/>
          <w:bCs/>
          <w:sz w:val="32"/>
          <w:szCs w:val="32"/>
        </w:rPr>
        <w:t>万元。</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（三）部门财政收入结转结余情况</w:t>
      </w:r>
    </w:p>
    <w:p>
      <w:pPr>
        <w:pStyle w:val="4"/>
        <w:spacing w:line="578" w:lineRule="exact"/>
        <w:ind w:firstLine="627" w:firstLineChars="196"/>
        <w:rPr>
          <w:rFonts w:ascii="方正仿宋简体" w:hAnsi="方正仿宋简体" w:eastAsia="方正仿宋简体"/>
          <w:bCs/>
          <w:sz w:val="32"/>
          <w:szCs w:val="32"/>
        </w:rPr>
      </w:pPr>
      <w:r>
        <w:rPr>
          <w:rFonts w:ascii="方正仿宋简体" w:hAnsi="方正仿宋简体" w:eastAsia="方正仿宋简体"/>
          <w:bCs/>
          <w:sz w:val="32"/>
          <w:szCs w:val="32"/>
        </w:rPr>
        <w:t>2020年本单位无下年结转资金。</w:t>
      </w:r>
    </w:p>
    <w:p>
      <w:pPr>
        <w:pStyle w:val="4"/>
        <w:spacing w:line="578" w:lineRule="exact"/>
        <w:ind w:firstLine="640" w:firstLineChars="200"/>
        <w:rPr>
          <w:rFonts w:ascii="黑体" w:hAnsi="黑体" w:eastAsia="黑体"/>
          <w:sz w:val="32"/>
          <w:szCs w:val="32"/>
        </w:rPr>
      </w:pPr>
      <w:r>
        <w:rPr>
          <w:rFonts w:ascii="黑体" w:hAnsi="黑体" w:eastAsia="黑体"/>
          <w:sz w:val="32"/>
          <w:szCs w:val="32"/>
        </w:rPr>
        <w:t>三、部门整体预算绩效管理情况</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（一）部门预算管理</w:t>
      </w:r>
      <w:r>
        <w:rPr>
          <w:rFonts w:ascii="楷体_GB2312" w:hAnsi="楷体_GB2312" w:eastAsia="楷体_GB2312"/>
          <w:b/>
          <w:sz w:val="32"/>
          <w:szCs w:val="32"/>
        </w:rPr>
        <w:tab/>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sz w:val="32"/>
          <w:szCs w:val="32"/>
        </w:rPr>
        <w:t>1.</w:t>
      </w:r>
      <w:r>
        <w:rPr>
          <w:rFonts w:ascii="方正仿宋简体" w:hAnsi="方正仿宋简体" w:eastAsia="方正仿宋简体"/>
          <w:color w:val="000000"/>
          <w:sz w:val="32"/>
          <w:szCs w:val="32"/>
          <w:shd w:val="clear" w:fill="FFFFFF"/>
        </w:rPr>
        <w:t>桥湾镇人民政府按照区财政的要求及时组织财务人员进行预决的编制，对本年度相应用款进行及时清理和处理，做到账账相符、账实相符、账证相符，先有预算再有支出的原则，及时处理相关事务；</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2.对绩效目标进行认真梳理和分析，及时上报相关报表；</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color w:val="000000"/>
          <w:sz w:val="32"/>
          <w:szCs w:val="32"/>
          <w:shd w:val="clear" w:fill="FFFFFF"/>
        </w:rPr>
        <w:t>3.对专项预算提前细化，分科目上报，做到收支平衡。</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（二）执行管理情况</w:t>
      </w:r>
      <w:r>
        <w:rPr>
          <w:rFonts w:ascii="楷体_GB2312" w:hAnsi="楷体_GB2312" w:eastAsia="楷体_GB2312"/>
          <w:b/>
          <w:sz w:val="32"/>
          <w:szCs w:val="32"/>
        </w:rPr>
        <w:tab/>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桥湾镇人民政府按照区财政的要求，认真总结经验，及时上报相关的用款计划，待财政审核通过后，严格按计划执行，执行情况良好。</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（四）综合管理情况</w:t>
      </w:r>
    </w:p>
    <w:p>
      <w:pPr>
        <w:pStyle w:val="4"/>
        <w:spacing w:line="578" w:lineRule="exact"/>
        <w:ind w:firstLine="627" w:firstLineChars="196"/>
        <w:rPr>
          <w:rFonts w:ascii="方正仿宋简体" w:hAnsi="方正仿宋简体" w:eastAsia="方正仿宋简体"/>
          <w:b/>
          <w:sz w:val="32"/>
          <w:szCs w:val="32"/>
        </w:rPr>
      </w:pPr>
      <w:r>
        <w:rPr>
          <w:rFonts w:ascii="方正仿宋简体" w:hAnsi="方正仿宋简体" w:eastAsia="方正仿宋简体"/>
          <w:color w:val="000000"/>
          <w:sz w:val="32"/>
          <w:szCs w:val="32"/>
          <w:shd w:val="clear" w:fill="FFFFFF"/>
        </w:rPr>
        <w:t>桥湾镇人民政府严格执行机关财务管理规章制度，实行会计核算和账务管理制度公开，政府采购制度公开公示，并接受群众监督等。</w:t>
      </w:r>
      <w:r>
        <w:rPr>
          <w:rFonts w:ascii="方正仿宋简体" w:hAnsi="方正仿宋简体" w:eastAsia="方正仿宋简体"/>
          <w:b/>
          <w:sz w:val="32"/>
          <w:szCs w:val="32"/>
        </w:rPr>
        <w:tab/>
      </w:r>
    </w:p>
    <w:p>
      <w:pPr>
        <w:pStyle w:val="4"/>
        <w:spacing w:line="578" w:lineRule="exact"/>
        <w:ind w:firstLine="642" w:firstLineChars="200"/>
        <w:rPr>
          <w:rFonts w:ascii="方正仿宋简体" w:hAnsi="方正仿宋简体" w:eastAsia="方正仿宋简体"/>
          <w:b/>
          <w:sz w:val="32"/>
          <w:szCs w:val="32"/>
        </w:rPr>
      </w:pPr>
      <w:r>
        <w:rPr>
          <w:rFonts w:ascii="方正仿宋简体" w:hAnsi="方正仿宋简体" w:eastAsia="方正仿宋简体"/>
          <w:b/>
          <w:sz w:val="32"/>
          <w:szCs w:val="32"/>
        </w:rPr>
        <w:t>1.政府性债务管理情况。</w:t>
      </w:r>
      <w:r>
        <w:rPr>
          <w:rFonts w:ascii="方正仿宋简体" w:hAnsi="方正仿宋简体" w:eastAsia="方正仿宋简体"/>
          <w:sz w:val="32"/>
          <w:szCs w:val="32"/>
        </w:rPr>
        <w:t>本单位2020年无债务。</w:t>
      </w:r>
    </w:p>
    <w:p>
      <w:pPr>
        <w:pStyle w:val="4"/>
        <w:spacing w:line="578" w:lineRule="exact"/>
        <w:ind w:firstLine="642" w:firstLineChars="200"/>
        <w:rPr>
          <w:rFonts w:ascii="方正仿宋简体" w:hAnsi="方正仿宋简体" w:eastAsia="方正仿宋简体"/>
          <w:b/>
          <w:sz w:val="32"/>
          <w:szCs w:val="32"/>
        </w:rPr>
      </w:pPr>
      <w:r>
        <w:rPr>
          <w:rFonts w:ascii="方正仿宋简体" w:hAnsi="方正仿宋简体" w:eastAsia="方正仿宋简体"/>
          <w:b/>
          <w:sz w:val="32"/>
          <w:szCs w:val="32"/>
        </w:rPr>
        <w:t>2.非税收入管理情况。</w:t>
      </w:r>
      <w:r>
        <w:rPr>
          <w:rFonts w:ascii="方正仿宋简体" w:hAnsi="方正仿宋简体" w:eastAsia="方正仿宋简体"/>
          <w:sz w:val="32"/>
          <w:szCs w:val="32"/>
        </w:rPr>
        <w:t>本单位严格按照财经纪律规定，及时上缴各类非税收入，包括银行存款利息及罚没收入等。</w:t>
      </w:r>
    </w:p>
    <w:p>
      <w:pPr>
        <w:pStyle w:val="4"/>
        <w:spacing w:line="578" w:lineRule="exact"/>
        <w:ind w:firstLine="642" w:firstLineChars="200"/>
        <w:rPr>
          <w:rFonts w:ascii="方正仿宋简体" w:hAnsi="方正仿宋简体" w:eastAsia="方正仿宋简体"/>
          <w:sz w:val="32"/>
          <w:szCs w:val="32"/>
        </w:rPr>
      </w:pPr>
      <w:r>
        <w:rPr>
          <w:rFonts w:ascii="方正仿宋简体" w:hAnsi="方正仿宋简体" w:eastAsia="方正仿宋简体"/>
          <w:b/>
          <w:sz w:val="32"/>
          <w:szCs w:val="32"/>
        </w:rPr>
        <w:t>3.政府采购实施情况。</w:t>
      </w:r>
      <w:r>
        <w:rPr>
          <w:rFonts w:ascii="方正仿宋简体" w:hAnsi="方正仿宋简体" w:eastAsia="方正仿宋简体"/>
          <w:sz w:val="32"/>
          <w:szCs w:val="32"/>
        </w:rPr>
        <w:t>按照《预算法》和《政府采购法》规定编制政府采购预算和实施政府采购计划，按规定做好备案工作。2020年政府采购预算为</w:t>
      </w:r>
      <w:r>
        <w:rPr>
          <w:rFonts w:ascii="方正仿宋简体" w:hAnsi="方正仿宋简体" w:eastAsia="方正仿宋简体"/>
          <w:color w:val="000000"/>
          <w:sz w:val="32"/>
          <w:szCs w:val="32"/>
        </w:rPr>
        <w:t>9.49</w:t>
      </w:r>
      <w:r>
        <w:rPr>
          <w:rFonts w:ascii="方正仿宋简体" w:hAnsi="方正仿宋简体" w:eastAsia="方正仿宋简体"/>
          <w:sz w:val="32"/>
          <w:szCs w:val="32"/>
        </w:rPr>
        <w:t>万元，2020年政府采购实际执行</w:t>
      </w:r>
      <w:r>
        <w:rPr>
          <w:rFonts w:ascii="方正仿宋简体" w:hAnsi="方正仿宋简体" w:eastAsia="方正仿宋简体"/>
          <w:color w:val="000000"/>
          <w:sz w:val="32"/>
          <w:szCs w:val="32"/>
        </w:rPr>
        <w:t>0.818</w:t>
      </w:r>
      <w:r>
        <w:rPr>
          <w:rFonts w:ascii="方正仿宋简体" w:hAnsi="方正仿宋简体" w:eastAsia="方正仿宋简体"/>
          <w:sz w:val="32"/>
          <w:szCs w:val="32"/>
        </w:rPr>
        <w:t>万元，全部为货物类采购，实际执行与政府采购预算不一致的原因是：进一步压减开支。</w:t>
      </w:r>
    </w:p>
    <w:p>
      <w:pPr>
        <w:pStyle w:val="4"/>
        <w:spacing w:line="578" w:lineRule="exact"/>
        <w:ind w:firstLine="642" w:firstLineChars="200"/>
        <w:rPr>
          <w:rFonts w:ascii="方正仿宋简体" w:hAnsi="方正仿宋简体" w:eastAsia="方正仿宋简体"/>
          <w:sz w:val="32"/>
          <w:szCs w:val="32"/>
        </w:rPr>
      </w:pPr>
      <w:r>
        <w:rPr>
          <w:rFonts w:ascii="方正仿宋简体" w:hAnsi="方正仿宋简体" w:eastAsia="方正仿宋简体"/>
          <w:b/>
          <w:sz w:val="32"/>
          <w:szCs w:val="32"/>
        </w:rPr>
        <w:t>4.资产管理。</w:t>
      </w:r>
      <w:r>
        <w:rPr>
          <w:rFonts w:ascii="方正仿宋简体" w:hAnsi="方正仿宋简体" w:eastAsia="方正仿宋简体"/>
          <w:sz w:val="32"/>
          <w:szCs w:val="32"/>
        </w:rPr>
        <w:t>桥湾镇人民政府固定资产实行“统一管理，分级负责”。设置固定资产的管理部门，统一建账、核算，统一登记、监督管理和维修。各办公室是固定资产的使用部门，并负责固定资产的保管和使用。同时，根据《行政事业单位资产清查核实管理办法》，于2020年12月开展了资产清查工作。</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（1）资产管理信息系统建设情况。已将所有资产全部录入行政事业单位资产管理系统，并指定专人负责管理系统。</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 xml:space="preserve">（2）资产报表上报情况。成立了国有资产清查工作小组，并安排专人负责国有资产清查及报表上报工作。在资产清查结束后，已上报清查报表、清查工作报告等国有资产报表数据。 </w:t>
      </w:r>
    </w:p>
    <w:p>
      <w:pPr>
        <w:pStyle w:val="4"/>
        <w:spacing w:line="578" w:lineRule="exact"/>
        <w:ind w:firstLine="642" w:firstLineChars="200"/>
        <w:rPr>
          <w:rFonts w:ascii="方正仿宋简体" w:hAnsi="方正仿宋简体" w:eastAsia="方正仿宋简体"/>
          <w:sz w:val="32"/>
          <w:szCs w:val="32"/>
        </w:rPr>
      </w:pPr>
      <w:r>
        <w:rPr>
          <w:rFonts w:ascii="方正仿宋简体" w:hAnsi="方正仿宋简体" w:eastAsia="方正仿宋简体"/>
          <w:b/>
          <w:sz w:val="32"/>
          <w:szCs w:val="32"/>
        </w:rPr>
        <w:t>5.内控制度管理。</w:t>
      </w:r>
      <w:r>
        <w:rPr>
          <w:rFonts w:ascii="方正仿宋简体" w:hAnsi="方正仿宋简体" w:eastAsia="方正仿宋简体"/>
          <w:sz w:val="32"/>
          <w:szCs w:val="32"/>
        </w:rPr>
        <w:t>本单位按照上级相关要求，建立健全内控管理制度，并及时上报。</w:t>
      </w:r>
    </w:p>
    <w:p>
      <w:pPr>
        <w:pStyle w:val="4"/>
        <w:spacing w:line="578" w:lineRule="exact"/>
        <w:ind w:firstLine="642" w:firstLineChars="200"/>
        <w:rPr>
          <w:rFonts w:ascii="方正仿宋简体" w:hAnsi="方正仿宋简体" w:eastAsia="方正仿宋简体"/>
          <w:sz w:val="32"/>
          <w:szCs w:val="32"/>
        </w:rPr>
      </w:pPr>
      <w:r>
        <w:rPr>
          <w:rFonts w:ascii="方正仿宋简体" w:hAnsi="方正仿宋简体" w:eastAsia="方正仿宋简体"/>
          <w:b/>
          <w:sz w:val="32"/>
          <w:szCs w:val="32"/>
        </w:rPr>
        <w:t>6.信息公开。</w:t>
      </w:r>
      <w:r>
        <w:rPr>
          <w:rFonts w:ascii="方正仿宋简体" w:hAnsi="方正仿宋简体" w:eastAsia="方正仿宋简体"/>
          <w:sz w:val="32"/>
          <w:szCs w:val="32"/>
        </w:rPr>
        <w:t>严格按照上级要求，按时按质公开预、决算，并对村级账务实行不定期公开，接受群众监督。</w:t>
      </w:r>
    </w:p>
    <w:p>
      <w:pPr>
        <w:pStyle w:val="4"/>
        <w:spacing w:line="578" w:lineRule="exact"/>
        <w:ind w:firstLine="642" w:firstLineChars="200"/>
        <w:rPr>
          <w:rFonts w:ascii="方正仿宋简体" w:hAnsi="方正仿宋简体" w:eastAsia="方正仿宋简体"/>
          <w:sz w:val="32"/>
          <w:szCs w:val="32"/>
        </w:rPr>
      </w:pPr>
      <w:r>
        <w:rPr>
          <w:rFonts w:ascii="方正仿宋简体" w:hAnsi="方正仿宋简体" w:eastAsia="方正仿宋简体"/>
          <w:b/>
          <w:sz w:val="32"/>
          <w:szCs w:val="32"/>
        </w:rPr>
        <w:t>7.绩效管理。</w:t>
      </w:r>
      <w:r>
        <w:rPr>
          <w:rFonts w:ascii="方正仿宋简体" w:hAnsi="方正仿宋简体" w:eastAsia="方正仿宋简体"/>
          <w:sz w:val="32"/>
          <w:szCs w:val="32"/>
        </w:rPr>
        <w:t>按照要求对所有下属预算单位开展整体绩效评价，按要求向区财政报送自评报告等相关绩效信息。</w:t>
      </w:r>
    </w:p>
    <w:p>
      <w:pPr>
        <w:pStyle w:val="4"/>
        <w:spacing w:line="578" w:lineRule="exact"/>
        <w:ind w:firstLine="642"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b/>
          <w:sz w:val="32"/>
          <w:szCs w:val="32"/>
        </w:rPr>
        <w:t>8.依法接受财政监督情况。</w:t>
      </w:r>
      <w:r>
        <w:rPr>
          <w:rFonts w:ascii="方正仿宋简体" w:hAnsi="方正仿宋简体" w:eastAsia="方正仿宋简体"/>
          <w:sz w:val="32"/>
          <w:szCs w:val="32"/>
        </w:rPr>
        <w:t>按照上级财政部门相关要求，开展了2019年度财政监督检查的自查自纠工作，并报送了自查自纠报告及报表。</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（四）绩效结果应用情况</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1.行政运转保障</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达川区桥湾镇人民政府财政拨款支出主要用于保障本单位机构正常运转、完成日常工作任务以及承担本乡镇事业发展相关工作。  </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基本支出，是用于保障政府机关、事业单位等机构正常运转的日常支出，包括基本工资、津贴补贴等人员经费以及办公费、印刷费、水电费、办公设备购置等日常公用经费。</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项目支出，是用于保障政府机关、事业单位等机构为完成特定的行政工作任务或事业发展目标，用于专项业务工作的经费支出。</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2.机关厉行节约</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2020年桥湾镇人民政府无机关人员因公出国计划，也无公务用车。公务接待费16.52万元，主要用于接待上级领导到本镇指导检查工作以及召开全镇村组干部会议等所发生的费用。</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3.机关节能降耗</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桥湾镇人民政府严格按照勤俭节约的原则，水、电、气、燃油节能降耗情况均处理下降趋势等。</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4.专项预算项目支出绩效</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pStyle w:val="4"/>
        <w:spacing w:line="578" w:lineRule="exact"/>
        <w:ind w:firstLine="642" w:firstLineChars="200"/>
        <w:rPr>
          <w:rFonts w:ascii="楷体_GB2312" w:hAnsi="楷体_GB2312" w:eastAsia="楷体_GB2312"/>
          <w:b/>
          <w:sz w:val="32"/>
          <w:szCs w:val="32"/>
        </w:rPr>
      </w:pPr>
      <w:r>
        <w:rPr>
          <w:rFonts w:ascii="楷体_GB2312" w:hAnsi="楷体_GB2312" w:eastAsia="楷体_GB2312"/>
          <w:b/>
          <w:sz w:val="32"/>
          <w:szCs w:val="32"/>
        </w:rPr>
        <w:t>（五）整体效益</w:t>
      </w:r>
    </w:p>
    <w:p>
      <w:pPr>
        <w:pStyle w:val="4"/>
        <w:spacing w:line="578" w:lineRule="exact"/>
        <w:ind w:firstLine="640" w:firstLineChars="200"/>
        <w:rPr>
          <w:rFonts w:ascii="方正仿宋简体" w:hAnsi="方正仿宋简体" w:eastAsia="方正仿宋简体"/>
          <w:color w:val="000000"/>
          <w:sz w:val="32"/>
          <w:szCs w:val="32"/>
          <w:shd w:val="clear" w:fill="FFFFFF"/>
        </w:rPr>
      </w:pPr>
      <w:r>
        <w:rPr>
          <w:rFonts w:ascii="方正仿宋简体" w:hAnsi="方正仿宋简体" w:eastAsia="方正仿宋简体"/>
          <w:color w:val="000000"/>
          <w:sz w:val="32"/>
          <w:szCs w:val="32"/>
          <w:shd w:val="clear" w:fill="FFFFFF"/>
        </w:rPr>
        <w:t>桥湾镇人民政府绩效管理严格按照上级部门要求，开展自评工作，对评价结果及时总结上报。</w:t>
      </w:r>
    </w:p>
    <w:p>
      <w:pPr>
        <w:pStyle w:val="4"/>
        <w:spacing w:line="578" w:lineRule="exact"/>
        <w:ind w:firstLine="640" w:firstLineChars="200"/>
        <w:rPr>
          <w:rFonts w:ascii="黑体" w:hAnsi="黑体" w:eastAsia="黑体"/>
          <w:sz w:val="32"/>
          <w:szCs w:val="32"/>
        </w:rPr>
      </w:pPr>
      <w:r>
        <w:rPr>
          <w:rFonts w:ascii="黑体" w:hAnsi="黑体" w:eastAsia="黑体"/>
          <w:sz w:val="32"/>
          <w:szCs w:val="32"/>
        </w:rPr>
        <w:t>四、自评结论及建议</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（一）评价结论</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总体看，我单位预算编制及执行决算较为准确，支出管理较为规范，财务管理制度较完善，部门整体绩效较好。部门支出绩效自评得分为98分。（得分明细表附后）</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（二）存在问题</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一是预算经费支出明细科目存在误差；</w:t>
      </w:r>
    </w:p>
    <w:p>
      <w:pPr>
        <w:pStyle w:val="4"/>
        <w:spacing w:line="578" w:lineRule="exact"/>
        <w:ind w:firstLine="640" w:firstLineChars="200"/>
        <w:rPr>
          <w:rFonts w:ascii="方正仿宋简体" w:hAnsi="方正仿宋简体" w:eastAsia="方正仿宋简体" w:cs="宋体"/>
          <w:color w:val="000000"/>
          <w:kern w:val="0"/>
          <w:sz w:val="32"/>
          <w:szCs w:val="32"/>
        </w:rPr>
      </w:pPr>
      <w:r>
        <w:rPr>
          <w:rFonts w:ascii="方正仿宋简体" w:hAnsi="方正仿宋简体" w:eastAsia="方正仿宋简体"/>
          <w:sz w:val="32"/>
          <w:szCs w:val="32"/>
        </w:rPr>
        <w:t>二是部门决算上报处理效率还需继续提升。  </w:t>
      </w:r>
      <w:r>
        <w:rPr>
          <w:rFonts w:ascii="Î¢ÈíÑÅºÚ Western" w:hAnsi="Î¢ÈíÑÅºÚ Western" w:eastAsia="方正仿宋简体" w:cs="宋体"/>
          <w:color w:val="000000"/>
          <w:kern w:val="0"/>
          <w:sz w:val="32"/>
          <w:szCs w:val="32"/>
        </w:rPr>
        <w:t> </w:t>
      </w:r>
    </w:p>
    <w:p>
      <w:pPr>
        <w:pStyle w:val="4"/>
        <w:spacing w:line="578" w:lineRule="exact"/>
        <w:ind w:firstLine="629" w:firstLineChars="196"/>
        <w:rPr>
          <w:rFonts w:ascii="楷体_GB2312" w:hAnsi="楷体_GB2312" w:eastAsia="楷体_GB2312"/>
          <w:b/>
          <w:sz w:val="32"/>
          <w:szCs w:val="32"/>
        </w:rPr>
      </w:pPr>
      <w:r>
        <w:rPr>
          <w:rFonts w:ascii="楷体_GB2312" w:hAnsi="楷体_GB2312" w:eastAsia="楷体_GB2312"/>
          <w:b/>
          <w:sz w:val="32"/>
          <w:szCs w:val="32"/>
        </w:rPr>
        <w:t>（三）改进建议</w:t>
      </w:r>
    </w:p>
    <w:p>
      <w:pPr>
        <w:pStyle w:val="4"/>
        <w:spacing w:line="578" w:lineRule="exact"/>
        <w:ind w:firstLine="629" w:firstLineChars="196"/>
        <w:rPr>
          <w:rFonts w:ascii="方正仿宋简体" w:hAnsi="方正仿宋简体" w:eastAsia="方正仿宋简体"/>
          <w:sz w:val="32"/>
          <w:szCs w:val="32"/>
        </w:rPr>
      </w:pPr>
      <w:r>
        <w:rPr>
          <w:rFonts w:ascii="楷体_GB2312" w:hAnsi="楷体_GB2312" w:eastAsia="楷体_GB2312"/>
          <w:b/>
          <w:sz w:val="32"/>
          <w:szCs w:val="32"/>
        </w:rPr>
        <w:t>1.加快完善相应制度建设</w:t>
      </w:r>
      <w:r>
        <w:rPr>
          <w:rFonts w:ascii="方正仿宋简体" w:hAnsi="方正仿宋简体" w:eastAsia="方正仿宋简体"/>
          <w:sz w:val="32"/>
          <w:szCs w:val="32"/>
        </w:rPr>
        <w:t>和账务处理能力，提升部门工作效率。</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sz w:val="32"/>
          <w:szCs w:val="32"/>
        </w:rPr>
        <w:t>2.进一步加强国有资产管理，责任落实到人。</w:t>
      </w:r>
    </w:p>
    <w:p>
      <w:pPr>
        <w:pStyle w:val="4"/>
        <w:spacing w:line="578" w:lineRule="exact"/>
        <w:ind w:firstLine="640" w:firstLineChars="200"/>
        <w:rPr>
          <w:rFonts w:ascii="方正仿宋简体" w:hAnsi="方正仿宋简体" w:eastAsia="方正仿宋简体"/>
          <w:sz w:val="32"/>
          <w:szCs w:val="32"/>
        </w:rPr>
      </w:pPr>
      <w:r>
        <w:rPr>
          <w:rFonts w:ascii="方正仿宋简体" w:hAnsi="方正仿宋简体" w:eastAsia="方正仿宋简体" w:cs="宋体"/>
          <w:color w:val="000000"/>
          <w:kern w:val="0"/>
          <w:sz w:val="32"/>
          <w:szCs w:val="32"/>
        </w:rPr>
        <w:t>3.</w:t>
      </w:r>
      <w:r>
        <w:rPr>
          <w:rFonts w:ascii="方正仿宋简体" w:hAnsi="方正仿宋简体" w:eastAsia="方正仿宋简体"/>
          <w:sz w:val="32"/>
          <w:szCs w:val="32"/>
        </w:rPr>
        <w:t>强化资金财务管理。一是定期编制“银行存款余额调节表”，使单位账面余额与银行对账单余额调节相符。二是严把资金支付审核关，严格检查入账发票的准确性，核实原始凭证的完整性。</w:t>
      </w: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p>
    <w:p>
      <w:pPr>
        <w:pStyle w:val="4"/>
        <w:spacing w:line="578" w:lineRule="exact"/>
        <w:rPr>
          <w:rFonts w:ascii="仿宋" w:hAnsi="仿宋" w:eastAsia="仿宋" w:cs="仿宋"/>
          <w:sz w:val="32"/>
          <w:szCs w:val="32"/>
        </w:rPr>
      </w:pPr>
      <w:r>
        <w:rPr>
          <w:rFonts w:ascii="仿宋" w:hAnsi="仿宋" w:eastAsia="仿宋" w:cs="仿宋"/>
          <w:sz w:val="32"/>
          <w:szCs w:val="32"/>
        </w:rPr>
        <w:t xml:space="preserve">                </w:t>
      </w:r>
    </w:p>
    <w:p>
      <w:pPr>
        <w:pStyle w:val="4"/>
        <w:spacing w:line="578" w:lineRule="exact"/>
        <w:jc w:val="center"/>
        <w:rPr>
          <w:rFonts w:ascii="黑体" w:hAnsi="黑体" w:eastAsia="黑体" w:cs="黑体"/>
          <w:spacing w:val="-10"/>
          <w:sz w:val="44"/>
          <w:szCs w:val="44"/>
        </w:rPr>
      </w:pPr>
    </w:p>
    <w:p>
      <w:pPr>
        <w:pStyle w:val="4"/>
        <w:spacing w:line="578" w:lineRule="exact"/>
        <w:jc w:val="center"/>
        <w:rPr>
          <w:rFonts w:ascii="黑体" w:hAnsi="黑体" w:eastAsia="黑体" w:cs="黑体"/>
          <w:spacing w:val="-10"/>
          <w:sz w:val="44"/>
          <w:szCs w:val="44"/>
        </w:rPr>
      </w:pPr>
    </w:p>
    <w:p>
      <w:pPr>
        <w:pStyle w:val="14"/>
        <w:rPr>
          <w:rStyle w:val="11"/>
          <w:rFonts w:ascii="仿宋" w:hAnsi="仿宋" w:eastAsia="仿宋"/>
          <w:b w:val="0"/>
          <w:bCs w:val="0"/>
          <w:sz w:val="32"/>
          <w:szCs w:val="32"/>
        </w:rPr>
      </w:pPr>
      <w:r>
        <w:rPr>
          <w:rStyle w:val="11"/>
          <w:rFonts w:ascii="仿宋" w:hAnsi="仿宋" w:eastAsia="仿宋"/>
          <w:b w:val="0"/>
          <w:bCs w:val="0"/>
          <w:sz w:val="32"/>
          <w:szCs w:val="32"/>
        </w:rPr>
        <w:t>附件2</w:t>
      </w:r>
    </w:p>
    <w:p>
      <w:pPr>
        <w:pStyle w:val="4"/>
        <w:spacing w:line="578" w:lineRule="exact"/>
        <w:rPr>
          <w:rFonts w:ascii="黑体" w:hAnsi="黑体" w:eastAsia="黑体" w:cs="黑体"/>
          <w:spacing w:val="-10"/>
          <w:sz w:val="44"/>
          <w:szCs w:val="44"/>
        </w:rPr>
      </w:pPr>
    </w:p>
    <w:p>
      <w:pPr>
        <w:pStyle w:val="4"/>
        <w:spacing w:line="578" w:lineRule="exact"/>
        <w:jc w:val="center"/>
        <w:rPr>
          <w:rFonts w:ascii="黑体" w:hAnsi="黑体" w:eastAsia="黑体" w:cs="黑体"/>
          <w:spacing w:val="-10"/>
          <w:sz w:val="44"/>
          <w:szCs w:val="44"/>
        </w:rPr>
      </w:pPr>
      <w:r>
        <w:rPr>
          <w:rFonts w:ascii="黑体" w:hAnsi="黑体" w:eastAsia="黑体" w:cs="黑体"/>
          <w:spacing w:val="-10"/>
          <w:sz w:val="44"/>
          <w:szCs w:val="44"/>
        </w:rPr>
        <w:t>关于2020年度财力保障项目支出绩效的</w:t>
      </w:r>
    </w:p>
    <w:p>
      <w:pPr>
        <w:pStyle w:val="4"/>
        <w:spacing w:line="578" w:lineRule="exact"/>
        <w:jc w:val="center"/>
        <w:rPr>
          <w:rFonts w:ascii="黑体" w:hAnsi="黑体" w:eastAsia="黑体" w:cs="黑体"/>
          <w:spacing w:val="-10"/>
          <w:sz w:val="44"/>
          <w:szCs w:val="44"/>
        </w:rPr>
      </w:pPr>
      <w:r>
        <w:rPr>
          <w:rFonts w:ascii="黑体" w:hAnsi="黑体" w:eastAsia="黑体" w:cs="黑体"/>
          <w:spacing w:val="-10"/>
          <w:sz w:val="44"/>
          <w:szCs w:val="44"/>
        </w:rPr>
        <w:t>自评报告</w:t>
      </w:r>
    </w:p>
    <w:p>
      <w:pPr>
        <w:pStyle w:val="4"/>
        <w:spacing w:line="578" w:lineRule="exact"/>
        <w:ind w:firstLine="1100" w:firstLineChars="250"/>
        <w:jc w:val="center"/>
        <w:rPr>
          <w:rFonts w:ascii="黑体" w:hAnsi="黑体" w:eastAsia="黑体" w:cs="黑体"/>
          <w:sz w:val="44"/>
          <w:szCs w:val="44"/>
        </w:rPr>
      </w:pPr>
    </w:p>
    <w:p>
      <w:pPr>
        <w:pStyle w:val="4"/>
        <w:spacing w:line="578" w:lineRule="exact"/>
        <w:rPr>
          <w:rFonts w:ascii="仿宋" w:hAnsi="仿宋" w:eastAsia="仿宋" w:cs="仿宋"/>
          <w:sz w:val="32"/>
          <w:szCs w:val="32"/>
        </w:rPr>
      </w:pPr>
      <w:r>
        <w:rPr>
          <w:rFonts w:ascii="仿宋" w:hAnsi="仿宋" w:eastAsia="仿宋" w:cs="仿宋"/>
          <w:sz w:val="32"/>
          <w:szCs w:val="32"/>
        </w:rPr>
        <w:t xml:space="preserve">    按照区委区政府全面推进财政绩效管理，进一步强化支出责任，着力提高财政资金使用效益，结合自身实际，特对我镇2020年度财力保障项目支出绩效自评报告如下：</w:t>
      </w:r>
    </w:p>
    <w:p>
      <w:pPr>
        <w:pStyle w:val="4"/>
        <w:snapToGrid w:val="0"/>
        <w:spacing w:line="578" w:lineRule="exact"/>
        <w:ind w:firstLine="640" w:firstLineChars="200"/>
        <w:rPr>
          <w:rFonts w:ascii="仿宋" w:hAnsi="仿宋" w:eastAsia="仿宋" w:cs="仿宋"/>
          <w:sz w:val="32"/>
          <w:szCs w:val="32"/>
          <w:lang w:val="zh-CN"/>
        </w:rPr>
      </w:pPr>
      <w:r>
        <w:rPr>
          <w:rFonts w:ascii="仿宋" w:hAnsi="仿宋" w:eastAsia="仿宋" w:cs="仿宋"/>
          <w:sz w:val="32"/>
          <w:szCs w:val="32"/>
        </w:rPr>
        <w:t>一、</w:t>
      </w:r>
      <w:r>
        <w:rPr>
          <w:rFonts w:ascii="仿宋" w:hAnsi="仿宋" w:eastAsia="仿宋" w:cs="仿宋"/>
          <w:sz w:val="32"/>
          <w:szCs w:val="32"/>
          <w:lang w:val="zh-CN"/>
        </w:rPr>
        <w:t>项目概况</w:t>
      </w:r>
    </w:p>
    <w:p>
      <w:pPr>
        <w:pStyle w:val="4"/>
        <w:spacing w:line="578" w:lineRule="exact"/>
        <w:ind w:firstLine="640" w:firstLineChars="200"/>
        <w:rPr>
          <w:rFonts w:ascii="仿宋_GB2312" w:hAnsi="仿宋_GB2312"/>
          <w:lang w:val="zh-CN"/>
        </w:rPr>
      </w:pPr>
      <w:r>
        <w:rPr>
          <w:rFonts w:ascii="方正仿宋简体" w:hAnsi="方正仿宋简体" w:eastAsia="方正仿宋简体"/>
          <w:sz w:val="32"/>
          <w:szCs w:val="32"/>
          <w:lang w:val="zh-CN"/>
        </w:rPr>
        <w:t>达川区桥湾镇人民政府，办公地址位于桥湾镇交通街</w:t>
      </w:r>
      <w:r>
        <w:rPr>
          <w:rFonts w:ascii="方正仿宋简体" w:hAnsi="方正仿宋简体" w:eastAsia="方正仿宋简体"/>
          <w:sz w:val="32"/>
          <w:szCs w:val="32"/>
        </w:rPr>
        <w:t>9</w:t>
      </w:r>
      <w:r>
        <w:rPr>
          <w:rFonts w:ascii="方正仿宋简体" w:hAnsi="方正仿宋简体" w:eastAsia="方正仿宋简体"/>
          <w:sz w:val="32"/>
          <w:szCs w:val="32"/>
          <w:lang w:val="zh-CN"/>
        </w:rPr>
        <w:t>号，是财政全额拨款行政单位，主要负责</w:t>
      </w:r>
      <w:r>
        <w:rPr>
          <w:rFonts w:ascii="方正仿宋简体" w:hAnsi="方正仿宋简体" w:eastAsia="方正仿宋简体"/>
          <w:sz w:val="32"/>
          <w:szCs w:val="32"/>
        </w:rPr>
        <w:t>维护社会稳定，促进经济发展，不断提高人民群众的生活水平，全心全意为人民服务。</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（一）项目资金申报及批复情况。我镇按照“保工资、保运转、保民生、促发展”的原则，打造节约型政府，通过组织召开党委会议，研究申报20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年财力保障项目资金累计达</w:t>
      </w:r>
      <w:r>
        <w:rPr>
          <w:rFonts w:ascii="方正仿宋简体" w:hAnsi="方正仿宋简体" w:eastAsia="方正仿宋简体"/>
          <w:sz w:val="32"/>
          <w:szCs w:val="32"/>
        </w:rPr>
        <w:t>125</w:t>
      </w:r>
      <w:r>
        <w:rPr>
          <w:rFonts w:ascii="方正仿宋简体" w:hAnsi="方正仿宋简体" w:eastAsia="方正仿宋简体"/>
          <w:sz w:val="32"/>
          <w:szCs w:val="32"/>
          <w:lang w:val="zh-CN"/>
        </w:rPr>
        <w:t>万元，经区财政局批复下达后，已全部用于年初预算各项事业。</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（二）项目绩效目标。该项目资金主要用于保运行、促发展、助推脱贫攻坚。20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年我镇安排保运行资金</w:t>
      </w:r>
      <w:r>
        <w:rPr>
          <w:rFonts w:ascii="方正仿宋简体" w:hAnsi="方正仿宋简体" w:eastAsia="方正仿宋简体"/>
          <w:sz w:val="32"/>
          <w:szCs w:val="32"/>
        </w:rPr>
        <w:t>125</w:t>
      </w:r>
      <w:r>
        <w:rPr>
          <w:rFonts w:ascii="方正仿宋简体" w:hAnsi="方正仿宋简体" w:eastAsia="方正仿宋简体"/>
          <w:sz w:val="32"/>
          <w:szCs w:val="32"/>
          <w:lang w:val="zh-CN"/>
        </w:rPr>
        <w:t>万元，有效保证了全镇正常办公秩序。</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（三）项目资金申报相符性。我镇结合实际，合理申报项目资金，并严格按照年初预算，逐项实施，未出现项目申报内容与具体实施内容不一致现象。</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二、项目实施及管理情况</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（一）资金计划、到位及使用情况</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1.资金计划及到位。本项目资金来源为财政拨款，总投入</w:t>
      </w:r>
      <w:r>
        <w:rPr>
          <w:rFonts w:ascii="方正仿宋简体" w:hAnsi="方正仿宋简体" w:eastAsia="方正仿宋简体"/>
          <w:sz w:val="32"/>
          <w:szCs w:val="32"/>
        </w:rPr>
        <w:t>125</w:t>
      </w:r>
      <w:r>
        <w:rPr>
          <w:rFonts w:ascii="方正仿宋简体" w:hAnsi="方正仿宋简体" w:eastAsia="方正仿宋简体"/>
          <w:sz w:val="32"/>
          <w:szCs w:val="32"/>
          <w:lang w:val="zh-CN"/>
        </w:rPr>
        <w:t>万元，资金已于20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年初随部门预算批复到位。</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2.资金使用。截止20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年12月31日，项目资金</w:t>
      </w:r>
      <w:r>
        <w:rPr>
          <w:rFonts w:ascii="方正仿宋简体" w:hAnsi="方正仿宋简体" w:eastAsia="方正仿宋简体"/>
          <w:sz w:val="32"/>
          <w:szCs w:val="32"/>
        </w:rPr>
        <w:t>125</w:t>
      </w:r>
      <w:r>
        <w:rPr>
          <w:rFonts w:ascii="方正仿宋简体" w:hAnsi="方正仿宋简体" w:eastAsia="方正仿宋简体"/>
          <w:sz w:val="32"/>
          <w:szCs w:val="32"/>
          <w:lang w:val="zh-CN"/>
        </w:rPr>
        <w:t>万元已全部支出。</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（二）项目财务管理情况</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项目资金管理按基建项目管理，资金的收支均由镇财政所负责核算，会计核算较规范。该项目所有资金实行专款专用，资金拨付严格审批程序，使用规范，会计核算结果真实、准确。</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（三）项目组织实施情况</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该项目资金主要用于保运行、促发展、助推脱贫攻坚，由本单位自行组织实施，在实施过程中严格按照有关制度执行，项目竣工验收按照合同规定，保质保量，有关资料及时统一归档保管。</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三、项目绩效情况</w:t>
      </w:r>
      <w:r>
        <w:rPr>
          <w:rFonts w:ascii="方正仿宋简体" w:hAnsi="方正仿宋简体" w:eastAsia="方正仿宋简体"/>
          <w:sz w:val="32"/>
          <w:szCs w:val="32"/>
          <w:lang w:val="zh-CN"/>
        </w:rPr>
        <w:tab/>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我镇严格按照年初预算，所有项目已于20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年底前全部实施。经认真组织验收，我镇20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年所有财力保障项目质量合格。对照年初预定进度计划，所有项目均已如期完成，未出现超期现象。</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（二）项目效益情况。1.经济性。该项目资金全部用于保运行、促发展、助推脱贫攻坚，着力改善人居环境，提高办公质量。</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2.效率性。该项目是按照现实需求来逐步完成的，资金已于20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年底全部支出。</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3.有效性。该项目主要用于保证正常办公秩序，改善基础设施条件，方便群众出行及办事，保障民生。</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4.可持续性。财政每年都下拨农村基础设施建设经费，我镇统筹安排，用于逐步改善农村人居环境及公共服务区域，提高了农民的生活、消费水平，促进地区经济发展。四、问题及建议</w:t>
      </w:r>
    </w:p>
    <w:p>
      <w:pPr>
        <w:pStyle w:val="4"/>
        <w:spacing w:line="578" w:lineRule="exact"/>
        <w:ind w:firstLine="640" w:firstLineChars="200"/>
        <w:rPr>
          <w:rFonts w:ascii="方正仿宋简体" w:hAnsi="方正仿宋简体" w:eastAsia="方正仿宋简体"/>
          <w:sz w:val="32"/>
          <w:szCs w:val="32"/>
          <w:lang w:val="zh-CN"/>
        </w:rPr>
      </w:pPr>
      <w:r>
        <w:rPr>
          <w:rFonts w:ascii="方正仿宋简体" w:hAnsi="方正仿宋简体" w:eastAsia="方正仿宋简体"/>
          <w:sz w:val="32"/>
          <w:szCs w:val="32"/>
          <w:lang w:val="zh-CN"/>
        </w:rPr>
        <w:t>（一）存在的问题</w:t>
      </w:r>
      <w:r>
        <w:rPr>
          <w:rFonts w:ascii="方正仿宋简体" w:hAnsi="方正仿宋简体" w:eastAsia="方正仿宋简体"/>
          <w:sz w:val="32"/>
          <w:szCs w:val="32"/>
        </w:rPr>
        <w:t xml:space="preserve"> </w:t>
      </w:r>
      <w:r>
        <w:rPr>
          <w:rFonts w:ascii="方正仿宋简体" w:hAnsi="方正仿宋简体" w:eastAsia="方正仿宋简体"/>
          <w:sz w:val="32"/>
          <w:szCs w:val="32"/>
          <w:lang w:val="zh-CN"/>
        </w:rPr>
        <w:t>虽然20</w:t>
      </w:r>
      <w:r>
        <w:rPr>
          <w:rFonts w:ascii="方正仿宋简体" w:hAnsi="方正仿宋简体" w:eastAsia="方正仿宋简体"/>
          <w:sz w:val="32"/>
          <w:szCs w:val="32"/>
        </w:rPr>
        <w:t>20</w:t>
      </w:r>
      <w:r>
        <w:rPr>
          <w:rFonts w:ascii="方正仿宋简体" w:hAnsi="方正仿宋简体" w:eastAsia="方正仿宋简体"/>
          <w:sz w:val="32"/>
          <w:szCs w:val="32"/>
          <w:lang w:val="zh-CN"/>
        </w:rPr>
        <w:t>年度财力保障项目资金得到充分使用，也取得了一些成绩，但是实际工作中还是存在一些问题：一是我镇每年待实施项目较多，目前的项目资金难以满足实际工作需要；二是在实际工作中还需对工作流程进一步规范，切实满足工作人员需求。</w:t>
      </w:r>
    </w:p>
    <w:p>
      <w:pPr>
        <w:pStyle w:val="4"/>
        <w:spacing w:line="578" w:lineRule="exact"/>
        <w:jc w:val="left"/>
        <w:rPr>
          <w:rFonts w:ascii="仿宋" w:hAnsi="仿宋" w:eastAsia="仿宋" w:cs="仿宋"/>
          <w:sz w:val="32"/>
          <w:szCs w:val="32"/>
        </w:rPr>
      </w:pPr>
      <w:r>
        <w:rPr>
          <w:rFonts w:ascii="方正仿宋简体" w:hAnsi="方正仿宋简体" w:eastAsia="方正仿宋简体"/>
          <w:sz w:val="32"/>
          <w:szCs w:val="32"/>
          <w:lang w:val="zh-CN"/>
        </w:rPr>
        <w:t xml:space="preserve">（二）相关建议。下一步，我镇将继续按照上级财政部门相关要求，认真做好项目经费概算、管理和使用等工作，切实提高项目资金使用效率，最大限度的发挥项目资金作用，切实保障全镇各类秩序正常运行，进一步改善民生，已实现地区经济发展的最终目标。 </w:t>
      </w:r>
      <w:r>
        <w:rPr>
          <w:rFonts w:ascii="仿宋" w:hAnsi="仿宋" w:eastAsia="仿宋" w:cs="仿宋"/>
          <w:sz w:val="32"/>
          <w:szCs w:val="32"/>
        </w:rPr>
        <w:t xml:space="preserve">             </w:t>
      </w:r>
    </w:p>
    <w:p>
      <w:pPr>
        <w:pStyle w:val="4"/>
        <w:spacing w:line="578" w:lineRule="exact"/>
        <w:ind w:left="4320" w:hanging="4320" w:hangingChars="1350"/>
        <w:rPr>
          <w:rFonts w:ascii="仿宋" w:hAnsi="仿宋" w:eastAsia="仿宋" w:cs="仿宋"/>
          <w:sz w:val="32"/>
          <w:szCs w:val="32"/>
        </w:rPr>
      </w:pPr>
    </w:p>
    <w:p>
      <w:pPr>
        <w:pStyle w:val="4"/>
        <w:numPr>
          <w:ilvl w:val="0"/>
          <w:numId w:val="0"/>
        </w:numPr>
        <w:spacing w:line="560" w:lineRule="exact"/>
        <w:jc w:val="center"/>
        <w:outlineLvl w:val="0"/>
        <w:rPr>
          <w:rFonts w:ascii="方正黑体_GBK" w:hAnsi="方正黑体_GBK" w:eastAsia="方正黑体_GBK"/>
          <w:color w:val="000000"/>
          <w:sz w:val="32"/>
          <w:szCs w:val="32"/>
        </w:rPr>
      </w:pPr>
    </w:p>
    <w:p>
      <w:pPr>
        <w:pStyle w:val="2"/>
        <w:rPr>
          <w:rFonts w:ascii="方正黑体_GBK" w:hAnsi="方正黑体_GBK" w:eastAsia="方正黑体_GBK"/>
          <w:color w:val="000000"/>
          <w:sz w:val="32"/>
          <w:szCs w:val="32"/>
        </w:rPr>
      </w:pPr>
    </w:p>
    <w:p>
      <w:pPr>
        <w:pStyle w:val="2"/>
        <w:rPr>
          <w:rFonts w:ascii="方正黑体_GBK" w:hAnsi="方正黑体_GBK" w:eastAsia="方正黑体_GBK"/>
          <w:color w:val="000000"/>
          <w:sz w:val="32"/>
          <w:szCs w:val="32"/>
        </w:rPr>
      </w:pPr>
    </w:p>
    <w:p>
      <w:pPr>
        <w:pStyle w:val="4"/>
        <w:numPr>
          <w:ilvl w:val="0"/>
          <w:numId w:val="0"/>
        </w:numPr>
        <w:spacing w:line="560" w:lineRule="exact"/>
        <w:jc w:val="center"/>
        <w:outlineLvl w:val="0"/>
        <w:rPr>
          <w:rStyle w:val="9"/>
          <w:rFonts w:ascii="方正黑体_GBK" w:hAnsi="方正黑体_GBK" w:eastAsia="方正黑体_GBK"/>
          <w:b w:val="0"/>
          <w:sz w:val="32"/>
          <w:szCs w:val="32"/>
        </w:rPr>
      </w:pPr>
      <w:r>
        <w:rPr>
          <w:rFonts w:ascii="方正黑体_GBK" w:hAnsi="方正黑体_GBK" w:eastAsia="方正黑体_GBK"/>
          <w:color w:val="000000"/>
          <w:sz w:val="32"/>
          <w:szCs w:val="32"/>
        </w:rPr>
        <w:t>第</w:t>
      </w:r>
      <w:r>
        <w:rPr>
          <w:rStyle w:val="9"/>
          <w:rFonts w:ascii="方正黑体_GBK" w:hAnsi="方正黑体_GBK" w:eastAsia="方正黑体_GBK"/>
          <w:b w:val="0"/>
          <w:sz w:val="32"/>
          <w:szCs w:val="32"/>
        </w:rPr>
        <w:t>五部分　附表</w:t>
      </w:r>
      <w:bookmarkEnd w:id="55"/>
      <w:bookmarkEnd w:id="58"/>
    </w:p>
    <w:p>
      <w:pPr>
        <w:pStyle w:val="4"/>
        <w:numPr>
          <w:ilvl w:val="0"/>
          <w:numId w:val="0"/>
        </w:numPr>
        <w:spacing w:line="560" w:lineRule="exact"/>
        <w:jc w:val="center"/>
        <w:outlineLvl w:val="0"/>
        <w:rPr>
          <w:rFonts w:eastAsia="方正仿宋_GBK"/>
          <w:b/>
          <w:color w:val="000000"/>
          <w:sz w:val="32"/>
          <w:szCs w:val="32"/>
        </w:rPr>
      </w:pPr>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59" w:name="_Toc15396619"/>
      <w:r>
        <w:rPr>
          <w:rFonts w:ascii="Times New Roman" w:hAnsi="Times New Roman" w:eastAsia="方正仿宋_GBK"/>
          <w:b w:val="0"/>
          <w:color w:val="000000"/>
        </w:rPr>
        <w:t>一、收</w:t>
      </w:r>
      <w:r>
        <w:rPr>
          <w:rStyle w:val="10"/>
          <w:rFonts w:ascii="Times New Roman" w:hAnsi="Times New Roman" w:eastAsia="方正仿宋_GBK"/>
          <w:b w:val="0"/>
          <w:bCs w:val="0"/>
        </w:rPr>
        <w:t>入支出决算总表</w:t>
      </w:r>
      <w:bookmarkEnd w:id="59"/>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0" w:name="_Toc15396620"/>
      <w:r>
        <w:rPr>
          <w:rFonts w:ascii="Times New Roman" w:hAnsi="Times New Roman" w:eastAsia="方正仿宋_GBK"/>
          <w:b w:val="0"/>
          <w:color w:val="000000"/>
        </w:rPr>
        <w:t>二、收</w:t>
      </w:r>
      <w:r>
        <w:rPr>
          <w:rStyle w:val="10"/>
          <w:rFonts w:ascii="Times New Roman" w:hAnsi="Times New Roman" w:eastAsia="方正仿宋_GBK"/>
          <w:b w:val="0"/>
          <w:bCs w:val="0"/>
        </w:rPr>
        <w:t>入决算表</w:t>
      </w:r>
      <w:bookmarkEnd w:id="60"/>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1" w:name="_Toc15396621"/>
      <w:r>
        <w:rPr>
          <w:rStyle w:val="10"/>
          <w:rFonts w:ascii="Times New Roman" w:hAnsi="Times New Roman" w:eastAsia="方正仿宋_GBK"/>
          <w:b w:val="0"/>
          <w:bCs w:val="0"/>
        </w:rPr>
        <w:t>三、</w:t>
      </w:r>
      <w:r>
        <w:rPr>
          <w:rFonts w:ascii="Times New Roman" w:hAnsi="Times New Roman" w:eastAsia="方正仿宋_GBK"/>
          <w:b w:val="0"/>
          <w:color w:val="000000"/>
        </w:rPr>
        <w:t>支</w:t>
      </w:r>
      <w:r>
        <w:rPr>
          <w:rStyle w:val="10"/>
          <w:rFonts w:ascii="Times New Roman" w:hAnsi="Times New Roman" w:eastAsia="方正仿宋_GBK"/>
          <w:b w:val="0"/>
          <w:bCs w:val="0"/>
        </w:rPr>
        <w:t>出决算表</w:t>
      </w:r>
      <w:bookmarkEnd w:id="61"/>
    </w:p>
    <w:p>
      <w:pPr>
        <w:pStyle w:val="14"/>
        <w:spacing w:before="0" w:beforeAutospacing="0" w:after="0" w:afterAutospacing="0" w:line="560" w:lineRule="exact"/>
        <w:ind w:firstLine="640" w:firstLineChars="200"/>
        <w:rPr>
          <w:rFonts w:ascii="Times New Roman" w:hAnsi="Times New Roman" w:eastAsia="方正仿宋_GBK"/>
          <w:b w:val="0"/>
          <w:color w:val="000000"/>
        </w:rPr>
      </w:pPr>
      <w:bookmarkStart w:id="62" w:name="_Toc15396622"/>
      <w:r>
        <w:rPr>
          <w:rStyle w:val="10"/>
          <w:rFonts w:ascii="Times New Roman" w:hAnsi="Times New Roman" w:eastAsia="方正仿宋_GBK"/>
          <w:b w:val="0"/>
          <w:bCs w:val="0"/>
        </w:rPr>
        <w:t>四、</w:t>
      </w:r>
      <w:r>
        <w:rPr>
          <w:rFonts w:ascii="Times New Roman" w:hAnsi="Times New Roman" w:eastAsia="方正仿宋_GBK"/>
          <w:b w:val="0"/>
          <w:color w:val="000000"/>
        </w:rPr>
        <w:t>财</w:t>
      </w:r>
      <w:r>
        <w:rPr>
          <w:rStyle w:val="10"/>
          <w:rFonts w:ascii="Times New Roman" w:hAnsi="Times New Roman" w:eastAsia="方正仿宋_GBK"/>
          <w:b w:val="0"/>
          <w:bCs w:val="0"/>
        </w:rPr>
        <w:t>政拨款收入支出决算总表</w:t>
      </w:r>
      <w:bookmarkEnd w:id="62"/>
    </w:p>
    <w:p>
      <w:pPr>
        <w:pStyle w:val="14"/>
        <w:spacing w:before="0" w:beforeAutospacing="0" w:after="0" w:afterAutospacing="0" w:line="560" w:lineRule="exact"/>
        <w:ind w:firstLine="640" w:firstLineChars="200"/>
        <w:rPr>
          <w:rStyle w:val="10"/>
          <w:rFonts w:ascii="Times New Roman" w:hAnsi="Times New Roman" w:eastAsia="方正仿宋_GBK"/>
          <w:b w:val="0"/>
          <w:bCs w:val="0"/>
        </w:rPr>
      </w:pPr>
      <w:bookmarkStart w:id="63" w:name="_Toc15396623"/>
      <w:r>
        <w:rPr>
          <w:rStyle w:val="10"/>
          <w:rFonts w:ascii="Times New Roman" w:hAnsi="Times New Roman" w:eastAsia="方正仿宋_GBK"/>
          <w:b w:val="0"/>
          <w:bCs w:val="0"/>
        </w:rPr>
        <w:t>五、</w:t>
      </w:r>
      <w:r>
        <w:rPr>
          <w:rFonts w:ascii="Times New Roman" w:hAnsi="Times New Roman" w:eastAsia="方正仿宋_GBK"/>
          <w:b w:val="0"/>
          <w:color w:val="000000"/>
        </w:rPr>
        <w:t>财</w:t>
      </w:r>
      <w:r>
        <w:rPr>
          <w:rStyle w:val="10"/>
          <w:rFonts w:ascii="Times New Roman" w:hAnsi="Times New Roman" w:eastAsia="方正仿宋_GBK"/>
          <w:b w:val="0"/>
          <w:bCs w:val="0"/>
        </w:rPr>
        <w:t>政拨款支出决算明细表</w:t>
      </w:r>
      <w:bookmarkEnd w:id="63"/>
      <w:bookmarkStart w:id="64" w:name="_Toc15396624"/>
    </w:p>
    <w:p>
      <w:pPr>
        <w:pStyle w:val="14"/>
        <w:spacing w:before="0" w:beforeAutospacing="0" w:after="0" w:afterAutospacing="0" w:line="560" w:lineRule="exact"/>
        <w:ind w:firstLine="640" w:firstLineChars="200"/>
        <w:rPr>
          <w:rFonts w:ascii="Times New Roman" w:hAnsi="Times New Roman" w:eastAsia="方正仿宋_GBK"/>
          <w:color w:val="000000"/>
        </w:rPr>
      </w:pPr>
      <w:r>
        <w:rPr>
          <w:rStyle w:val="10"/>
          <w:rFonts w:ascii="Times New Roman" w:hAnsi="Times New Roman" w:eastAsia="方正仿宋_GBK"/>
          <w:b w:val="0"/>
          <w:bCs w:val="0"/>
        </w:rPr>
        <w:t>六、</w:t>
      </w:r>
      <w:r>
        <w:rPr>
          <w:rFonts w:ascii="Times New Roman" w:hAnsi="Times New Roman" w:eastAsia="方正仿宋_GBK"/>
          <w:b w:val="0"/>
          <w:color w:val="000000"/>
        </w:rPr>
        <w:t>一</w:t>
      </w:r>
      <w:r>
        <w:rPr>
          <w:rStyle w:val="10"/>
          <w:rFonts w:ascii="Times New Roman" w:hAnsi="Times New Roman" w:eastAsia="方正仿宋_GBK"/>
          <w:b w:val="0"/>
          <w:bCs w:val="0"/>
        </w:rPr>
        <w:t>般公共预算财政拨款支出决算表</w:t>
      </w:r>
      <w:bookmarkEnd w:id="64"/>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5" w:name="_Toc15396625"/>
      <w:r>
        <w:rPr>
          <w:rStyle w:val="10"/>
          <w:rFonts w:ascii="Times New Roman" w:hAnsi="Times New Roman" w:eastAsia="方正仿宋_GBK"/>
          <w:b w:val="0"/>
          <w:bCs w:val="0"/>
        </w:rPr>
        <w:t>七、</w:t>
      </w:r>
      <w:r>
        <w:rPr>
          <w:rFonts w:ascii="Times New Roman" w:hAnsi="Times New Roman" w:eastAsia="方正仿宋_GBK"/>
          <w:b w:val="0"/>
          <w:color w:val="000000"/>
        </w:rPr>
        <w:t>一</w:t>
      </w:r>
      <w:r>
        <w:rPr>
          <w:rStyle w:val="10"/>
          <w:rFonts w:ascii="Times New Roman" w:hAnsi="Times New Roman" w:eastAsia="方正仿宋_GBK"/>
          <w:b w:val="0"/>
          <w:bCs w:val="0"/>
        </w:rPr>
        <w:t>般公共预算财政拨款支出决算明细表</w:t>
      </w:r>
      <w:bookmarkEnd w:id="65"/>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6" w:name="_Toc15396626"/>
      <w:r>
        <w:rPr>
          <w:rStyle w:val="10"/>
          <w:rFonts w:ascii="Times New Roman" w:hAnsi="Times New Roman" w:eastAsia="方正仿宋_GBK"/>
          <w:b w:val="0"/>
          <w:bCs w:val="0"/>
        </w:rPr>
        <w:t>八、</w:t>
      </w:r>
      <w:r>
        <w:rPr>
          <w:rFonts w:ascii="Times New Roman" w:hAnsi="Times New Roman" w:eastAsia="方正仿宋_GBK"/>
          <w:b w:val="0"/>
          <w:color w:val="000000"/>
        </w:rPr>
        <w:t>一</w:t>
      </w:r>
      <w:r>
        <w:rPr>
          <w:rStyle w:val="10"/>
          <w:rFonts w:ascii="Times New Roman" w:hAnsi="Times New Roman" w:eastAsia="方正仿宋_GBK"/>
          <w:b w:val="0"/>
          <w:bCs w:val="0"/>
        </w:rPr>
        <w:t>般公共预算财政拨款基本支出决算表</w:t>
      </w:r>
      <w:bookmarkEnd w:id="66"/>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7" w:name="_Toc15396627"/>
      <w:r>
        <w:rPr>
          <w:rStyle w:val="10"/>
          <w:rFonts w:ascii="Times New Roman" w:hAnsi="Times New Roman" w:eastAsia="方正仿宋_GBK"/>
          <w:b w:val="0"/>
          <w:bCs w:val="0"/>
        </w:rPr>
        <w:t>九、</w:t>
      </w:r>
      <w:r>
        <w:rPr>
          <w:rFonts w:ascii="Times New Roman" w:hAnsi="Times New Roman" w:eastAsia="方正仿宋_GBK"/>
          <w:b w:val="0"/>
          <w:color w:val="000000"/>
        </w:rPr>
        <w:t>一</w:t>
      </w:r>
      <w:r>
        <w:rPr>
          <w:rStyle w:val="10"/>
          <w:rFonts w:ascii="Times New Roman" w:hAnsi="Times New Roman" w:eastAsia="方正仿宋_GBK"/>
          <w:b w:val="0"/>
          <w:bCs w:val="0"/>
        </w:rPr>
        <w:t>般公共预算财政拨款项目支出决算表</w:t>
      </w:r>
      <w:bookmarkEnd w:id="67"/>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8" w:name="_Toc15396628"/>
      <w:r>
        <w:rPr>
          <w:rStyle w:val="10"/>
          <w:rFonts w:ascii="Times New Roman" w:hAnsi="Times New Roman" w:eastAsia="方正仿宋_GBK"/>
          <w:b w:val="0"/>
          <w:bCs w:val="0"/>
        </w:rPr>
        <w:t>十、</w:t>
      </w:r>
      <w:r>
        <w:rPr>
          <w:rFonts w:ascii="Times New Roman" w:hAnsi="Times New Roman" w:eastAsia="方正仿宋_GBK"/>
          <w:b w:val="0"/>
          <w:color w:val="000000"/>
        </w:rPr>
        <w:t>一</w:t>
      </w:r>
      <w:r>
        <w:rPr>
          <w:rStyle w:val="10"/>
          <w:rFonts w:ascii="Times New Roman" w:hAnsi="Times New Roman" w:eastAsia="方正仿宋_GBK"/>
          <w:b w:val="0"/>
          <w:bCs w:val="0"/>
        </w:rPr>
        <w:t>般公共预算财政拨款“三公”经费支出决算表</w:t>
      </w:r>
      <w:bookmarkEnd w:id="68"/>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69" w:name="_Toc15396629"/>
      <w:r>
        <w:rPr>
          <w:rStyle w:val="10"/>
          <w:rFonts w:ascii="Times New Roman" w:hAnsi="Times New Roman" w:eastAsia="方正仿宋_GBK"/>
          <w:b w:val="0"/>
          <w:bCs w:val="0"/>
        </w:rPr>
        <w:t>十一、</w:t>
      </w:r>
      <w:r>
        <w:rPr>
          <w:rFonts w:ascii="Times New Roman" w:hAnsi="Times New Roman" w:eastAsia="方正仿宋_GBK"/>
          <w:b w:val="0"/>
          <w:color w:val="000000"/>
        </w:rPr>
        <w:t>政</w:t>
      </w:r>
      <w:r>
        <w:rPr>
          <w:rStyle w:val="10"/>
          <w:rFonts w:ascii="Times New Roman" w:hAnsi="Times New Roman" w:eastAsia="方正仿宋_GBK"/>
          <w:b w:val="0"/>
          <w:bCs w:val="0"/>
        </w:rPr>
        <w:t>府性基金预算财政拨款收入支出决算表</w:t>
      </w:r>
      <w:bookmarkEnd w:id="69"/>
    </w:p>
    <w:p>
      <w:pPr>
        <w:pStyle w:val="14"/>
        <w:spacing w:before="0" w:beforeAutospacing="0" w:after="0" w:afterAutospacing="0" w:line="560" w:lineRule="exact"/>
        <w:ind w:firstLine="640" w:firstLineChars="200"/>
        <w:rPr>
          <w:rFonts w:ascii="Times New Roman" w:hAnsi="Times New Roman" w:eastAsia="方正仿宋_GBK"/>
          <w:color w:val="000000"/>
        </w:rPr>
      </w:pPr>
      <w:bookmarkStart w:id="70" w:name="_Toc15396630"/>
      <w:r>
        <w:rPr>
          <w:rStyle w:val="10"/>
          <w:rFonts w:ascii="Times New Roman" w:hAnsi="Times New Roman" w:eastAsia="方正仿宋_GBK"/>
          <w:b w:val="0"/>
          <w:bCs w:val="0"/>
        </w:rPr>
        <w:t>十二、</w:t>
      </w:r>
      <w:r>
        <w:rPr>
          <w:rFonts w:ascii="Times New Roman" w:hAnsi="Times New Roman" w:eastAsia="方正仿宋_GBK"/>
          <w:b w:val="0"/>
          <w:color w:val="000000"/>
        </w:rPr>
        <w:t>政</w:t>
      </w:r>
      <w:r>
        <w:rPr>
          <w:rStyle w:val="10"/>
          <w:rFonts w:ascii="Times New Roman" w:hAnsi="Times New Roman" w:eastAsia="方正仿宋_GBK"/>
          <w:b w:val="0"/>
          <w:bCs w:val="0"/>
        </w:rPr>
        <w:t>府性基金预算财政拨款“三公”经费支出决算表</w:t>
      </w:r>
      <w:bookmarkEnd w:id="70"/>
    </w:p>
    <w:p>
      <w:pPr>
        <w:pStyle w:val="14"/>
        <w:spacing w:before="0" w:beforeAutospacing="0" w:after="0" w:afterAutospacing="0" w:line="560" w:lineRule="exact"/>
        <w:ind w:firstLine="640" w:firstLineChars="200"/>
        <w:rPr>
          <w:rStyle w:val="10"/>
          <w:rFonts w:ascii="Times New Roman" w:hAnsi="Times New Roman" w:eastAsia="方正仿宋_GBK"/>
          <w:b w:val="0"/>
          <w:bCs w:val="0"/>
        </w:rPr>
      </w:pPr>
      <w:bookmarkStart w:id="71" w:name="_Toc15396631"/>
      <w:r>
        <w:rPr>
          <w:rStyle w:val="10"/>
          <w:rFonts w:ascii="Times New Roman" w:hAnsi="Times New Roman" w:eastAsia="方正仿宋_GBK"/>
          <w:b w:val="0"/>
          <w:bCs w:val="0"/>
        </w:rPr>
        <w:t>十三、</w:t>
      </w:r>
      <w:r>
        <w:rPr>
          <w:rFonts w:ascii="Times New Roman" w:hAnsi="Times New Roman" w:eastAsia="方正仿宋_GBK"/>
          <w:b w:val="0"/>
          <w:color w:val="000000"/>
        </w:rPr>
        <w:t>国</w:t>
      </w:r>
      <w:r>
        <w:rPr>
          <w:rStyle w:val="10"/>
          <w:rFonts w:ascii="Times New Roman" w:hAnsi="Times New Roman" w:eastAsia="方正仿宋_GBK"/>
          <w:b w:val="0"/>
          <w:bCs w:val="0"/>
        </w:rPr>
        <w:t>有资本经营预算财政拨款收入支出决算表</w:t>
      </w:r>
      <w:bookmarkEnd w:id="71"/>
    </w:p>
    <w:p>
      <w:pPr>
        <w:pStyle w:val="14"/>
        <w:spacing w:before="0" w:beforeAutospacing="0" w:after="0" w:afterAutospacing="0" w:line="560" w:lineRule="exact"/>
        <w:ind w:firstLine="640" w:firstLineChars="200"/>
        <w:rPr>
          <w:rFonts w:ascii="Times New Roman" w:hAnsi="Times New Roman" w:eastAsia="方正仿宋_GBK"/>
          <w:color w:val="000000"/>
        </w:rPr>
      </w:pPr>
      <w:r>
        <w:rPr>
          <w:rStyle w:val="10"/>
          <w:rFonts w:ascii="Times New Roman" w:hAnsi="Times New Roman" w:eastAsia="方正仿宋_GBK"/>
          <w:b w:val="0"/>
          <w:bCs w:val="0"/>
        </w:rPr>
        <w:t>十四、</w:t>
      </w:r>
      <w:r>
        <w:rPr>
          <w:rFonts w:ascii="Times New Roman" w:hAnsi="Times New Roman" w:eastAsia="方正仿宋_GBK"/>
          <w:b w:val="0"/>
          <w:color w:val="000000"/>
        </w:rPr>
        <w:t>国</w:t>
      </w:r>
      <w:r>
        <w:rPr>
          <w:rStyle w:val="10"/>
          <w:rFonts w:ascii="Times New Roman" w:hAnsi="Times New Roman" w:eastAsia="方正仿宋_GBK"/>
          <w:b w:val="0"/>
          <w:bCs w:val="0"/>
        </w:rPr>
        <w:t>有资本经营预算财政拨款支出决算表</w:t>
      </w:r>
    </w:p>
    <w:p>
      <w:pPr>
        <w:pStyle w:val="4"/>
      </w:pPr>
    </w:p>
    <w:sectPr>
      <w:headerReference r:id="rId3" w:type="default"/>
      <w:footerReference r:id="rId4" w:type="default"/>
      <w:pgSz w:w="11906" w:h="16838"/>
      <w:pgMar w:top="1701" w:right="1588" w:bottom="1588" w:left="1588" w:header="851" w:footer="992" w:gutter="0"/>
      <w:pgNumType w:fmt="decimal" w:start="1"/>
      <w:cols w:space="720" w:num="1"/>
      <w:formProt w:val="0"/>
      <w:titlePg/>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方正书宋_GBK"/>
    <w:panose1 w:val="02040503050406030204"/>
    <w:charset w:val="86"/>
    <w:family w:val="roman"/>
    <w:pitch w:val="default"/>
    <w:sig w:usb0="00000000" w:usb1="00000000"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roman"/>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楷体简体">
    <w:panose1 w:val="02010601030101010101"/>
    <w:charset w:val="86"/>
    <w:family w:val="roman"/>
    <w:pitch w:val="default"/>
    <w:sig w:usb0="00000001" w:usb1="080E0000" w:usb2="00000000" w:usb3="00000000" w:csb0="00040000" w:csb1="00000000"/>
  </w:font>
  <w:font w:name="楷体_GB2312">
    <w:altName w:val="方正楷体_GBK"/>
    <w:panose1 w:val="00000000000000000000"/>
    <w:charset w:val="86"/>
    <w:family w:val="roman"/>
    <w:pitch w:val="default"/>
    <w:sig w:usb0="00000000" w:usb1="00000000" w:usb2="00000000" w:usb3="00000000" w:csb0="00000000" w:csb1="00000000"/>
  </w:font>
  <w:font w:name="方正仿宋简体">
    <w:panose1 w:val="02010601030101010101"/>
    <w:charset w:val="86"/>
    <w:family w:val="roman"/>
    <w:pitch w:val="default"/>
    <w:sig w:usb0="00000001" w:usb1="080E0000" w:usb2="00000000" w:usb3="00000000" w:csb0="00040000" w:csb1="00000000"/>
  </w:font>
  <w:font w:name="Î¢ÈíÑÅºÚ Western">
    <w:altName w:val="仿宋_GB2312"/>
    <w:panose1 w:val="00000000000000000000"/>
    <w:charset w:val="86"/>
    <w:family w:val="roman"/>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w:instrText>
    </w:r>
    <w:r>
      <w:fldChar w:fldCharType="separate"/>
    </w:r>
    <w:r>
      <w:t>41</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chineseCountingThousand"/>
      <w:suff w:val="nothing"/>
      <w:lvlText w:val="（%1）"/>
      <w:lvlJc w:val="left"/>
      <w:pPr>
        <w:tabs>
          <w:tab w:val="left" w:pos="0"/>
        </w:tabs>
        <w:ind w:left="0" w:firstLine="0"/>
      </w:pPr>
      <w:rPr>
        <w:rFonts w:ascii="楷体_GB2312" w:hAnsi="楷体_GB2312" w:eastAsia="楷体_GB2312" w:cs="楷体_GB2312"/>
        <w:b/>
        <w:bCs/>
        <w:sz w:val="32"/>
        <w:szCs w:val="3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CF092B84"/>
    <w:multiLevelType w:val="multilevel"/>
    <w:tmpl w:val="CF092B84"/>
    <w:lvl w:ilvl="0" w:tentative="0">
      <w:start w:val="5"/>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53208E"/>
    <w:multiLevelType w:val="multilevel"/>
    <w:tmpl w:val="0053208E"/>
    <w:lvl w:ilvl="0" w:tentative="0">
      <w:start w:val="1"/>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59ADCABA"/>
    <w:multiLevelType w:val="multilevel"/>
    <w:tmpl w:val="59ADCABA"/>
    <w:lvl w:ilvl="0" w:tentative="0">
      <w:start w:val="7"/>
      <w:numFmt w:val="decimal"/>
      <w:suff w:val="nothing"/>
      <w:lvlText w:val="%1、"/>
      <w:lvlJc w:val="left"/>
      <w:pPr>
        <w:tabs>
          <w:tab w:val="left" w:pos="0"/>
        </w:tabs>
        <w:ind w:left="-13"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autoHyphenation/>
  <w:compat>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F31CA"/>
    <w:rsid w:val="3D42035D"/>
    <w:rsid w:val="5B334507"/>
    <w:rsid w:val="631663F1"/>
    <w:rsid w:val="65EA6E15"/>
    <w:rsid w:val="E7C4DE8C"/>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hi-I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0" w:firstLineChars="200"/>
    </w:pPr>
  </w:style>
  <w:style w:type="paragraph" w:customStyle="1" w:styleId="3">
    <w:name w:val="正文缩进1"/>
    <w:basedOn w:val="4"/>
    <w:qFormat/>
    <w:uiPriority w:val="0"/>
    <w:pPr>
      <w:spacing w:beforeLines="0" w:beforeAutospacing="0" w:after="120" w:afterAutospacing="0"/>
      <w:ind w:left="420" w:leftChars="200"/>
    </w:pPr>
  </w:style>
  <w:style w:type="paragraph" w:customStyle="1" w:styleId="4">
    <w:name w:val="正文1"/>
    <w:next w:val="2"/>
    <w:qFormat/>
    <w:uiPriority w:val="0"/>
    <w:pPr>
      <w:widowControl w:val="0"/>
      <w:suppressAutoHyphens w:val="0"/>
      <w:bidi w:val="0"/>
      <w:spacing w:beforeLines="0" w:beforeAutospacing="0" w:afterLines="0" w:afterAutospacing="0"/>
      <w:jc w:val="both"/>
    </w:pPr>
    <w:rPr>
      <w:rFonts w:ascii="Times New Roman" w:hAnsi="Times New Roman" w:eastAsia="宋体" w:cs="Times New Roman"/>
      <w:color w:val="auto"/>
      <w:kern w:val="2"/>
      <w:sz w:val="21"/>
      <w:szCs w:val="24"/>
      <w:lang w:val="en-US" w:eastAsia="zh-CN" w:bidi="ar-SA"/>
    </w:rPr>
  </w:style>
  <w:style w:type="character" w:customStyle="1" w:styleId="7">
    <w:name w:val="默认段落字体1"/>
    <w:qFormat/>
    <w:uiPriority w:val="0"/>
  </w:style>
  <w:style w:type="character" w:customStyle="1" w:styleId="8">
    <w:name w:val="要点1"/>
    <w:basedOn w:val="6"/>
    <w:qFormat/>
    <w:uiPriority w:val="99"/>
    <w:rPr>
      <w:rFonts w:cs="Times New Roman"/>
      <w:b/>
    </w:rPr>
  </w:style>
  <w:style w:type="character" w:customStyle="1" w:styleId="9">
    <w:name w:val="Heading 1 Char"/>
    <w:basedOn w:val="6"/>
    <w:qFormat/>
    <w:locked/>
    <w:uiPriority w:val="99"/>
    <w:rPr>
      <w:rFonts w:ascii="Times New Roman" w:hAnsi="Times New Roman" w:cs="Times New Roman"/>
      <w:b/>
      <w:bCs/>
      <w:kern w:val="2"/>
      <w:sz w:val="44"/>
      <w:szCs w:val="44"/>
    </w:rPr>
  </w:style>
  <w:style w:type="character" w:customStyle="1" w:styleId="10">
    <w:name w:val="标题 2 Char"/>
    <w:basedOn w:val="6"/>
    <w:qFormat/>
    <w:locked/>
    <w:uiPriority w:val="99"/>
    <w:rPr>
      <w:rFonts w:ascii="Cambria" w:hAnsi="Cambria" w:eastAsia="宋体" w:cs="Times New Roman"/>
      <w:b/>
      <w:bCs/>
      <w:kern w:val="2"/>
      <w:sz w:val="32"/>
      <w:szCs w:val="32"/>
    </w:rPr>
  </w:style>
  <w:style w:type="character" w:customStyle="1" w:styleId="11">
    <w:name w:val="标题 1 Char"/>
    <w:basedOn w:val="6"/>
    <w:qFormat/>
    <w:uiPriority w:val="9"/>
    <w:rPr>
      <w:rFonts w:ascii="Times New Roman" w:hAnsi="Times New Roman"/>
      <w:b/>
      <w:bCs/>
      <w:kern w:val="2"/>
      <w:sz w:val="44"/>
      <w:szCs w:val="44"/>
    </w:rPr>
  </w:style>
  <w:style w:type="character" w:customStyle="1" w:styleId="12">
    <w:name w:val="索引链接"/>
    <w:basedOn w:val="7"/>
    <w:qFormat/>
    <w:uiPriority w:val="0"/>
  </w:style>
  <w:style w:type="paragraph" w:customStyle="1" w:styleId="13">
    <w:name w:val="标题 11"/>
    <w:basedOn w:val="4"/>
    <w:next w:val="4"/>
    <w:qFormat/>
    <w:uiPriority w:val="99"/>
    <w:pPr>
      <w:keepNext/>
      <w:keepLines/>
      <w:spacing w:before="340" w:beforeAutospacing="0" w:after="330" w:afterAutospacing="0" w:line="578" w:lineRule="auto"/>
      <w:outlineLvl w:val="0"/>
    </w:pPr>
    <w:rPr>
      <w:b/>
      <w:bCs/>
      <w:kern w:val="2"/>
      <w:sz w:val="44"/>
      <w:szCs w:val="44"/>
    </w:rPr>
  </w:style>
  <w:style w:type="paragraph" w:customStyle="1" w:styleId="14">
    <w:name w:val="标题 21"/>
    <w:basedOn w:val="4"/>
    <w:next w:val="4"/>
    <w:qFormat/>
    <w:uiPriority w:val="99"/>
    <w:pPr>
      <w:keepNext/>
      <w:keepLines/>
      <w:spacing w:before="260" w:beforeAutospacing="0" w:after="260" w:afterAutospacing="0" w:line="415" w:lineRule="auto"/>
      <w:outlineLvl w:val="1"/>
    </w:pPr>
    <w:rPr>
      <w:rFonts w:ascii="Cambria" w:hAnsi="Cambria"/>
      <w:b/>
      <w:bCs/>
      <w:sz w:val="32"/>
      <w:szCs w:val="32"/>
    </w:rPr>
  </w:style>
  <w:style w:type="paragraph" w:customStyle="1" w:styleId="15">
    <w:name w:val="正文文本1"/>
    <w:basedOn w:val="4"/>
    <w:qFormat/>
    <w:uiPriority w:val="99"/>
    <w:rPr>
      <w:rFonts w:ascii="仿宋_GB2312" w:hAnsi="仿宋_GB2312" w:eastAsia="仿宋_GB2312"/>
      <w:kern w:val="0"/>
      <w:sz w:val="24"/>
      <w:szCs w:val="20"/>
    </w:rPr>
  </w:style>
  <w:style w:type="paragraph" w:customStyle="1" w:styleId="16">
    <w:name w:val="页脚1"/>
    <w:basedOn w:val="4"/>
    <w:qFormat/>
    <w:uiPriority w:val="99"/>
    <w:pPr>
      <w:tabs>
        <w:tab w:val="center" w:pos="4153"/>
        <w:tab w:val="right" w:pos="8306"/>
      </w:tabs>
      <w:snapToGrid w:val="0"/>
      <w:jc w:val="left"/>
    </w:pPr>
    <w:rPr>
      <w:kern w:val="0"/>
      <w:sz w:val="18"/>
      <w:szCs w:val="20"/>
    </w:rPr>
  </w:style>
  <w:style w:type="paragraph" w:customStyle="1" w:styleId="17">
    <w:name w:val="页眉1"/>
    <w:basedOn w:val="4"/>
    <w:semiHidden/>
    <w:qFormat/>
    <w:uiPriority w:val="99"/>
    <w:pPr>
      <w:pBdr>
        <w:bottom w:val="single" w:color="000000" w:sz="6" w:space="1"/>
      </w:pBdr>
      <w:tabs>
        <w:tab w:val="center" w:pos="4153"/>
        <w:tab w:val="right" w:pos="8306"/>
      </w:tabs>
      <w:snapToGrid w:val="0"/>
      <w:jc w:val="center"/>
    </w:pPr>
    <w:rPr>
      <w:kern w:val="0"/>
      <w:sz w:val="18"/>
      <w:szCs w:val="20"/>
    </w:rPr>
  </w:style>
  <w:style w:type="paragraph" w:customStyle="1" w:styleId="18">
    <w:name w:val="目录 11"/>
    <w:basedOn w:val="4"/>
    <w:next w:val="4"/>
    <w:qFormat/>
    <w:uiPriority w:val="99"/>
    <w:pPr>
      <w:tabs>
        <w:tab w:val="right" w:leader="dot" w:pos="8296"/>
      </w:tabs>
      <w:spacing w:before="93" w:beforeAutospacing="0" w:afterLines="0" w:afterAutospacing="0"/>
      <w:jc w:val="center"/>
    </w:pPr>
    <w:rPr>
      <w:rFonts w:ascii="仿宋" w:hAnsi="仿宋" w:eastAsia="仿宋"/>
      <w:sz w:val="28"/>
      <w:szCs w:val="28"/>
    </w:rPr>
  </w:style>
  <w:style w:type="paragraph" w:customStyle="1" w:styleId="19">
    <w:name w:val="目录 21"/>
    <w:basedOn w:val="4"/>
    <w:next w:val="4"/>
    <w:qFormat/>
    <w:uiPriority w:val="99"/>
    <w:pPr>
      <w:tabs>
        <w:tab w:val="right" w:leader="dot" w:pos="8296"/>
      </w:tabs>
      <w:ind w:left="420" w:leftChars="200"/>
    </w:pPr>
  </w:style>
  <w:style w:type="paragraph" w:customStyle="1" w:styleId="20">
    <w:name w:val="列表段落"/>
    <w:basedOn w:val="4"/>
    <w:qFormat/>
    <w:uiPriority w:val="99"/>
    <w:pPr>
      <w:ind w:firstLine="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18524</Words>
  <Characters>19648</Characters>
  <Paragraphs>572</Paragraphs>
  <TotalTime>38</TotalTime>
  <ScaleCrop>false</ScaleCrop>
  <LinksUpToDate>false</LinksUpToDate>
  <CharactersWithSpaces>19972</CharactersWithSpaces>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2020-08-26T14:15:00Z</dcterms:created>
  <dc:creator>曹颖</dc:creator>
  <cp:lastModifiedBy>user</cp:lastModifiedBy>
  <cp:lastPrinted>2020-07-23T10:58:00Z</cp:lastPrinted>
  <dcterms:modified xsi:type="dcterms:W3CDTF">2023-11-30T14:45:20Z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8BBBFD0BEE03475A9ACC4073D601C98D</vt:lpwstr>
  </property>
  <property fmtid="{D5CDD505-2E9C-101B-9397-08002B2CF9AE}" pid="3" name="KSOProductBuildVer">
    <vt:lpwstr>2052-11.8.2.1127</vt:lpwstr>
  </property>
</Properties>
</file>