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eastAsia="方正小标宋简体"/>
          <w:color w:val="000000"/>
          <w:sz w:val="72"/>
          <w:szCs w:val="72"/>
        </w:rPr>
      </w:pPr>
      <w:bookmarkStart w:id="0" w:name="_Toc15306267"/>
    </w:p>
    <w:p>
      <w:pPr>
        <w:spacing w:line="600" w:lineRule="exact"/>
        <w:jc w:val="center"/>
        <w:outlineLvl w:val="0"/>
        <w:rPr>
          <w:rFonts w:ascii="方正小标宋简体" w:eastAsia="方正小标宋简体"/>
          <w:color w:val="000000"/>
          <w:sz w:val="72"/>
          <w:szCs w:val="72"/>
        </w:rPr>
      </w:pPr>
    </w:p>
    <w:p>
      <w:pPr>
        <w:spacing w:line="600" w:lineRule="exact"/>
        <w:jc w:val="center"/>
        <w:outlineLvl w:val="0"/>
        <w:rPr>
          <w:rFonts w:ascii="方正小标宋简体" w:eastAsia="方正小标宋简体"/>
          <w:color w:val="000000"/>
          <w:sz w:val="72"/>
          <w:szCs w:val="72"/>
        </w:rPr>
      </w:pPr>
    </w:p>
    <w:p>
      <w:pPr>
        <w:spacing w:line="600" w:lineRule="exact"/>
        <w:jc w:val="center"/>
        <w:outlineLvl w:val="0"/>
        <w:rPr>
          <w:rFonts w:ascii="方正小标宋简体" w:eastAsia="方正小标宋简体"/>
          <w:color w:val="000000"/>
          <w:sz w:val="72"/>
          <w:szCs w:val="72"/>
        </w:rPr>
      </w:pPr>
    </w:p>
    <w:p>
      <w:pPr>
        <w:adjustRightInd w:val="0"/>
        <w:snapToGrid w:val="0"/>
        <w:spacing w:line="360" w:lineRule="auto"/>
        <w:jc w:val="center"/>
        <w:outlineLvl w:val="0"/>
        <w:rPr>
          <w:rFonts w:ascii="方正小标宋简体" w:eastAsia="方正小标宋简体"/>
          <w:color w:val="000000"/>
          <w:sz w:val="72"/>
          <w:szCs w:val="72"/>
        </w:rPr>
      </w:pPr>
      <w:bookmarkStart w:id="1" w:name="_Toc15396475"/>
      <w:bookmarkStart w:id="2" w:name="_Toc15377425"/>
      <w:bookmarkStart w:id="3" w:name="_Toc15378441"/>
      <w:bookmarkStart w:id="4" w:name="_Toc15396597"/>
      <w:bookmarkStart w:id="5" w:name="_Toc15377193"/>
      <w:r>
        <w:rPr>
          <w:rFonts w:ascii="黑体" w:eastAsia="黑体"/>
          <w:color w:val="000000"/>
          <w:sz w:val="72"/>
          <w:szCs w:val="72"/>
        </w:rPr>
        <w:t>201</w:t>
      </w:r>
      <w:r>
        <w:rPr>
          <w:rFonts w:hint="eastAsia" w:ascii="黑体" w:eastAsia="黑体"/>
          <w:color w:val="000000"/>
          <w:sz w:val="72"/>
          <w:szCs w:val="72"/>
        </w:rPr>
        <w:t>8</w:t>
      </w:r>
      <w:r>
        <w:rPr>
          <w:rFonts w:hint="eastAsia" w:ascii="方正小标宋简体" w:eastAsia="方正小标宋简体"/>
          <w:color w:val="000000"/>
          <w:sz w:val="72"/>
          <w:szCs w:val="72"/>
        </w:rPr>
        <w:t>年度</w:t>
      </w:r>
      <w:bookmarkEnd w:id="1"/>
      <w:bookmarkEnd w:id="2"/>
      <w:bookmarkEnd w:id="3"/>
      <w:bookmarkEnd w:id="4"/>
      <w:bookmarkEnd w:id="5"/>
    </w:p>
    <w:p>
      <w:pPr>
        <w:adjustRightInd w:val="0"/>
        <w:snapToGrid w:val="0"/>
        <w:spacing w:line="360" w:lineRule="auto"/>
        <w:jc w:val="center"/>
        <w:outlineLvl w:val="0"/>
        <w:rPr>
          <w:rFonts w:ascii="方正小标宋简体" w:eastAsia="方正小标宋简体"/>
          <w:color w:val="000000"/>
          <w:sz w:val="72"/>
          <w:szCs w:val="72"/>
        </w:rPr>
      </w:pPr>
      <w:bookmarkStart w:id="6" w:name="_Toc15378442"/>
      <w:bookmarkStart w:id="7" w:name="_Toc15377426"/>
      <w:bookmarkStart w:id="8" w:name="_Toc15396598"/>
      <w:bookmarkStart w:id="9" w:name="_Toc15396476"/>
      <w:bookmarkStart w:id="10" w:name="_Toc15377194"/>
      <w:r>
        <w:rPr>
          <w:rFonts w:hint="eastAsia" w:ascii="方正小标宋简体" w:eastAsia="方正小标宋简体"/>
          <w:color w:val="000000"/>
          <w:sz w:val="72"/>
          <w:szCs w:val="72"/>
        </w:rPr>
        <w:t>四川省</w:t>
      </w:r>
      <w:bookmarkEnd w:id="0"/>
      <w:bookmarkStart w:id="11" w:name="_Toc15306268"/>
      <w:r>
        <w:rPr>
          <w:rFonts w:hint="eastAsia" w:ascii="方正小标宋简体" w:eastAsia="方正小标宋简体"/>
          <w:color w:val="000000"/>
          <w:sz w:val="72"/>
          <w:szCs w:val="72"/>
        </w:rPr>
        <w:t>达州市达川区</w:t>
      </w:r>
    </w:p>
    <w:p>
      <w:pPr>
        <w:adjustRightInd w:val="0"/>
        <w:snapToGrid w:val="0"/>
        <w:spacing w:line="360" w:lineRule="auto"/>
        <w:jc w:val="center"/>
        <w:outlineLvl w:val="0"/>
        <w:rPr>
          <w:rFonts w:ascii="方正小标宋简体" w:eastAsia="方正小标宋简体"/>
          <w:color w:val="000000"/>
          <w:sz w:val="72"/>
          <w:szCs w:val="72"/>
        </w:rPr>
      </w:pPr>
      <w:r>
        <w:rPr>
          <w:rFonts w:hint="eastAsia" w:ascii="方正小标宋简体" w:eastAsia="方正小标宋简体"/>
          <w:color w:val="000000"/>
          <w:sz w:val="72"/>
          <w:szCs w:val="72"/>
        </w:rPr>
        <w:t>黄庭乡人民政府</w:t>
      </w:r>
      <w:bookmarkStart w:id="76" w:name="_GoBack"/>
      <w:bookmarkEnd w:id="76"/>
      <w:r>
        <w:rPr>
          <w:rFonts w:hint="eastAsia" w:ascii="方正小标宋简体" w:eastAsia="方正小标宋简体"/>
          <w:color w:val="000000"/>
          <w:sz w:val="72"/>
          <w:szCs w:val="72"/>
        </w:rPr>
        <w:t>部门决算</w:t>
      </w:r>
      <w:bookmarkEnd w:id="6"/>
      <w:bookmarkEnd w:id="7"/>
      <w:bookmarkEnd w:id="8"/>
      <w:bookmarkEnd w:id="9"/>
      <w:bookmarkEnd w:id="10"/>
      <w:bookmarkEnd w:id="11"/>
    </w:p>
    <w:p>
      <w:pPr>
        <w:widowControl/>
        <w:jc w:val="center"/>
        <w:rPr>
          <w:rFonts w:ascii="黑体" w:eastAsia="黑体"/>
          <w:color w:val="000000"/>
          <w:sz w:val="48"/>
          <w:szCs w:val="48"/>
        </w:rPr>
      </w:pPr>
      <w:r>
        <w:rPr>
          <w:rFonts w:ascii="方正小标宋简体" w:eastAsia="方正小标宋简体"/>
          <w:color w:val="000000"/>
          <w:sz w:val="36"/>
          <w:szCs w:val="36"/>
        </w:rPr>
        <w:br w:type="page"/>
      </w:r>
      <w:r>
        <w:rPr>
          <w:rFonts w:hint="eastAsia" w:ascii="黑体" w:eastAsia="黑体"/>
          <w:color w:val="000000"/>
          <w:sz w:val="48"/>
          <w:szCs w:val="48"/>
        </w:rPr>
        <w:t>目录</w:t>
      </w:r>
    </w:p>
    <w:p>
      <w:pPr>
        <w:widowControl/>
        <w:jc w:val="center"/>
        <w:rPr>
          <w:rFonts w:ascii="黑体" w:eastAsia="黑体" w:cs="Arial"/>
          <w:sz w:val="28"/>
          <w:szCs w:val="28"/>
        </w:rPr>
      </w:pPr>
      <w:r>
        <w:rPr>
          <w:rFonts w:ascii="黑体" w:eastAsia="黑体"/>
          <w:color w:val="000000"/>
          <w:sz w:val="48"/>
          <w:szCs w:val="48"/>
        </w:rPr>
        <w:fldChar w:fldCharType="begin"/>
      </w:r>
      <w:r>
        <w:rPr>
          <w:rFonts w:ascii="黑体" w:eastAsia="黑体"/>
          <w:color w:val="000000"/>
          <w:sz w:val="48"/>
          <w:szCs w:val="48"/>
        </w:rPr>
        <w:instrText xml:space="preserve"> TOC \o "1-2" \h \z \u </w:instrText>
      </w:r>
      <w:r>
        <w:rPr>
          <w:rFonts w:ascii="黑体" w:eastAsia="黑体"/>
          <w:color w:val="000000"/>
          <w:sz w:val="48"/>
          <w:szCs w:val="48"/>
        </w:rPr>
        <w:fldChar w:fldCharType="separate"/>
      </w:r>
    </w:p>
    <w:p>
      <w:pPr>
        <w:pStyle w:val="10"/>
      </w:pPr>
      <w:r>
        <w:rPr>
          <w:rFonts w:hint="eastAsia"/>
        </w:rPr>
        <w:t>公开时间：2019年9月16日</w:t>
      </w:r>
    </w:p>
    <w:p/>
    <w:p>
      <w:pPr>
        <w:pStyle w:val="10"/>
        <w:rPr>
          <w:rFonts w:cs="Arial"/>
        </w:rPr>
      </w:pPr>
      <w:r>
        <w:fldChar w:fldCharType="begin"/>
      </w:r>
      <w:r>
        <w:instrText xml:space="preserve"> HYPERLINK \l "_Toc15396599" </w:instrText>
      </w:r>
      <w:r>
        <w:fldChar w:fldCharType="separate"/>
      </w:r>
      <w:r>
        <w:rPr>
          <w:rFonts w:hint="eastAsia"/>
        </w:rPr>
        <w:t>第一部分部门概况</w:t>
      </w:r>
      <w:r>
        <w:tab/>
      </w:r>
      <w:r>
        <w:rPr>
          <w:rFonts w:hint="eastAsia"/>
        </w:rPr>
        <w:t>4</w:t>
      </w:r>
      <w:r>
        <w:rPr>
          <w:rFonts w:hint="eastAsia"/>
        </w:rPr>
        <w:fldChar w:fldCharType="end"/>
      </w:r>
    </w:p>
    <w:p>
      <w:pPr>
        <w:pStyle w:val="11"/>
        <w:rPr>
          <w:rFonts w:ascii="仿宋" w:eastAsia="仿宋" w:cs="Arial"/>
          <w:sz w:val="28"/>
          <w:szCs w:val="28"/>
        </w:rPr>
      </w:pPr>
      <w:r>
        <w:fldChar w:fldCharType="begin"/>
      </w:r>
      <w:r>
        <w:instrText xml:space="preserve"> HYPERLINK \l "_Toc15396600" </w:instrText>
      </w:r>
      <w:r>
        <w:fldChar w:fldCharType="separate"/>
      </w:r>
      <w:r>
        <w:rPr>
          <w:rFonts w:hint="eastAsia" w:ascii="仿宋" w:eastAsia="仿宋"/>
          <w:sz w:val="28"/>
          <w:szCs w:val="28"/>
        </w:rPr>
        <w:t>一、基本职能及主要工作</w:t>
      </w:r>
      <w:r>
        <w:rPr>
          <w:rFonts w:ascii="仿宋" w:eastAsia="仿宋"/>
          <w:sz w:val="28"/>
          <w:szCs w:val="28"/>
        </w:rPr>
        <w:tab/>
      </w:r>
      <w:r>
        <w:rPr>
          <w:rFonts w:hint="eastAsia" w:ascii="仿宋" w:eastAsia="仿宋"/>
          <w:sz w:val="28"/>
          <w:szCs w:val="28"/>
        </w:rPr>
        <w:t>4</w:t>
      </w:r>
      <w:r>
        <w:rPr>
          <w:rFonts w:hint="eastAsia" w:ascii="仿宋" w:eastAsia="仿宋"/>
          <w:sz w:val="28"/>
          <w:szCs w:val="28"/>
        </w:rPr>
        <w:fldChar w:fldCharType="end"/>
      </w:r>
    </w:p>
    <w:p>
      <w:pPr>
        <w:pStyle w:val="11"/>
        <w:rPr>
          <w:rFonts w:ascii="仿宋" w:eastAsia="仿宋" w:cs="Arial"/>
          <w:sz w:val="28"/>
          <w:szCs w:val="28"/>
        </w:rPr>
      </w:pPr>
      <w:r>
        <w:fldChar w:fldCharType="begin"/>
      </w:r>
      <w:r>
        <w:instrText xml:space="preserve"> HYPERLINK \l "_Toc15396601" </w:instrText>
      </w:r>
      <w:r>
        <w:fldChar w:fldCharType="separate"/>
      </w:r>
      <w:r>
        <w:rPr>
          <w:rFonts w:hint="eastAsia" w:ascii="仿宋" w:eastAsia="仿宋"/>
          <w:sz w:val="28"/>
          <w:szCs w:val="28"/>
        </w:rPr>
        <w:t>二、机构设置</w:t>
      </w:r>
      <w:r>
        <w:rPr>
          <w:rFonts w:ascii="仿宋" w:eastAsia="仿宋"/>
          <w:sz w:val="28"/>
          <w:szCs w:val="28"/>
        </w:rPr>
        <w:tab/>
      </w:r>
      <w:r>
        <w:rPr>
          <w:rFonts w:hint="eastAsia" w:ascii="仿宋" w:eastAsia="仿宋"/>
          <w:sz w:val="28"/>
          <w:szCs w:val="28"/>
        </w:rPr>
        <w:t>1</w:t>
      </w:r>
      <w:r>
        <w:rPr>
          <w:rFonts w:hint="eastAsia" w:ascii="仿宋" w:eastAsia="仿宋"/>
          <w:sz w:val="28"/>
          <w:szCs w:val="28"/>
        </w:rPr>
        <w:fldChar w:fldCharType="end"/>
      </w:r>
      <w:r>
        <w:rPr>
          <w:rFonts w:hint="eastAsia" w:ascii="仿宋" w:eastAsia="仿宋"/>
          <w:sz w:val="28"/>
          <w:szCs w:val="28"/>
        </w:rPr>
        <w:t>1</w:t>
      </w:r>
    </w:p>
    <w:p>
      <w:pPr>
        <w:pStyle w:val="10"/>
      </w:pPr>
      <w:r>
        <w:fldChar w:fldCharType="begin"/>
      </w:r>
      <w:r>
        <w:instrText xml:space="preserve"> HYPERLINK \l "_Toc15396602" </w:instrText>
      </w:r>
      <w:r>
        <w:fldChar w:fldCharType="separate"/>
      </w:r>
      <w:r>
        <w:rPr>
          <w:rFonts w:hint="eastAsia"/>
        </w:rPr>
        <w:t>第二部分</w:t>
      </w:r>
      <w:r>
        <w:t xml:space="preserve"> 2018</w:t>
      </w:r>
      <w:r>
        <w:rPr>
          <w:rFonts w:hint="eastAsia"/>
        </w:rPr>
        <w:t>年度部门决算情况说明</w:t>
      </w:r>
      <w:r>
        <w:tab/>
      </w:r>
      <w:r>
        <w:rPr>
          <w:rFonts w:hint="eastAsia"/>
        </w:rPr>
        <w:t>1</w:t>
      </w:r>
      <w:r>
        <w:rPr>
          <w:rFonts w:hint="eastAsia"/>
        </w:rPr>
        <w:fldChar w:fldCharType="end"/>
      </w:r>
      <w:r>
        <w:rPr>
          <w:rFonts w:hint="eastAsia"/>
        </w:rPr>
        <w:t>2</w:t>
      </w:r>
    </w:p>
    <w:p>
      <w:pPr>
        <w:pStyle w:val="11"/>
        <w:rPr>
          <w:rFonts w:ascii="仿宋" w:eastAsia="仿宋" w:cs="Arial"/>
          <w:sz w:val="28"/>
          <w:szCs w:val="28"/>
        </w:rPr>
      </w:pPr>
      <w:r>
        <w:fldChar w:fldCharType="begin"/>
      </w:r>
      <w:r>
        <w:instrText xml:space="preserve"> HYPERLINK \l "_Toc15396603" </w:instrText>
      </w:r>
      <w:r>
        <w:fldChar w:fldCharType="separate"/>
      </w:r>
      <w:r>
        <w:rPr>
          <w:rFonts w:hint="eastAsia" w:ascii="仿宋" w:eastAsia="仿宋" w:cs="Times New Roman"/>
          <w:bCs/>
          <w:sz w:val="28"/>
          <w:szCs w:val="28"/>
        </w:rPr>
        <w:t>一、</w:t>
      </w:r>
      <w:r>
        <w:rPr>
          <w:rFonts w:hint="eastAsia" w:ascii="仿宋" w:eastAsia="仿宋"/>
          <w:sz w:val="28"/>
          <w:szCs w:val="28"/>
        </w:rPr>
        <w:t>收</w:t>
      </w:r>
      <w:r>
        <w:rPr>
          <w:rFonts w:hint="eastAsia" w:ascii="仿宋" w:eastAsia="仿宋" w:cs="Times New Roman"/>
          <w:bCs/>
          <w:sz w:val="28"/>
          <w:szCs w:val="28"/>
        </w:rPr>
        <w:t>入支出决算总体情况说明</w:t>
      </w:r>
      <w:r>
        <w:rPr>
          <w:rFonts w:ascii="仿宋" w:eastAsia="仿宋"/>
          <w:sz w:val="28"/>
          <w:szCs w:val="28"/>
        </w:rPr>
        <w:tab/>
      </w:r>
      <w:r>
        <w:rPr>
          <w:rFonts w:hint="eastAsia" w:ascii="仿宋" w:eastAsia="仿宋"/>
          <w:sz w:val="28"/>
          <w:szCs w:val="28"/>
        </w:rPr>
        <w:t>1</w:t>
      </w:r>
      <w:r>
        <w:rPr>
          <w:rFonts w:hint="eastAsia" w:ascii="仿宋" w:eastAsia="仿宋"/>
          <w:sz w:val="28"/>
          <w:szCs w:val="28"/>
        </w:rPr>
        <w:fldChar w:fldCharType="end"/>
      </w:r>
      <w:r>
        <w:rPr>
          <w:rFonts w:hint="eastAsia" w:ascii="仿宋" w:eastAsia="仿宋"/>
          <w:sz w:val="28"/>
          <w:szCs w:val="28"/>
        </w:rPr>
        <w:t>2</w:t>
      </w:r>
    </w:p>
    <w:p>
      <w:pPr>
        <w:pStyle w:val="11"/>
        <w:rPr>
          <w:rFonts w:ascii="仿宋" w:eastAsia="仿宋" w:cs="Arial"/>
          <w:sz w:val="28"/>
          <w:szCs w:val="28"/>
        </w:rPr>
      </w:pPr>
      <w:r>
        <w:fldChar w:fldCharType="begin"/>
      </w:r>
      <w:r>
        <w:instrText xml:space="preserve"> HYPERLINK \l "_Toc15396604" </w:instrText>
      </w:r>
      <w:r>
        <w:fldChar w:fldCharType="separate"/>
      </w:r>
      <w:r>
        <w:rPr>
          <w:rFonts w:hint="eastAsia" w:ascii="仿宋" w:eastAsia="仿宋" w:cs="Times New Roman"/>
          <w:bCs/>
          <w:sz w:val="28"/>
          <w:szCs w:val="28"/>
        </w:rPr>
        <w:t>二、</w:t>
      </w:r>
      <w:r>
        <w:rPr>
          <w:rFonts w:hint="eastAsia" w:ascii="仿宋" w:eastAsia="仿宋"/>
          <w:sz w:val="28"/>
          <w:szCs w:val="28"/>
        </w:rPr>
        <w:t>收</w:t>
      </w:r>
      <w:r>
        <w:rPr>
          <w:rFonts w:hint="eastAsia" w:ascii="仿宋" w:eastAsia="仿宋" w:cs="Times New Roman"/>
          <w:bCs/>
          <w:sz w:val="28"/>
          <w:szCs w:val="28"/>
        </w:rPr>
        <w:t>入决算情况说明</w:t>
      </w:r>
      <w:r>
        <w:rPr>
          <w:rFonts w:ascii="仿宋" w:eastAsia="仿宋"/>
          <w:sz w:val="28"/>
          <w:szCs w:val="28"/>
        </w:rPr>
        <w:tab/>
      </w:r>
      <w:r>
        <w:rPr>
          <w:rFonts w:hint="eastAsia" w:ascii="仿宋" w:eastAsia="仿宋"/>
          <w:sz w:val="28"/>
          <w:szCs w:val="28"/>
        </w:rPr>
        <w:t>1</w:t>
      </w:r>
      <w:r>
        <w:rPr>
          <w:rFonts w:hint="eastAsia" w:ascii="仿宋" w:eastAsia="仿宋"/>
          <w:sz w:val="28"/>
          <w:szCs w:val="28"/>
        </w:rPr>
        <w:fldChar w:fldCharType="end"/>
      </w:r>
      <w:r>
        <w:rPr>
          <w:rFonts w:hint="eastAsia" w:ascii="仿宋" w:eastAsia="仿宋"/>
          <w:sz w:val="28"/>
          <w:szCs w:val="28"/>
        </w:rPr>
        <w:t>2</w:t>
      </w:r>
    </w:p>
    <w:p>
      <w:pPr>
        <w:pStyle w:val="11"/>
        <w:rPr>
          <w:rFonts w:ascii="仿宋" w:eastAsia="仿宋" w:cs="Arial"/>
          <w:sz w:val="28"/>
          <w:szCs w:val="28"/>
        </w:rPr>
      </w:pPr>
      <w:r>
        <w:fldChar w:fldCharType="begin"/>
      </w:r>
      <w:r>
        <w:instrText xml:space="preserve"> HYPERLINK \l "_Toc15396605" </w:instrText>
      </w:r>
      <w:r>
        <w:fldChar w:fldCharType="separate"/>
      </w:r>
      <w:r>
        <w:rPr>
          <w:rFonts w:hint="eastAsia" w:ascii="仿宋" w:eastAsia="仿宋" w:cs="Times New Roman"/>
          <w:bCs/>
          <w:sz w:val="28"/>
          <w:szCs w:val="28"/>
        </w:rPr>
        <w:t>三、</w:t>
      </w:r>
      <w:r>
        <w:rPr>
          <w:rFonts w:hint="eastAsia" w:ascii="仿宋" w:eastAsia="仿宋"/>
          <w:sz w:val="28"/>
          <w:szCs w:val="28"/>
        </w:rPr>
        <w:t>支</w:t>
      </w:r>
      <w:r>
        <w:rPr>
          <w:rFonts w:hint="eastAsia" w:ascii="仿宋" w:eastAsia="仿宋" w:cs="Times New Roman"/>
          <w:bCs/>
          <w:sz w:val="28"/>
          <w:szCs w:val="28"/>
        </w:rPr>
        <w:t>出决算情况说明</w:t>
      </w:r>
      <w:r>
        <w:rPr>
          <w:rFonts w:ascii="仿宋" w:eastAsia="仿宋"/>
          <w:sz w:val="28"/>
          <w:szCs w:val="28"/>
        </w:rPr>
        <w:tab/>
      </w:r>
      <w:r>
        <w:rPr>
          <w:rFonts w:hint="eastAsia" w:ascii="仿宋" w:eastAsia="仿宋"/>
          <w:sz w:val="28"/>
          <w:szCs w:val="28"/>
        </w:rPr>
        <w:t>1</w:t>
      </w:r>
      <w:r>
        <w:rPr>
          <w:rFonts w:hint="eastAsia" w:ascii="仿宋" w:eastAsia="仿宋"/>
          <w:sz w:val="28"/>
          <w:szCs w:val="28"/>
        </w:rPr>
        <w:fldChar w:fldCharType="end"/>
      </w:r>
      <w:r>
        <w:rPr>
          <w:rFonts w:hint="eastAsia" w:ascii="仿宋" w:eastAsia="仿宋"/>
          <w:sz w:val="28"/>
          <w:szCs w:val="28"/>
        </w:rPr>
        <w:t>2</w:t>
      </w:r>
    </w:p>
    <w:p>
      <w:pPr>
        <w:pStyle w:val="11"/>
        <w:rPr>
          <w:rFonts w:ascii="仿宋" w:eastAsia="仿宋" w:cs="Arial"/>
          <w:sz w:val="28"/>
          <w:szCs w:val="28"/>
        </w:rPr>
      </w:pPr>
      <w:r>
        <w:fldChar w:fldCharType="begin"/>
      </w:r>
      <w:r>
        <w:instrText xml:space="preserve"> HYPERLINK \l "_Toc15396606" </w:instrText>
      </w:r>
      <w:r>
        <w:fldChar w:fldCharType="separate"/>
      </w:r>
      <w:r>
        <w:rPr>
          <w:rFonts w:hint="eastAsia" w:ascii="仿宋" w:eastAsia="仿宋"/>
          <w:sz w:val="28"/>
          <w:szCs w:val="28"/>
        </w:rPr>
        <w:t>四、财</w:t>
      </w:r>
      <w:r>
        <w:rPr>
          <w:rFonts w:hint="eastAsia" w:ascii="仿宋" w:eastAsia="仿宋" w:cs="Times New Roman"/>
          <w:bCs/>
          <w:sz w:val="28"/>
          <w:szCs w:val="28"/>
        </w:rPr>
        <w:t>政拨款收入支出决算总体情况说明</w:t>
      </w:r>
      <w:r>
        <w:rPr>
          <w:rFonts w:ascii="仿宋" w:eastAsia="仿宋"/>
          <w:sz w:val="28"/>
          <w:szCs w:val="28"/>
        </w:rPr>
        <w:tab/>
      </w:r>
      <w:r>
        <w:rPr>
          <w:rFonts w:hint="eastAsia" w:ascii="仿宋" w:eastAsia="仿宋"/>
          <w:sz w:val="28"/>
          <w:szCs w:val="28"/>
        </w:rPr>
        <w:t>1</w:t>
      </w:r>
      <w:r>
        <w:rPr>
          <w:rFonts w:hint="eastAsia" w:ascii="仿宋" w:eastAsia="仿宋"/>
          <w:sz w:val="28"/>
          <w:szCs w:val="28"/>
        </w:rPr>
        <w:fldChar w:fldCharType="end"/>
      </w:r>
      <w:r>
        <w:rPr>
          <w:rFonts w:hint="eastAsia" w:ascii="仿宋" w:eastAsia="仿宋"/>
          <w:sz w:val="28"/>
          <w:szCs w:val="28"/>
        </w:rPr>
        <w:t>2</w:t>
      </w:r>
    </w:p>
    <w:p>
      <w:pPr>
        <w:pStyle w:val="11"/>
        <w:rPr>
          <w:rFonts w:ascii="仿宋" w:eastAsia="仿宋" w:cs="Arial"/>
          <w:sz w:val="28"/>
          <w:szCs w:val="28"/>
        </w:rPr>
      </w:pPr>
      <w:r>
        <w:fldChar w:fldCharType="begin"/>
      </w:r>
      <w:r>
        <w:instrText xml:space="preserve"> HYPERLINK \l "_Toc15396607" </w:instrText>
      </w:r>
      <w:r>
        <w:fldChar w:fldCharType="separate"/>
      </w:r>
      <w:r>
        <w:rPr>
          <w:rFonts w:hint="eastAsia" w:ascii="仿宋" w:eastAsia="仿宋"/>
          <w:sz w:val="28"/>
          <w:szCs w:val="28"/>
        </w:rPr>
        <w:t>五、一</w:t>
      </w:r>
      <w:r>
        <w:rPr>
          <w:rFonts w:hint="eastAsia" w:ascii="仿宋" w:eastAsia="仿宋" w:cs="Times New Roman"/>
          <w:bCs/>
          <w:sz w:val="28"/>
          <w:szCs w:val="28"/>
        </w:rPr>
        <w:t>般公共预算财政拨款支出决算情况说明</w:t>
      </w:r>
      <w:r>
        <w:rPr>
          <w:rFonts w:ascii="仿宋" w:eastAsia="仿宋"/>
          <w:sz w:val="28"/>
          <w:szCs w:val="28"/>
        </w:rPr>
        <w:tab/>
      </w:r>
      <w:r>
        <w:rPr>
          <w:rFonts w:hint="eastAsia" w:ascii="仿宋" w:eastAsia="仿宋"/>
          <w:sz w:val="28"/>
          <w:szCs w:val="28"/>
        </w:rPr>
        <w:t>1</w:t>
      </w:r>
      <w:r>
        <w:rPr>
          <w:rFonts w:hint="eastAsia" w:ascii="仿宋" w:eastAsia="仿宋"/>
          <w:sz w:val="28"/>
          <w:szCs w:val="28"/>
        </w:rPr>
        <w:fldChar w:fldCharType="end"/>
      </w:r>
      <w:r>
        <w:rPr>
          <w:rFonts w:hint="eastAsia" w:ascii="仿宋" w:eastAsia="仿宋"/>
          <w:sz w:val="28"/>
          <w:szCs w:val="28"/>
        </w:rPr>
        <w:t>3</w:t>
      </w:r>
    </w:p>
    <w:p>
      <w:pPr>
        <w:pStyle w:val="11"/>
        <w:rPr>
          <w:rFonts w:ascii="仿宋" w:eastAsia="仿宋" w:cs="Arial"/>
          <w:sz w:val="28"/>
          <w:szCs w:val="28"/>
        </w:rPr>
      </w:pPr>
      <w:r>
        <w:fldChar w:fldCharType="begin"/>
      </w:r>
      <w:r>
        <w:instrText xml:space="preserve"> HYPERLINK \l "_Toc15396608" </w:instrText>
      </w:r>
      <w:r>
        <w:fldChar w:fldCharType="separate"/>
      </w:r>
      <w:r>
        <w:rPr>
          <w:rFonts w:hint="eastAsia" w:ascii="仿宋" w:eastAsia="仿宋"/>
          <w:sz w:val="28"/>
          <w:szCs w:val="28"/>
        </w:rPr>
        <w:t>六、一</w:t>
      </w:r>
      <w:r>
        <w:rPr>
          <w:rFonts w:hint="eastAsia" w:ascii="仿宋" w:eastAsia="仿宋" w:cs="Times New Roman"/>
          <w:bCs/>
          <w:sz w:val="28"/>
          <w:szCs w:val="28"/>
        </w:rPr>
        <w:t>般公共预算财政拨款基本支出决算情况说明</w:t>
      </w:r>
      <w:r>
        <w:rPr>
          <w:rFonts w:ascii="仿宋" w:eastAsia="仿宋"/>
          <w:sz w:val="28"/>
          <w:szCs w:val="28"/>
        </w:rPr>
        <w:tab/>
      </w:r>
      <w:r>
        <w:rPr>
          <w:rFonts w:hint="eastAsia" w:ascii="仿宋" w:eastAsia="仿宋"/>
          <w:sz w:val="28"/>
          <w:szCs w:val="28"/>
        </w:rPr>
        <w:t>1</w:t>
      </w:r>
      <w:r>
        <w:rPr>
          <w:rFonts w:hint="eastAsia" w:ascii="仿宋" w:eastAsia="仿宋"/>
          <w:sz w:val="28"/>
          <w:szCs w:val="28"/>
        </w:rPr>
        <w:fldChar w:fldCharType="end"/>
      </w:r>
      <w:r>
        <w:rPr>
          <w:rFonts w:hint="eastAsia" w:ascii="仿宋" w:eastAsia="仿宋"/>
          <w:sz w:val="28"/>
          <w:szCs w:val="28"/>
        </w:rPr>
        <w:t>7</w:t>
      </w:r>
    </w:p>
    <w:p>
      <w:pPr>
        <w:pStyle w:val="11"/>
        <w:rPr>
          <w:rFonts w:ascii="仿宋" w:eastAsia="仿宋" w:cs="Arial"/>
          <w:sz w:val="28"/>
          <w:szCs w:val="28"/>
        </w:rPr>
      </w:pPr>
      <w:r>
        <w:fldChar w:fldCharType="begin"/>
      </w:r>
      <w:r>
        <w:instrText xml:space="preserve"> HYPERLINK \l "_Toc15396609" </w:instrText>
      </w:r>
      <w:r>
        <w:fldChar w:fldCharType="separate"/>
      </w:r>
      <w:r>
        <w:rPr>
          <w:rFonts w:hint="eastAsia" w:ascii="仿宋" w:eastAsia="仿宋"/>
          <w:sz w:val="28"/>
          <w:szCs w:val="28"/>
        </w:rPr>
        <w:t>七、</w:t>
      </w:r>
      <w:r>
        <w:rPr>
          <w:rFonts w:ascii="仿宋" w:eastAsia="仿宋"/>
          <w:sz w:val="28"/>
          <w:szCs w:val="28"/>
        </w:rPr>
        <w:t>“</w:t>
      </w:r>
      <w:r>
        <w:rPr>
          <w:rFonts w:hint="eastAsia" w:ascii="仿宋" w:eastAsia="仿宋" w:cs="Times New Roman"/>
          <w:bCs/>
          <w:sz w:val="28"/>
          <w:szCs w:val="28"/>
        </w:rPr>
        <w:t>三公”经费财政拨款支出决算情况说明</w:t>
      </w:r>
      <w:r>
        <w:rPr>
          <w:rFonts w:ascii="仿宋" w:eastAsia="仿宋"/>
          <w:sz w:val="28"/>
          <w:szCs w:val="28"/>
        </w:rPr>
        <w:tab/>
      </w:r>
      <w:r>
        <w:rPr>
          <w:rFonts w:hint="eastAsia" w:ascii="仿宋" w:eastAsia="仿宋"/>
          <w:sz w:val="28"/>
          <w:szCs w:val="28"/>
        </w:rPr>
        <w:t>1</w:t>
      </w:r>
      <w:r>
        <w:rPr>
          <w:rFonts w:hint="eastAsia" w:ascii="仿宋" w:eastAsia="仿宋"/>
          <w:sz w:val="28"/>
          <w:szCs w:val="28"/>
        </w:rPr>
        <w:fldChar w:fldCharType="end"/>
      </w:r>
      <w:r>
        <w:rPr>
          <w:rFonts w:hint="eastAsia" w:ascii="仿宋" w:eastAsia="仿宋"/>
          <w:sz w:val="28"/>
          <w:szCs w:val="28"/>
        </w:rPr>
        <w:t>7</w:t>
      </w:r>
    </w:p>
    <w:p>
      <w:pPr>
        <w:pStyle w:val="11"/>
        <w:rPr>
          <w:rFonts w:ascii="仿宋" w:eastAsia="仿宋" w:cs="Arial"/>
          <w:sz w:val="28"/>
          <w:szCs w:val="28"/>
        </w:rPr>
      </w:pPr>
      <w:r>
        <w:fldChar w:fldCharType="begin"/>
      </w:r>
      <w:r>
        <w:instrText xml:space="preserve"> HYPERLINK \l "_Toc15396610" </w:instrText>
      </w:r>
      <w:r>
        <w:fldChar w:fldCharType="separate"/>
      </w:r>
      <w:r>
        <w:rPr>
          <w:rFonts w:hint="eastAsia" w:ascii="仿宋" w:eastAsia="仿宋"/>
          <w:sz w:val="28"/>
          <w:szCs w:val="28"/>
        </w:rPr>
        <w:t>八、</w:t>
      </w:r>
      <w:r>
        <w:rPr>
          <w:rFonts w:hint="eastAsia" w:ascii="仿宋" w:eastAsia="仿宋" w:cs="Times New Roman"/>
          <w:bCs/>
          <w:sz w:val="28"/>
          <w:szCs w:val="28"/>
        </w:rPr>
        <w:t>政府性基金预算支出决算情况说明</w:t>
      </w:r>
      <w:r>
        <w:rPr>
          <w:rFonts w:ascii="仿宋" w:eastAsia="仿宋"/>
          <w:sz w:val="28"/>
          <w:szCs w:val="28"/>
        </w:rPr>
        <w:tab/>
      </w:r>
      <w:r>
        <w:rPr>
          <w:rFonts w:hint="eastAsia" w:ascii="仿宋" w:eastAsia="仿宋"/>
          <w:sz w:val="28"/>
          <w:szCs w:val="28"/>
        </w:rPr>
        <w:t>1</w:t>
      </w:r>
      <w:r>
        <w:rPr>
          <w:rFonts w:hint="eastAsia" w:ascii="仿宋" w:eastAsia="仿宋"/>
          <w:sz w:val="28"/>
          <w:szCs w:val="28"/>
        </w:rPr>
        <w:fldChar w:fldCharType="end"/>
      </w:r>
      <w:r>
        <w:rPr>
          <w:rFonts w:hint="eastAsia" w:ascii="仿宋" w:eastAsia="仿宋"/>
          <w:sz w:val="28"/>
          <w:szCs w:val="28"/>
        </w:rPr>
        <w:t>9</w:t>
      </w:r>
    </w:p>
    <w:p>
      <w:pPr>
        <w:pStyle w:val="11"/>
        <w:rPr>
          <w:rFonts w:ascii="仿宋" w:eastAsia="仿宋"/>
          <w:sz w:val="28"/>
          <w:szCs w:val="28"/>
        </w:rPr>
      </w:pPr>
      <w:r>
        <w:fldChar w:fldCharType="begin"/>
      </w:r>
      <w:r>
        <w:instrText xml:space="preserve"> HYPERLINK \l "_Toc15396611" </w:instrText>
      </w:r>
      <w:r>
        <w:fldChar w:fldCharType="separate"/>
      </w:r>
      <w:r>
        <w:rPr>
          <w:rFonts w:hint="eastAsia" w:ascii="仿宋" w:eastAsia="仿宋" w:cs="Times New Roman"/>
          <w:bCs/>
          <w:sz w:val="28"/>
          <w:szCs w:val="28"/>
        </w:rPr>
        <w:t>九、</w:t>
      </w:r>
      <w:r>
        <w:rPr>
          <w:rFonts w:hint="eastAsia" w:ascii="仿宋" w:eastAsia="仿宋"/>
          <w:sz w:val="28"/>
          <w:szCs w:val="28"/>
        </w:rPr>
        <w:t xml:space="preserve"> 国</w:t>
      </w:r>
      <w:r>
        <w:rPr>
          <w:rFonts w:hint="eastAsia" w:ascii="仿宋" w:eastAsia="仿宋" w:cs="Times New Roman"/>
          <w:bCs/>
          <w:sz w:val="28"/>
          <w:szCs w:val="28"/>
        </w:rPr>
        <w:t>有资本经营预算支出决算情况说明</w:t>
      </w:r>
      <w:r>
        <w:rPr>
          <w:rFonts w:ascii="仿宋" w:eastAsia="仿宋"/>
          <w:sz w:val="28"/>
          <w:szCs w:val="28"/>
        </w:rPr>
        <w:tab/>
      </w:r>
      <w:r>
        <w:rPr>
          <w:rFonts w:hint="eastAsia" w:ascii="仿宋" w:eastAsia="仿宋"/>
          <w:sz w:val="28"/>
          <w:szCs w:val="28"/>
        </w:rPr>
        <w:t>1</w:t>
      </w:r>
      <w:r>
        <w:rPr>
          <w:rFonts w:hint="eastAsia" w:ascii="仿宋" w:eastAsia="仿宋"/>
          <w:sz w:val="28"/>
          <w:szCs w:val="28"/>
        </w:rPr>
        <w:fldChar w:fldCharType="end"/>
      </w:r>
      <w:r>
        <w:rPr>
          <w:rFonts w:hint="eastAsia" w:ascii="仿宋" w:eastAsia="仿宋"/>
          <w:sz w:val="28"/>
          <w:szCs w:val="28"/>
        </w:rPr>
        <w:t>9</w:t>
      </w:r>
    </w:p>
    <w:p>
      <w:pPr>
        <w:pStyle w:val="22"/>
        <w:spacing w:line="580" w:lineRule="exact"/>
        <w:ind w:firstLine="0" w:firstLineChars="0"/>
        <w:rPr>
          <w:rStyle w:val="17"/>
          <w:rFonts w:ascii="黑体" w:hAnsi="黑体" w:eastAsia="仿宋"/>
          <w:b w:val="0"/>
        </w:rPr>
      </w:pPr>
      <w:r>
        <w:rPr>
          <w:rFonts w:hint="eastAsia" w:ascii="仿宋" w:eastAsia="仿宋"/>
          <w:sz w:val="28"/>
          <w:szCs w:val="28"/>
        </w:rPr>
        <w:t>　　十、</w:t>
      </w:r>
      <w:r>
        <w:rPr>
          <w:rStyle w:val="17"/>
          <w:rFonts w:hint="eastAsia" w:ascii="仿宋_GB2312" w:eastAsia="仿宋_GB2312" w:cs="仿宋_GB2312"/>
          <w:b w:val="0"/>
        </w:rPr>
        <w:t>预算绩效情况说明……………………………。</w:t>
      </w:r>
      <w:r>
        <w:rPr>
          <w:rFonts w:ascii="仿宋" w:eastAsia="仿宋"/>
          <w:sz w:val="28"/>
          <w:szCs w:val="28"/>
        </w:rPr>
        <w:tab/>
      </w:r>
      <w:r>
        <w:rPr>
          <w:rFonts w:hint="eastAsia" w:ascii="仿宋" w:eastAsia="仿宋"/>
          <w:sz w:val="28"/>
          <w:szCs w:val="28"/>
        </w:rPr>
        <w:t>　19</w:t>
      </w:r>
    </w:p>
    <w:p/>
    <w:p>
      <w:pPr>
        <w:pStyle w:val="11"/>
        <w:rPr>
          <w:rFonts w:ascii="仿宋" w:eastAsia="仿宋" w:cs="Arial"/>
          <w:sz w:val="28"/>
          <w:szCs w:val="28"/>
        </w:rPr>
      </w:pPr>
      <w:r>
        <w:fldChar w:fldCharType="begin"/>
      </w:r>
      <w:r>
        <w:instrText xml:space="preserve"> HYPERLINK \l "_Toc15396612" </w:instrText>
      </w:r>
      <w:r>
        <w:fldChar w:fldCharType="separate"/>
      </w:r>
      <w:r>
        <w:rPr>
          <w:rFonts w:hint="eastAsia" w:ascii="仿宋" w:eastAsia="仿宋"/>
          <w:sz w:val="28"/>
          <w:szCs w:val="28"/>
        </w:rPr>
        <w:t>十</w:t>
      </w:r>
      <w:r>
        <w:rPr>
          <w:rFonts w:hint="eastAsia" w:ascii="仿宋" w:eastAsia="仿宋" w:cs="Times New Roman"/>
          <w:bCs/>
          <w:sz w:val="28"/>
          <w:szCs w:val="28"/>
        </w:rPr>
        <w:t>一、其他重要事项的情况说明</w:t>
      </w:r>
      <w:r>
        <w:rPr>
          <w:rFonts w:ascii="仿宋" w:eastAsia="仿宋"/>
          <w:sz w:val="28"/>
          <w:szCs w:val="28"/>
        </w:rPr>
        <w:tab/>
      </w:r>
      <w:r>
        <w:rPr>
          <w:rFonts w:hint="eastAsia" w:ascii="仿宋" w:eastAsia="仿宋"/>
          <w:sz w:val="28"/>
          <w:szCs w:val="28"/>
        </w:rPr>
        <w:t>2</w:t>
      </w:r>
      <w:r>
        <w:rPr>
          <w:rFonts w:hint="eastAsia" w:ascii="仿宋" w:eastAsia="仿宋"/>
          <w:sz w:val="28"/>
          <w:szCs w:val="28"/>
        </w:rPr>
        <w:fldChar w:fldCharType="end"/>
      </w:r>
      <w:r>
        <w:rPr>
          <w:rFonts w:hint="eastAsia" w:ascii="仿宋" w:eastAsia="仿宋"/>
          <w:sz w:val="28"/>
          <w:szCs w:val="28"/>
        </w:rPr>
        <w:t>9</w:t>
      </w:r>
    </w:p>
    <w:p>
      <w:pPr>
        <w:pStyle w:val="10"/>
        <w:rPr>
          <w:rFonts w:cs="Arial"/>
        </w:rPr>
      </w:pPr>
      <w:r>
        <w:fldChar w:fldCharType="begin"/>
      </w:r>
      <w:r>
        <w:instrText xml:space="preserve"> HYPERLINK \l "_Toc15396613" </w:instrText>
      </w:r>
      <w:r>
        <w:fldChar w:fldCharType="separate"/>
      </w:r>
      <w:r>
        <w:rPr>
          <w:rFonts w:hint="eastAsia"/>
          <w:bCs/>
          <w:kern w:val="44"/>
        </w:rPr>
        <w:t>第三部分</w:t>
      </w:r>
      <w:r>
        <w:rPr>
          <w:rFonts w:hint="eastAsia"/>
        </w:rPr>
        <w:t xml:space="preserve"> 名</w:t>
      </w:r>
      <w:r>
        <w:rPr>
          <w:rFonts w:hint="eastAsia"/>
          <w:bCs/>
          <w:kern w:val="44"/>
        </w:rPr>
        <w:t>词解释</w:t>
      </w:r>
      <w:r>
        <w:tab/>
      </w:r>
      <w:r>
        <w:fldChar w:fldCharType="end"/>
      </w:r>
      <w:r>
        <w:rPr>
          <w:rFonts w:hint="eastAsia"/>
        </w:rPr>
        <w:t>31</w:t>
      </w:r>
    </w:p>
    <w:p>
      <w:pPr>
        <w:pStyle w:val="10"/>
        <w:rPr>
          <w:rFonts w:cs="Arial"/>
        </w:rPr>
      </w:pPr>
      <w:r>
        <w:fldChar w:fldCharType="begin"/>
      </w:r>
      <w:r>
        <w:instrText xml:space="preserve"> HYPERLINK \l "_Toc15396614" </w:instrText>
      </w:r>
      <w:r>
        <w:fldChar w:fldCharType="separate"/>
      </w:r>
      <w:r>
        <w:rPr>
          <w:rFonts w:hint="eastAsia"/>
        </w:rPr>
        <w:t>第</w:t>
      </w:r>
      <w:r>
        <w:rPr>
          <w:rFonts w:hint="eastAsia"/>
          <w:bCs/>
          <w:kern w:val="44"/>
        </w:rPr>
        <w:t>四部分附件</w:t>
      </w:r>
      <w:r>
        <w:tab/>
      </w:r>
      <w:r>
        <w:fldChar w:fldCharType="end"/>
      </w:r>
      <w:r>
        <w:rPr>
          <w:rFonts w:hint="eastAsia"/>
        </w:rPr>
        <w:t>36</w:t>
      </w:r>
    </w:p>
    <w:p>
      <w:pPr>
        <w:pStyle w:val="11"/>
        <w:rPr>
          <w:rFonts w:ascii="仿宋" w:eastAsia="仿宋" w:cs="Arial"/>
          <w:sz w:val="28"/>
          <w:szCs w:val="28"/>
        </w:rPr>
      </w:pPr>
      <w:r>
        <w:fldChar w:fldCharType="begin"/>
      </w:r>
      <w:r>
        <w:instrText xml:space="preserve"> HYPERLINK \l "_Toc15396615" </w:instrText>
      </w:r>
      <w:r>
        <w:fldChar w:fldCharType="separate"/>
      </w:r>
      <w:r>
        <w:rPr>
          <w:rFonts w:hint="eastAsia" w:ascii="仿宋" w:eastAsia="仿宋"/>
          <w:kern w:val="44"/>
          <w:sz w:val="28"/>
          <w:szCs w:val="28"/>
        </w:rPr>
        <w:t>附件</w:t>
      </w:r>
      <w:r>
        <w:rPr>
          <w:rFonts w:ascii="仿宋" w:eastAsia="仿宋"/>
          <w:kern w:val="44"/>
          <w:sz w:val="28"/>
          <w:szCs w:val="28"/>
        </w:rPr>
        <w:t>1</w:t>
      </w:r>
      <w:r>
        <w:rPr>
          <w:rFonts w:ascii="仿宋" w:eastAsia="仿宋"/>
          <w:sz w:val="28"/>
          <w:szCs w:val="28"/>
        </w:rPr>
        <w:tab/>
      </w:r>
      <w:r>
        <w:rPr>
          <w:rFonts w:ascii="仿宋" w:eastAsia="仿宋"/>
          <w:sz w:val="28"/>
          <w:szCs w:val="28"/>
        </w:rPr>
        <w:fldChar w:fldCharType="end"/>
      </w:r>
      <w:r>
        <w:rPr>
          <w:rFonts w:hint="eastAsia" w:ascii="仿宋" w:eastAsia="仿宋"/>
          <w:sz w:val="28"/>
          <w:szCs w:val="28"/>
        </w:rPr>
        <w:t>36</w:t>
      </w:r>
    </w:p>
    <w:p>
      <w:pPr>
        <w:pStyle w:val="11"/>
        <w:rPr>
          <w:rFonts w:ascii="仿宋" w:eastAsia="仿宋" w:cs="Arial"/>
          <w:sz w:val="28"/>
          <w:szCs w:val="28"/>
        </w:rPr>
      </w:pPr>
      <w:r>
        <w:fldChar w:fldCharType="begin"/>
      </w:r>
      <w:r>
        <w:instrText xml:space="preserve"> HYPERLINK \l "_Toc15396617" </w:instrText>
      </w:r>
      <w:r>
        <w:fldChar w:fldCharType="separate"/>
      </w:r>
      <w:r>
        <w:rPr>
          <w:rFonts w:hint="eastAsia" w:ascii="仿宋" w:eastAsia="仿宋"/>
          <w:kern w:val="44"/>
          <w:sz w:val="28"/>
          <w:szCs w:val="28"/>
        </w:rPr>
        <w:t>附件</w:t>
      </w:r>
      <w:r>
        <w:rPr>
          <w:rFonts w:ascii="仿宋" w:eastAsia="仿宋"/>
          <w:kern w:val="44"/>
          <w:sz w:val="28"/>
          <w:szCs w:val="28"/>
        </w:rPr>
        <w:t>2</w:t>
      </w:r>
      <w:r>
        <w:rPr>
          <w:rFonts w:ascii="仿宋" w:eastAsia="仿宋"/>
          <w:sz w:val="28"/>
          <w:szCs w:val="28"/>
        </w:rPr>
        <w:tab/>
      </w:r>
      <w:r>
        <w:rPr>
          <w:rFonts w:ascii="仿宋" w:eastAsia="仿宋"/>
          <w:sz w:val="28"/>
          <w:szCs w:val="28"/>
        </w:rPr>
        <w:fldChar w:fldCharType="end"/>
      </w:r>
      <w:r>
        <w:rPr>
          <w:rFonts w:hint="eastAsia" w:ascii="仿宋" w:eastAsia="仿宋"/>
          <w:sz w:val="28"/>
          <w:szCs w:val="28"/>
        </w:rPr>
        <w:t>40</w:t>
      </w:r>
    </w:p>
    <w:p>
      <w:pPr>
        <w:pStyle w:val="10"/>
        <w:rPr>
          <w:rFonts w:cs="Arial"/>
        </w:rPr>
      </w:pPr>
      <w:r>
        <w:fldChar w:fldCharType="begin"/>
      </w:r>
      <w:r>
        <w:instrText xml:space="preserve"> HYPERLINK \l "_Toc15396618" </w:instrText>
      </w:r>
      <w:r>
        <w:fldChar w:fldCharType="separate"/>
      </w:r>
      <w:r>
        <w:rPr>
          <w:rFonts w:hint="eastAsia"/>
        </w:rPr>
        <w:t>第</w:t>
      </w:r>
      <w:r>
        <w:rPr>
          <w:rFonts w:hint="eastAsia"/>
          <w:bCs/>
          <w:kern w:val="44"/>
        </w:rPr>
        <w:t>五部分附表</w:t>
      </w:r>
      <w:r>
        <w:tab/>
      </w:r>
      <w:r>
        <w:rPr>
          <w:rFonts w:hint="eastAsia"/>
        </w:rPr>
        <w:t>4</w:t>
      </w:r>
      <w:r>
        <w:rPr>
          <w:rFonts w:hint="eastAsia"/>
        </w:rPr>
        <w:fldChar w:fldCharType="end"/>
      </w:r>
      <w:r>
        <w:rPr>
          <w:rFonts w:hint="eastAsia"/>
        </w:rPr>
        <w:t>3</w:t>
      </w:r>
    </w:p>
    <w:p>
      <w:pPr>
        <w:pStyle w:val="11"/>
        <w:rPr>
          <w:rFonts w:ascii="仿宋" w:eastAsia="仿宋" w:cs="Arial"/>
          <w:sz w:val="28"/>
          <w:szCs w:val="28"/>
        </w:rPr>
      </w:pPr>
      <w:r>
        <w:rPr>
          <w:rFonts w:hint="eastAsia" w:ascii="仿宋" w:eastAsia="仿宋"/>
          <w:sz w:val="28"/>
          <w:szCs w:val="28"/>
        </w:rPr>
        <w:t>一、</w:t>
      </w:r>
      <w:r>
        <w:fldChar w:fldCharType="begin"/>
      </w:r>
      <w:r>
        <w:instrText xml:space="preserve"> HYPERLINK \l "_Toc15396619" </w:instrText>
      </w:r>
      <w:r>
        <w:fldChar w:fldCharType="separate"/>
      </w:r>
      <w:r>
        <w:rPr>
          <w:rFonts w:hint="eastAsia" w:ascii="仿宋" w:eastAsia="仿宋"/>
          <w:sz w:val="28"/>
          <w:szCs w:val="28"/>
        </w:rPr>
        <w:t>收入支出决算总表</w:t>
      </w:r>
      <w:r>
        <w:rPr>
          <w:rFonts w:ascii="仿宋" w:eastAsia="仿宋"/>
          <w:sz w:val="28"/>
          <w:szCs w:val="28"/>
        </w:rPr>
        <w:tab/>
      </w:r>
      <w:r>
        <w:rPr>
          <w:rFonts w:ascii="仿宋" w:eastAsia="仿宋"/>
          <w:sz w:val="28"/>
          <w:szCs w:val="28"/>
        </w:rPr>
        <w:fldChar w:fldCharType="end"/>
      </w:r>
      <w:r>
        <w:rPr>
          <w:rFonts w:hint="eastAsia" w:ascii="仿宋" w:eastAsia="仿宋"/>
          <w:sz w:val="28"/>
          <w:szCs w:val="28"/>
        </w:rPr>
        <w:t>43</w:t>
      </w:r>
    </w:p>
    <w:p>
      <w:pPr>
        <w:pStyle w:val="11"/>
        <w:rPr>
          <w:rFonts w:ascii="仿宋" w:eastAsia="仿宋" w:cs="Arial"/>
          <w:sz w:val="28"/>
          <w:szCs w:val="28"/>
        </w:rPr>
      </w:pPr>
      <w:r>
        <w:rPr>
          <w:rFonts w:hint="eastAsia" w:ascii="仿宋" w:eastAsia="仿宋"/>
          <w:sz w:val="28"/>
          <w:szCs w:val="28"/>
        </w:rPr>
        <w:t>二、</w:t>
      </w:r>
      <w:r>
        <w:fldChar w:fldCharType="begin"/>
      </w:r>
      <w:r>
        <w:instrText xml:space="preserve"> HYPERLINK \l "_Toc15396620" </w:instrText>
      </w:r>
      <w:r>
        <w:fldChar w:fldCharType="separate"/>
      </w:r>
      <w:r>
        <w:rPr>
          <w:rFonts w:hint="eastAsia" w:ascii="仿宋" w:eastAsia="仿宋"/>
          <w:sz w:val="28"/>
          <w:szCs w:val="28"/>
        </w:rPr>
        <w:t>收入总表</w:t>
      </w:r>
      <w:r>
        <w:rPr>
          <w:rFonts w:ascii="仿宋" w:eastAsia="仿宋"/>
          <w:sz w:val="28"/>
          <w:szCs w:val="28"/>
        </w:rPr>
        <w:tab/>
      </w:r>
      <w:r>
        <w:rPr>
          <w:rFonts w:ascii="仿宋" w:eastAsia="仿宋"/>
          <w:sz w:val="28"/>
          <w:szCs w:val="28"/>
        </w:rPr>
        <w:fldChar w:fldCharType="end"/>
      </w:r>
      <w:r>
        <w:rPr>
          <w:rFonts w:hint="eastAsia" w:ascii="仿宋" w:eastAsia="仿宋"/>
          <w:sz w:val="28"/>
          <w:szCs w:val="28"/>
        </w:rPr>
        <w:t>43</w:t>
      </w:r>
    </w:p>
    <w:p>
      <w:pPr>
        <w:pStyle w:val="11"/>
        <w:rPr>
          <w:rFonts w:ascii="仿宋" w:eastAsia="仿宋" w:cs="Arial"/>
          <w:sz w:val="28"/>
          <w:szCs w:val="28"/>
        </w:rPr>
      </w:pPr>
      <w:r>
        <w:rPr>
          <w:rFonts w:hint="eastAsia" w:ascii="仿宋" w:eastAsia="仿宋"/>
          <w:sz w:val="28"/>
          <w:szCs w:val="28"/>
        </w:rPr>
        <w:t>三、</w:t>
      </w:r>
      <w:r>
        <w:fldChar w:fldCharType="begin"/>
      </w:r>
      <w:r>
        <w:instrText xml:space="preserve"> HYPERLINK \l "_Toc15396621" </w:instrText>
      </w:r>
      <w:r>
        <w:fldChar w:fldCharType="separate"/>
      </w:r>
      <w:r>
        <w:rPr>
          <w:rFonts w:hint="eastAsia" w:ascii="仿宋" w:eastAsia="仿宋"/>
          <w:sz w:val="28"/>
          <w:szCs w:val="28"/>
        </w:rPr>
        <w:t>支出总表</w:t>
      </w:r>
      <w:r>
        <w:rPr>
          <w:rFonts w:ascii="仿宋" w:eastAsia="仿宋"/>
          <w:sz w:val="28"/>
          <w:szCs w:val="28"/>
        </w:rPr>
        <w:tab/>
      </w:r>
      <w:r>
        <w:rPr>
          <w:rFonts w:ascii="仿宋" w:eastAsia="仿宋"/>
          <w:sz w:val="28"/>
          <w:szCs w:val="28"/>
        </w:rPr>
        <w:fldChar w:fldCharType="end"/>
      </w:r>
      <w:r>
        <w:rPr>
          <w:rFonts w:hint="eastAsia" w:ascii="仿宋" w:eastAsia="仿宋"/>
          <w:sz w:val="28"/>
          <w:szCs w:val="28"/>
        </w:rPr>
        <w:t>43</w:t>
      </w:r>
    </w:p>
    <w:p>
      <w:pPr>
        <w:pStyle w:val="11"/>
        <w:rPr>
          <w:rFonts w:ascii="仿宋" w:eastAsia="仿宋" w:cs="Arial"/>
          <w:sz w:val="28"/>
          <w:szCs w:val="28"/>
        </w:rPr>
      </w:pPr>
      <w:r>
        <w:rPr>
          <w:rFonts w:hint="eastAsia" w:ascii="仿宋" w:eastAsia="仿宋"/>
          <w:sz w:val="28"/>
          <w:szCs w:val="28"/>
        </w:rPr>
        <w:t>四、</w:t>
      </w:r>
      <w:r>
        <w:fldChar w:fldCharType="begin"/>
      </w:r>
      <w:r>
        <w:instrText xml:space="preserve"> HYPERLINK \l "_Toc15396622" </w:instrText>
      </w:r>
      <w:r>
        <w:fldChar w:fldCharType="separate"/>
      </w:r>
      <w:r>
        <w:rPr>
          <w:rFonts w:hint="eastAsia" w:ascii="仿宋" w:eastAsia="仿宋"/>
          <w:sz w:val="28"/>
          <w:szCs w:val="28"/>
        </w:rPr>
        <w:t>财政拨款收入支出决算总表</w:t>
      </w:r>
      <w:r>
        <w:rPr>
          <w:rFonts w:ascii="仿宋" w:eastAsia="仿宋"/>
          <w:sz w:val="28"/>
          <w:szCs w:val="28"/>
        </w:rPr>
        <w:tab/>
      </w:r>
      <w:r>
        <w:rPr>
          <w:rFonts w:ascii="仿宋" w:eastAsia="仿宋"/>
          <w:sz w:val="28"/>
          <w:szCs w:val="28"/>
        </w:rPr>
        <w:fldChar w:fldCharType="end"/>
      </w:r>
      <w:r>
        <w:rPr>
          <w:rFonts w:hint="eastAsia" w:ascii="仿宋" w:eastAsia="仿宋"/>
          <w:sz w:val="28"/>
          <w:szCs w:val="28"/>
        </w:rPr>
        <w:t>43</w:t>
      </w:r>
    </w:p>
    <w:p>
      <w:pPr>
        <w:pStyle w:val="11"/>
        <w:rPr>
          <w:rFonts w:ascii="仿宋" w:eastAsia="仿宋"/>
          <w:sz w:val="28"/>
          <w:szCs w:val="28"/>
        </w:rPr>
      </w:pPr>
      <w:r>
        <w:rPr>
          <w:rFonts w:hint="eastAsia" w:ascii="仿宋" w:eastAsia="仿宋"/>
          <w:sz w:val="28"/>
          <w:szCs w:val="28"/>
        </w:rPr>
        <w:t>五、</w:t>
      </w:r>
      <w:r>
        <w:fldChar w:fldCharType="begin"/>
      </w:r>
      <w:r>
        <w:instrText xml:space="preserve"> HYPERLINK \l "_Toc15396623" </w:instrText>
      </w:r>
      <w:r>
        <w:fldChar w:fldCharType="separate"/>
      </w:r>
      <w:r>
        <w:rPr>
          <w:rFonts w:hint="eastAsia" w:ascii="仿宋" w:eastAsia="仿宋"/>
          <w:sz w:val="28"/>
          <w:szCs w:val="28"/>
        </w:rPr>
        <w:t>财政拨款支出决算明细表（政府经济分类科目）</w:t>
      </w:r>
      <w:r>
        <w:rPr>
          <w:rFonts w:ascii="仿宋" w:eastAsia="仿宋"/>
          <w:sz w:val="28"/>
          <w:szCs w:val="28"/>
        </w:rPr>
        <w:tab/>
      </w:r>
      <w:r>
        <w:rPr>
          <w:rFonts w:ascii="仿宋" w:eastAsia="仿宋"/>
          <w:sz w:val="28"/>
          <w:szCs w:val="28"/>
        </w:rPr>
        <w:fldChar w:fldCharType="end"/>
      </w:r>
      <w:r>
        <w:rPr>
          <w:rFonts w:hint="eastAsia" w:ascii="仿宋" w:eastAsia="仿宋"/>
          <w:sz w:val="28"/>
          <w:szCs w:val="28"/>
        </w:rPr>
        <w:t>43</w:t>
      </w:r>
    </w:p>
    <w:p>
      <w:pPr>
        <w:pStyle w:val="11"/>
        <w:rPr>
          <w:rFonts w:ascii="仿宋" w:eastAsia="仿宋" w:cs="Arial"/>
          <w:sz w:val="28"/>
          <w:szCs w:val="28"/>
        </w:rPr>
      </w:pPr>
      <w:r>
        <w:rPr>
          <w:rFonts w:hint="eastAsia" w:ascii="仿宋" w:eastAsia="仿宋"/>
          <w:sz w:val="28"/>
          <w:szCs w:val="28"/>
        </w:rPr>
        <w:t>六、</w:t>
      </w:r>
      <w:r>
        <w:fldChar w:fldCharType="begin"/>
      </w:r>
      <w:r>
        <w:instrText xml:space="preserve"> HYPERLINK \l "_Toc15396624" </w:instrText>
      </w:r>
      <w:r>
        <w:fldChar w:fldCharType="separate"/>
      </w:r>
      <w:r>
        <w:rPr>
          <w:rFonts w:hint="eastAsia" w:ascii="仿宋" w:eastAsia="仿宋"/>
          <w:sz w:val="28"/>
          <w:szCs w:val="28"/>
        </w:rPr>
        <w:t>一般公共预算财政拨款支出决算表</w:t>
      </w:r>
      <w:r>
        <w:rPr>
          <w:rFonts w:ascii="仿宋" w:eastAsia="仿宋"/>
          <w:sz w:val="28"/>
          <w:szCs w:val="28"/>
        </w:rPr>
        <w:tab/>
      </w:r>
      <w:r>
        <w:rPr>
          <w:rFonts w:ascii="仿宋" w:eastAsia="仿宋"/>
          <w:sz w:val="28"/>
          <w:szCs w:val="28"/>
        </w:rPr>
        <w:fldChar w:fldCharType="end"/>
      </w:r>
      <w:r>
        <w:rPr>
          <w:rFonts w:hint="eastAsia" w:ascii="仿宋" w:eastAsia="仿宋"/>
          <w:sz w:val="28"/>
          <w:szCs w:val="28"/>
        </w:rPr>
        <w:t>43</w:t>
      </w:r>
    </w:p>
    <w:p>
      <w:pPr>
        <w:pStyle w:val="11"/>
        <w:rPr>
          <w:rFonts w:ascii="仿宋" w:eastAsia="仿宋" w:cs="Arial"/>
          <w:sz w:val="28"/>
          <w:szCs w:val="28"/>
        </w:rPr>
      </w:pPr>
      <w:r>
        <w:rPr>
          <w:rFonts w:hint="eastAsia" w:ascii="仿宋" w:eastAsia="仿宋"/>
          <w:sz w:val="28"/>
          <w:szCs w:val="28"/>
        </w:rPr>
        <w:t>七、</w:t>
      </w:r>
      <w:r>
        <w:fldChar w:fldCharType="begin"/>
      </w:r>
      <w:r>
        <w:instrText xml:space="preserve"> HYPERLINK \l "_Toc15396625" </w:instrText>
      </w:r>
      <w:r>
        <w:fldChar w:fldCharType="separate"/>
      </w:r>
      <w:r>
        <w:rPr>
          <w:rFonts w:hint="eastAsia" w:ascii="仿宋" w:eastAsia="仿宋"/>
          <w:sz w:val="28"/>
          <w:szCs w:val="28"/>
        </w:rPr>
        <w:t>一般公共预算财政拨款支出决算明细表</w:t>
      </w:r>
      <w:r>
        <w:rPr>
          <w:rFonts w:ascii="仿宋" w:eastAsia="仿宋"/>
          <w:sz w:val="28"/>
          <w:szCs w:val="28"/>
        </w:rPr>
        <w:tab/>
      </w:r>
      <w:r>
        <w:rPr>
          <w:rFonts w:ascii="仿宋" w:eastAsia="仿宋"/>
          <w:sz w:val="28"/>
          <w:szCs w:val="28"/>
        </w:rPr>
        <w:fldChar w:fldCharType="end"/>
      </w:r>
      <w:r>
        <w:rPr>
          <w:rFonts w:hint="eastAsia" w:ascii="仿宋" w:eastAsia="仿宋"/>
          <w:sz w:val="28"/>
          <w:szCs w:val="28"/>
        </w:rPr>
        <w:t>43</w:t>
      </w:r>
    </w:p>
    <w:p>
      <w:pPr>
        <w:pStyle w:val="11"/>
        <w:rPr>
          <w:rFonts w:ascii="仿宋" w:eastAsia="仿宋" w:cs="Arial"/>
          <w:sz w:val="28"/>
          <w:szCs w:val="28"/>
        </w:rPr>
      </w:pPr>
      <w:r>
        <w:rPr>
          <w:rFonts w:hint="eastAsia" w:ascii="仿宋" w:eastAsia="仿宋"/>
          <w:sz w:val="28"/>
          <w:szCs w:val="28"/>
        </w:rPr>
        <w:t>八、</w:t>
      </w:r>
      <w:r>
        <w:fldChar w:fldCharType="begin"/>
      </w:r>
      <w:r>
        <w:instrText xml:space="preserve"> HYPERLINK \l "_Toc15396626" </w:instrText>
      </w:r>
      <w:r>
        <w:fldChar w:fldCharType="separate"/>
      </w:r>
      <w:r>
        <w:rPr>
          <w:rFonts w:hint="eastAsia" w:ascii="仿宋" w:eastAsia="仿宋"/>
          <w:sz w:val="28"/>
          <w:szCs w:val="28"/>
        </w:rPr>
        <w:t>一般公共预算财政拨款基本支出决算表</w:t>
      </w:r>
      <w:r>
        <w:rPr>
          <w:rFonts w:ascii="仿宋" w:eastAsia="仿宋"/>
          <w:sz w:val="28"/>
          <w:szCs w:val="28"/>
        </w:rPr>
        <w:tab/>
      </w:r>
      <w:r>
        <w:rPr>
          <w:rFonts w:ascii="仿宋" w:eastAsia="仿宋"/>
          <w:sz w:val="28"/>
          <w:szCs w:val="28"/>
        </w:rPr>
        <w:fldChar w:fldCharType="end"/>
      </w:r>
      <w:r>
        <w:rPr>
          <w:rFonts w:hint="eastAsia" w:ascii="仿宋" w:eastAsia="仿宋"/>
          <w:sz w:val="28"/>
          <w:szCs w:val="28"/>
        </w:rPr>
        <w:t>43</w:t>
      </w:r>
    </w:p>
    <w:p>
      <w:pPr>
        <w:pStyle w:val="11"/>
        <w:rPr>
          <w:rFonts w:ascii="仿宋" w:eastAsia="仿宋" w:cs="Arial"/>
          <w:sz w:val="28"/>
          <w:szCs w:val="28"/>
        </w:rPr>
      </w:pPr>
      <w:r>
        <w:rPr>
          <w:rFonts w:hint="eastAsia" w:ascii="仿宋" w:eastAsia="仿宋"/>
          <w:sz w:val="28"/>
          <w:szCs w:val="28"/>
        </w:rPr>
        <w:t>九、</w:t>
      </w:r>
      <w:r>
        <w:fldChar w:fldCharType="begin"/>
      </w:r>
      <w:r>
        <w:instrText xml:space="preserve"> HYPERLINK \l "_Toc15396627" </w:instrText>
      </w:r>
      <w:r>
        <w:fldChar w:fldCharType="separate"/>
      </w:r>
      <w:r>
        <w:rPr>
          <w:rFonts w:hint="eastAsia" w:ascii="仿宋" w:eastAsia="仿宋"/>
          <w:sz w:val="28"/>
          <w:szCs w:val="28"/>
        </w:rPr>
        <w:t>一般公共预算财政拨款项目支出决算表</w:t>
      </w:r>
      <w:r>
        <w:rPr>
          <w:rFonts w:ascii="仿宋" w:eastAsia="仿宋"/>
          <w:sz w:val="28"/>
          <w:szCs w:val="28"/>
        </w:rPr>
        <w:tab/>
      </w:r>
      <w:r>
        <w:rPr>
          <w:rFonts w:ascii="仿宋" w:eastAsia="仿宋"/>
          <w:sz w:val="28"/>
          <w:szCs w:val="28"/>
        </w:rPr>
        <w:fldChar w:fldCharType="end"/>
      </w:r>
      <w:r>
        <w:rPr>
          <w:rFonts w:hint="eastAsia" w:ascii="仿宋" w:eastAsia="仿宋"/>
          <w:sz w:val="28"/>
          <w:szCs w:val="28"/>
        </w:rPr>
        <w:t>43</w:t>
      </w:r>
    </w:p>
    <w:p>
      <w:pPr>
        <w:pStyle w:val="11"/>
        <w:rPr>
          <w:rFonts w:ascii="仿宋" w:eastAsia="仿宋" w:cs="Arial"/>
          <w:sz w:val="28"/>
          <w:szCs w:val="28"/>
        </w:rPr>
      </w:pPr>
      <w:r>
        <w:rPr>
          <w:rFonts w:hint="eastAsia" w:ascii="仿宋" w:eastAsia="仿宋"/>
          <w:sz w:val="28"/>
          <w:szCs w:val="28"/>
        </w:rPr>
        <w:t>十、</w:t>
      </w:r>
      <w:r>
        <w:fldChar w:fldCharType="begin"/>
      </w:r>
      <w:r>
        <w:instrText xml:space="preserve"> HYPERLINK \l "_Toc15396628" </w:instrText>
      </w:r>
      <w:r>
        <w:fldChar w:fldCharType="separate"/>
      </w:r>
      <w:r>
        <w:rPr>
          <w:rFonts w:hint="eastAsia" w:ascii="仿宋" w:eastAsia="仿宋"/>
          <w:sz w:val="28"/>
          <w:szCs w:val="28"/>
        </w:rPr>
        <w:t>一般公共预算财政拨款“三公”经费支出决算表</w:t>
      </w:r>
      <w:r>
        <w:rPr>
          <w:rFonts w:ascii="仿宋" w:eastAsia="仿宋"/>
          <w:sz w:val="28"/>
          <w:szCs w:val="28"/>
        </w:rPr>
        <w:tab/>
      </w:r>
      <w:r>
        <w:rPr>
          <w:rFonts w:ascii="仿宋" w:eastAsia="仿宋"/>
          <w:sz w:val="28"/>
          <w:szCs w:val="28"/>
        </w:rPr>
        <w:fldChar w:fldCharType="end"/>
      </w:r>
      <w:r>
        <w:rPr>
          <w:rFonts w:hint="eastAsia" w:ascii="仿宋" w:eastAsia="仿宋"/>
          <w:sz w:val="28"/>
          <w:szCs w:val="28"/>
        </w:rPr>
        <w:t>43</w:t>
      </w:r>
    </w:p>
    <w:p>
      <w:pPr>
        <w:pStyle w:val="11"/>
        <w:rPr>
          <w:rFonts w:ascii="仿宋" w:eastAsia="仿宋" w:cs="Arial"/>
          <w:sz w:val="28"/>
          <w:szCs w:val="28"/>
        </w:rPr>
      </w:pPr>
      <w:r>
        <w:rPr>
          <w:rFonts w:hint="eastAsia" w:ascii="仿宋" w:eastAsia="仿宋"/>
          <w:sz w:val="28"/>
          <w:szCs w:val="28"/>
        </w:rPr>
        <w:t>十一、</w:t>
      </w:r>
      <w:r>
        <w:fldChar w:fldCharType="begin"/>
      </w:r>
      <w:r>
        <w:instrText xml:space="preserve"> HYPERLINK \l "_Toc15396629" </w:instrText>
      </w:r>
      <w:r>
        <w:fldChar w:fldCharType="separate"/>
      </w:r>
      <w:r>
        <w:rPr>
          <w:rFonts w:hint="eastAsia" w:ascii="仿宋" w:eastAsia="仿宋"/>
          <w:sz w:val="28"/>
          <w:szCs w:val="28"/>
        </w:rPr>
        <w:t>政府性基金预算财政拨款收入支出决算表</w:t>
      </w:r>
      <w:r>
        <w:rPr>
          <w:rFonts w:ascii="仿宋" w:eastAsia="仿宋"/>
          <w:sz w:val="28"/>
          <w:szCs w:val="28"/>
        </w:rPr>
        <w:tab/>
      </w:r>
      <w:r>
        <w:rPr>
          <w:rFonts w:ascii="仿宋" w:eastAsia="仿宋"/>
          <w:sz w:val="28"/>
          <w:szCs w:val="28"/>
        </w:rPr>
        <w:fldChar w:fldCharType="end"/>
      </w:r>
      <w:r>
        <w:rPr>
          <w:rFonts w:hint="eastAsia" w:ascii="仿宋" w:eastAsia="仿宋"/>
          <w:sz w:val="28"/>
          <w:szCs w:val="28"/>
        </w:rPr>
        <w:t>43</w:t>
      </w:r>
    </w:p>
    <w:p>
      <w:pPr>
        <w:pStyle w:val="11"/>
        <w:rPr>
          <w:rFonts w:ascii="仿宋" w:eastAsia="仿宋" w:cs="Arial"/>
          <w:sz w:val="28"/>
          <w:szCs w:val="28"/>
        </w:rPr>
      </w:pPr>
      <w:r>
        <w:rPr>
          <w:rFonts w:hint="eastAsia" w:ascii="仿宋" w:eastAsia="仿宋"/>
          <w:sz w:val="28"/>
          <w:szCs w:val="28"/>
        </w:rPr>
        <w:t>十二、</w:t>
      </w:r>
      <w:r>
        <w:fldChar w:fldCharType="begin"/>
      </w:r>
      <w:r>
        <w:instrText xml:space="preserve"> HYPERLINK \l "_Toc15396630" </w:instrText>
      </w:r>
      <w:r>
        <w:fldChar w:fldCharType="separate"/>
      </w:r>
      <w:r>
        <w:rPr>
          <w:rFonts w:hint="eastAsia" w:ascii="仿宋" w:eastAsia="仿宋"/>
          <w:sz w:val="28"/>
          <w:szCs w:val="28"/>
        </w:rPr>
        <w:t>政府性基金预算财政拨款“三公”经费支出决算表</w:t>
      </w:r>
      <w:r>
        <w:rPr>
          <w:rFonts w:ascii="仿宋" w:eastAsia="仿宋"/>
          <w:sz w:val="28"/>
          <w:szCs w:val="28"/>
        </w:rPr>
        <w:tab/>
      </w:r>
      <w:r>
        <w:rPr>
          <w:rFonts w:ascii="仿宋" w:eastAsia="仿宋"/>
          <w:sz w:val="28"/>
          <w:szCs w:val="28"/>
        </w:rPr>
        <w:fldChar w:fldCharType="end"/>
      </w:r>
      <w:r>
        <w:rPr>
          <w:rFonts w:hint="eastAsia" w:ascii="仿宋" w:eastAsia="仿宋"/>
          <w:sz w:val="28"/>
          <w:szCs w:val="28"/>
        </w:rPr>
        <w:t>43</w:t>
      </w:r>
    </w:p>
    <w:p>
      <w:pPr>
        <w:pStyle w:val="11"/>
        <w:rPr>
          <w:rFonts w:ascii="黑体" w:eastAsia="黑体"/>
          <w:bCs/>
          <w:kern w:val="44"/>
          <w:sz w:val="44"/>
          <w:szCs w:val="44"/>
        </w:rPr>
      </w:pPr>
      <w:r>
        <w:rPr>
          <w:rFonts w:hint="eastAsia" w:ascii="仿宋" w:eastAsia="仿宋"/>
          <w:sz w:val="28"/>
          <w:szCs w:val="28"/>
        </w:rPr>
        <w:t>十三、</w:t>
      </w:r>
      <w:r>
        <w:fldChar w:fldCharType="begin"/>
      </w:r>
      <w:r>
        <w:instrText xml:space="preserve"> HYPERLINK \l "_Toc15396631" </w:instrText>
      </w:r>
      <w:r>
        <w:fldChar w:fldCharType="separate"/>
      </w:r>
      <w:r>
        <w:rPr>
          <w:rFonts w:hint="eastAsia" w:ascii="仿宋" w:eastAsia="仿宋"/>
          <w:sz w:val="28"/>
          <w:szCs w:val="28"/>
        </w:rPr>
        <w:t>国有资本经营预算支出决算表</w:t>
      </w:r>
      <w:r>
        <w:rPr>
          <w:rFonts w:ascii="仿宋" w:eastAsia="仿宋"/>
          <w:sz w:val="28"/>
          <w:szCs w:val="28"/>
        </w:rPr>
        <w:tab/>
      </w:r>
      <w:r>
        <w:rPr>
          <w:rFonts w:ascii="仿宋" w:eastAsia="仿宋"/>
          <w:sz w:val="28"/>
          <w:szCs w:val="28"/>
        </w:rPr>
        <w:fldChar w:fldCharType="end"/>
      </w:r>
      <w:r>
        <w:rPr>
          <w:rFonts w:ascii="仿宋" w:eastAsia="仿宋"/>
          <w:color w:val="000000"/>
          <w:sz w:val="24"/>
        </w:rPr>
        <w:fldChar w:fldCharType="end"/>
      </w:r>
      <w:r>
        <w:rPr>
          <w:rFonts w:hint="eastAsia" w:ascii="仿宋" w:eastAsia="仿宋"/>
          <w:color w:val="000000"/>
          <w:sz w:val="24"/>
        </w:rPr>
        <w:t>4</w:t>
      </w:r>
      <w:bookmarkStart w:id="12" w:name="_Toc15396599"/>
      <w:bookmarkStart w:id="13" w:name="_Toc15377196"/>
      <w:r>
        <w:rPr>
          <w:rFonts w:hint="eastAsia" w:ascii="仿宋" w:eastAsia="仿宋"/>
          <w:color w:val="000000"/>
          <w:sz w:val="24"/>
        </w:rPr>
        <w:t>3</w:t>
      </w:r>
      <w:r>
        <w:rPr>
          <w:rFonts w:ascii="黑体" w:eastAsia="黑体"/>
          <w:b/>
        </w:rPr>
        <w:br w:type="page"/>
      </w:r>
    </w:p>
    <w:p>
      <w:pPr>
        <w:pStyle w:val="2"/>
        <w:jc w:val="center"/>
        <w:rPr>
          <w:rStyle w:val="16"/>
          <w:rFonts w:ascii="黑体" w:eastAsia="黑体"/>
          <w:b/>
          <w:bCs w:val="0"/>
        </w:rPr>
      </w:pPr>
      <w:r>
        <w:rPr>
          <w:rFonts w:hint="eastAsia" w:ascii="黑体" w:eastAsia="黑体"/>
          <w:b w:val="0"/>
        </w:rPr>
        <w:t xml:space="preserve">第一部分 </w:t>
      </w:r>
      <w:r>
        <w:rPr>
          <w:rStyle w:val="16"/>
          <w:rFonts w:hint="eastAsia" w:ascii="黑体" w:eastAsia="黑体"/>
          <w:b w:val="0"/>
          <w:bCs w:val="0"/>
        </w:rPr>
        <w:t>部门概况</w:t>
      </w:r>
      <w:bookmarkEnd w:id="12"/>
      <w:bookmarkEnd w:id="13"/>
    </w:p>
    <w:p>
      <w:pPr>
        <w:widowControl/>
        <w:jc w:val="left"/>
        <w:rPr>
          <w:rFonts w:ascii="黑体" w:eastAsia="黑体"/>
          <w:color w:val="000000"/>
          <w:sz w:val="32"/>
          <w:szCs w:val="32"/>
        </w:rPr>
      </w:pPr>
    </w:p>
    <w:p>
      <w:pPr>
        <w:pStyle w:val="3"/>
        <w:ind w:firstLine="640" w:firstLineChars="200"/>
        <w:rPr>
          <w:rStyle w:val="17"/>
          <w:rFonts w:ascii="仿宋" w:eastAsia="仿宋"/>
          <w:b w:val="0"/>
          <w:bCs w:val="0"/>
        </w:rPr>
      </w:pPr>
      <w:bookmarkStart w:id="14" w:name="_Toc15396600"/>
      <w:bookmarkStart w:id="15" w:name="_Toc15377197"/>
      <w:r>
        <w:rPr>
          <w:rFonts w:hint="eastAsia" w:ascii="黑体" w:eastAsia="黑体"/>
          <w:b w:val="0"/>
          <w:color w:val="000000"/>
        </w:rPr>
        <w:t>一、基</w:t>
      </w:r>
      <w:r>
        <w:rPr>
          <w:rStyle w:val="17"/>
          <w:rFonts w:hint="eastAsia" w:ascii="黑体" w:eastAsia="黑体"/>
          <w:b w:val="0"/>
          <w:bCs w:val="0"/>
        </w:rPr>
        <w:t>本职能及主要工作</w:t>
      </w:r>
      <w:bookmarkEnd w:id="14"/>
      <w:bookmarkEnd w:id="15"/>
    </w:p>
    <w:p>
      <w:pPr>
        <w:pStyle w:val="5"/>
        <w:adjustRightInd w:val="0"/>
        <w:snapToGrid w:val="0"/>
        <w:spacing w:before="93" w:beforeLines="0" w:line="600" w:lineRule="exact"/>
        <w:ind w:firstLine="668" w:firstLineChars="209"/>
        <w:outlineLvl w:val="2"/>
        <w:rPr>
          <w:rFonts w:ascii="仿宋" w:eastAsia="仿宋"/>
          <w:bCs/>
          <w:color w:val="000000"/>
          <w:sz w:val="32"/>
          <w:szCs w:val="32"/>
        </w:rPr>
      </w:pPr>
      <w:bookmarkStart w:id="16" w:name="_Toc15378445"/>
      <w:bookmarkStart w:id="17" w:name="_Toc15377198"/>
      <w:r>
        <w:rPr>
          <w:rFonts w:hint="eastAsia" w:ascii="仿宋" w:eastAsia="仿宋"/>
          <w:bCs/>
          <w:color w:val="000000"/>
          <w:sz w:val="32"/>
          <w:szCs w:val="32"/>
        </w:rPr>
        <w:t>（一）主要职能。</w:t>
      </w:r>
      <w:bookmarkEnd w:id="16"/>
      <w:bookmarkEnd w:id="17"/>
    </w:p>
    <w:p>
      <w:pPr>
        <w:pStyle w:val="5"/>
        <w:adjustRightInd w:val="0"/>
        <w:snapToGrid w:val="0"/>
        <w:spacing w:before="93" w:beforeLines="0" w:line="600" w:lineRule="exact"/>
        <w:ind w:firstLine="668" w:firstLineChars="209"/>
        <w:rPr>
          <w:rFonts w:ascii="仿宋" w:eastAsia="仿宋"/>
          <w:bCs/>
          <w:color w:val="000000"/>
          <w:sz w:val="32"/>
          <w:szCs w:val="32"/>
        </w:rPr>
      </w:pPr>
      <w:r>
        <w:rPr>
          <w:rFonts w:hint="eastAsia"/>
          <w:sz w:val="32"/>
          <w:szCs w:val="32"/>
        </w:rPr>
        <w:t>黄庭乡政府主要职责、职能为贯彻落实党和政府各项路线方针政策；为经济发展提供服务；建立和健全农村社会化服务体系，为群众提供各项公共服务；进一步强化社会管理职能，加强辖区内的社会治安综合管理；进一步加强基层组织管理，加强基层领导班子、干部队伍的建设；法律、法规、规章和上级规定的其他事项。推进达川区黄庭乡经济发展、改善人民生活、保持农村社会稳定、偿还乡镇和村级债务、搞好场镇建设和加快新农村基础设施建设工作。</w:t>
      </w:r>
    </w:p>
    <w:p>
      <w:pPr>
        <w:pStyle w:val="5"/>
        <w:adjustRightInd w:val="0"/>
        <w:snapToGrid w:val="0"/>
        <w:spacing w:before="93" w:beforeLines="0" w:line="600" w:lineRule="exact"/>
        <w:ind w:firstLine="668" w:firstLineChars="209"/>
        <w:outlineLvl w:val="2"/>
        <w:rPr>
          <w:rFonts w:ascii="仿宋" w:eastAsia="仿宋"/>
          <w:bCs/>
          <w:color w:val="000000"/>
          <w:sz w:val="32"/>
          <w:szCs w:val="32"/>
        </w:rPr>
      </w:pPr>
      <w:bookmarkStart w:id="18" w:name="_Toc15378446"/>
      <w:bookmarkStart w:id="19" w:name="_Toc15377199"/>
      <w:r>
        <w:rPr>
          <w:rFonts w:hint="eastAsia" w:ascii="仿宋" w:eastAsia="仿宋"/>
          <w:bCs/>
          <w:color w:val="000000"/>
          <w:sz w:val="32"/>
          <w:szCs w:val="32"/>
        </w:rPr>
        <w:t>（二）</w:t>
      </w:r>
      <w:r>
        <w:rPr>
          <w:rFonts w:ascii="仿宋" w:eastAsia="仿宋"/>
          <w:bCs/>
          <w:color w:val="000000"/>
          <w:sz w:val="32"/>
          <w:szCs w:val="32"/>
        </w:rPr>
        <w:t>201</w:t>
      </w:r>
      <w:r>
        <w:rPr>
          <w:rFonts w:hint="eastAsia" w:ascii="仿宋" w:eastAsia="仿宋"/>
          <w:bCs/>
          <w:color w:val="000000"/>
          <w:sz w:val="32"/>
          <w:szCs w:val="32"/>
        </w:rPr>
        <w:t>8年重点工作完成情况。</w:t>
      </w:r>
      <w:bookmarkEnd w:id="18"/>
      <w:bookmarkEnd w:id="19"/>
    </w:p>
    <w:p>
      <w:pPr>
        <w:spacing w:line="578" w:lineRule="exact"/>
        <w:ind w:firstLine="640" w:firstLineChars="200"/>
        <w:rPr>
          <w:rFonts w:ascii="仿宋_GB2312" w:eastAsia="仿宋_GB2312" w:cs="仿宋_GB2312"/>
          <w:kern w:val="0"/>
          <w:sz w:val="32"/>
          <w:szCs w:val="32"/>
        </w:rPr>
      </w:pPr>
      <w:bookmarkStart w:id="20" w:name="_Toc15396601"/>
      <w:bookmarkStart w:id="21" w:name="_Toc15377200"/>
      <w:r>
        <w:rPr>
          <w:rFonts w:hint="eastAsia" w:ascii="仿宋_GB2312" w:eastAsia="仿宋_GB2312" w:cs="仿宋_GB2312"/>
          <w:kern w:val="0"/>
          <w:sz w:val="32"/>
          <w:szCs w:val="32"/>
        </w:rPr>
        <w:t>1、农业经济稳步协调发展，进一步巩固农业经济的基础地位。</w:t>
      </w:r>
    </w:p>
    <w:p>
      <w:pPr>
        <w:spacing w:line="578" w:lineRule="exact"/>
        <w:ind w:firstLine="640" w:firstLineChars="200"/>
        <w:rPr>
          <w:rFonts w:ascii="仿宋_GB2312" w:eastAsia="仿宋_GB2312" w:cs="仿宋_GB2312"/>
          <w:kern w:val="0"/>
          <w:sz w:val="32"/>
          <w:szCs w:val="32"/>
        </w:rPr>
      </w:pPr>
      <w:r>
        <w:rPr>
          <w:rFonts w:hint="eastAsia" w:ascii="仿宋_GB2312" w:eastAsia="仿宋_GB2312" w:cs="仿宋_GB2312"/>
          <w:kern w:val="0"/>
          <w:sz w:val="32"/>
          <w:szCs w:val="32"/>
        </w:rPr>
        <w:t>（1）粮食生产稳中有增。全乡0.47万亩水稻实现了丰产丰收，单产达到了504公斤，总产达到了236.5万公斤，比去年增产11万公斤。完成玉米种植面积0.45万亩，单产达到了461公斤，总产达到了203.4万公斤，比去年增产6万公斤，为实现全年粮食丰收奠定了基础。</w:t>
      </w:r>
    </w:p>
    <w:p>
      <w:pPr>
        <w:spacing w:line="578" w:lineRule="exact"/>
        <w:ind w:firstLine="640" w:firstLineChars="200"/>
        <w:rPr>
          <w:rFonts w:ascii="仿宋_GB2312" w:eastAsia="仿宋_GB2312" w:cs="仿宋_GB2312"/>
          <w:kern w:val="0"/>
          <w:sz w:val="32"/>
          <w:szCs w:val="32"/>
        </w:rPr>
      </w:pPr>
      <w:r>
        <w:rPr>
          <w:rFonts w:hint="eastAsia" w:ascii="仿宋_GB2312" w:eastAsia="仿宋_GB2312" w:cs="仿宋_GB2312"/>
          <w:kern w:val="0"/>
          <w:sz w:val="32"/>
          <w:szCs w:val="32"/>
        </w:rPr>
        <w:t>（2）生态环境进一步改善。今春，我乡新栽植树木10万株，完成了黄南路、石通路、黄梁路路域绿化，九龙湖湖区绿化，并组织实施了8个村的村庄绿化工程。健全了管护队伍，落实了管护责任，强化管护措施，确保了新栽树木成活率和保存率达到98％以上。</w:t>
      </w:r>
    </w:p>
    <w:p>
      <w:pPr>
        <w:spacing w:line="578" w:lineRule="exact"/>
        <w:ind w:firstLine="640" w:firstLineChars="200"/>
        <w:rPr>
          <w:rFonts w:ascii="仿宋_GB2312" w:eastAsia="仿宋_GB2312" w:cs="仿宋_GB2312"/>
          <w:kern w:val="0"/>
          <w:sz w:val="32"/>
          <w:szCs w:val="32"/>
        </w:rPr>
      </w:pPr>
      <w:r>
        <w:rPr>
          <w:rFonts w:hint="eastAsia" w:ascii="仿宋_GB2312" w:eastAsia="仿宋_GB2312" w:cs="仿宋_GB2312"/>
          <w:kern w:val="0"/>
          <w:sz w:val="32"/>
          <w:szCs w:val="32"/>
        </w:rPr>
        <w:t>（3）落实农业扶持政策，加快产业结构调整。落实国家粮食补贴政策，发放粮食直补89万元；积极争取畜牧生产扶持奖励资金，指导万新村建设高标准养殖场1处。</w:t>
      </w:r>
    </w:p>
    <w:p>
      <w:pPr>
        <w:spacing w:line="578" w:lineRule="exact"/>
        <w:ind w:firstLine="640" w:firstLineChars="200"/>
        <w:rPr>
          <w:rFonts w:ascii="仿宋_GB2312" w:eastAsia="仿宋_GB2312" w:cs="仿宋_GB2312"/>
          <w:kern w:val="0"/>
          <w:sz w:val="32"/>
          <w:szCs w:val="32"/>
        </w:rPr>
      </w:pPr>
      <w:r>
        <w:rPr>
          <w:rFonts w:hint="eastAsia" w:ascii="仿宋_GB2312" w:eastAsia="仿宋_GB2312" w:cs="仿宋_GB2312"/>
          <w:kern w:val="0"/>
          <w:sz w:val="32"/>
          <w:szCs w:val="32"/>
        </w:rPr>
        <w:t>（4）农村合作经济组织建设不断完善。巩固壮大了黄庭生猪养殖专业合作社、达州市三角寨种植专业合作社、达州市瑞和种植专业合作社，搭建起了企业和农户的“桥梁”、“纽带”。青花椒种植合作社服务范围进一步拓宽，蘑菇种植等农村经纪人队伍不断发展壮大。</w:t>
      </w:r>
    </w:p>
    <w:p>
      <w:pPr>
        <w:spacing w:line="578" w:lineRule="exact"/>
        <w:ind w:firstLine="640" w:firstLineChars="200"/>
        <w:rPr>
          <w:rFonts w:ascii="仿宋_GB2312" w:eastAsia="仿宋_GB2312" w:cs="仿宋_GB2312"/>
          <w:kern w:val="0"/>
          <w:sz w:val="32"/>
          <w:szCs w:val="32"/>
        </w:rPr>
      </w:pPr>
      <w:r>
        <w:rPr>
          <w:rFonts w:hint="eastAsia" w:ascii="仿宋_GB2312" w:eastAsia="仿宋_GB2312" w:cs="仿宋_GB2312"/>
          <w:kern w:val="0"/>
          <w:sz w:val="32"/>
          <w:szCs w:val="32"/>
        </w:rPr>
        <w:t>2、强化基础建设力度，决战决胜脱贫攻坚</w:t>
      </w:r>
    </w:p>
    <w:p>
      <w:pPr>
        <w:spacing w:line="578" w:lineRule="exact"/>
        <w:ind w:firstLine="640" w:firstLineChars="200"/>
        <w:rPr>
          <w:rFonts w:ascii="仿宋_GB2312" w:eastAsia="仿宋_GB2312" w:cs="仿宋_GB2312"/>
          <w:kern w:val="0"/>
          <w:sz w:val="32"/>
          <w:szCs w:val="32"/>
        </w:rPr>
      </w:pPr>
      <w:r>
        <w:rPr>
          <w:rFonts w:hint="eastAsia" w:ascii="仿宋_GB2312" w:eastAsia="仿宋_GB2312" w:cs="仿宋_GB2312"/>
          <w:kern w:val="0"/>
          <w:sz w:val="32"/>
          <w:szCs w:val="32"/>
        </w:rPr>
        <w:t>(1)基础设施不断完善。一是按期完成大中型水库避险解困移民搬迁任务： 2018年10月完成石锣村、春屋村移民搬迁工程，建成移民聚居点7个共18套房屋，硬化村组道路32公里，无一信访失稳问题发生，并通过了市上、区上的检查验收。二是道路建设逐渐完善：完成环库路建设9.5公里；完成石锣村产业道路新建9.2公里；完成万新村产业道路新建3.1公里；完成春屋村产业道路新建2.5公里； 完成群峰村产业道路新建2.5公里；完成通花村产业道路新建1.5公里；完成周家村产业道路新建5.2公里；完成了连心村4组7组社道硬化0.35公里；完了连心村7组至双石村10社道毛坯路建设0.7公里，完成了连心村生产便民路2.3公里，完成周家村白果坝产业道硬化建设2.2公里；完成春屋村4组至猴子沟村道公路升级硬化1.2公里。四是完成了场镇污水处理站的前期准备工作，财评预算资金572万元。</w:t>
      </w:r>
    </w:p>
    <w:p>
      <w:pPr>
        <w:spacing w:line="578" w:lineRule="exact"/>
        <w:ind w:firstLine="640" w:firstLineChars="200"/>
        <w:rPr>
          <w:rFonts w:ascii="仿宋_GB2312" w:eastAsia="仿宋_GB2312" w:cs="仿宋_GB2312"/>
          <w:kern w:val="0"/>
          <w:sz w:val="32"/>
          <w:szCs w:val="32"/>
        </w:rPr>
      </w:pPr>
      <w:r>
        <w:rPr>
          <w:rFonts w:hint="eastAsia" w:ascii="仿宋_GB2312" w:eastAsia="仿宋_GB2312" w:cs="仿宋_GB2312"/>
          <w:kern w:val="0"/>
          <w:sz w:val="32"/>
          <w:szCs w:val="32"/>
        </w:rPr>
        <w:t xml:space="preserve"> (2)产业发展初具雏形。鉴于传统农业对经济发展和农民增收有很大的制约性，我乡坚持把产业调整放在首位，大力扶持和引导新型农业建设，乌梅、青脆李、青花椒、琯心蜜柚、纽荷尔脐橙及其他中药材等产业迅速成长，优质生猪养殖、林下养鸡、清水养鱼等科学养殖业初具规模。以成片竹林为资源优势打造生态黄庭，规模发展竹笋产业，全乡生态旅游发展模式已初步形成。以青花椒产业示范乡建设为抓手，大力发展青花椒，促进黄庭乡全面高质量发展，2018年，共新增青花椒种植面积2600余亩，琯溪蜜柚种植面积100余亩，纽荷尔脐橙种植面积50余亩。</w:t>
      </w:r>
    </w:p>
    <w:p>
      <w:pPr>
        <w:spacing w:line="578" w:lineRule="exact"/>
        <w:ind w:firstLine="640" w:firstLineChars="200"/>
        <w:rPr>
          <w:rFonts w:ascii="仿宋_GB2312" w:eastAsia="仿宋_GB2312" w:cs="仿宋_GB2312"/>
          <w:kern w:val="0"/>
          <w:sz w:val="32"/>
          <w:szCs w:val="32"/>
        </w:rPr>
      </w:pPr>
      <w:r>
        <w:rPr>
          <w:rFonts w:hint="eastAsia" w:ascii="仿宋_GB2312" w:eastAsia="仿宋_GB2312" w:cs="仿宋_GB2312"/>
          <w:kern w:val="0"/>
          <w:sz w:val="32"/>
          <w:szCs w:val="32"/>
        </w:rPr>
        <w:t>(3)决战决胜脱贫攻坚。在区级联系领导和帮扶单位的大力支持下，建立了到村、到组、到人的系统帮扶模式，制订了科学可行的帮扶措施和计划并落实，经过一年的努力，我乡贫困村(双石村、连心村)及全乡贫困户(390户、1024人)思想观念有所转变，大部分贫困户开始积极投身产业建设，参与青花椒、琯溪蜜柚、纽荷尔脐橙种植和鸡、生猪等科学喂养。全乡易地搬迁工作顺利推进，2018年分散安置10户30人，现已完成100％。2018年稳定实现贫困户退出36户90人，无一返贫、漏贫现象发生。</w:t>
      </w:r>
    </w:p>
    <w:p>
      <w:pPr>
        <w:spacing w:line="578"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3、各项社会事业全面推进，民生福利得到改善</w:t>
      </w:r>
    </w:p>
    <w:p>
      <w:pPr>
        <w:spacing w:line="578" w:lineRule="exact"/>
        <w:ind w:firstLine="640" w:firstLineChars="200"/>
        <w:rPr>
          <w:rFonts w:ascii="仿宋_GB2312" w:eastAsia="仿宋_GB2312" w:cs="仿宋_GB2312"/>
          <w:sz w:val="32"/>
          <w:szCs w:val="32"/>
        </w:rPr>
      </w:pPr>
      <w:r>
        <w:rPr>
          <w:rFonts w:hint="eastAsia" w:ascii="仿宋_GB2312" w:eastAsia="仿宋_GB2312" w:cs="仿宋_GB2312"/>
          <w:kern w:val="0"/>
          <w:sz w:val="32"/>
          <w:szCs w:val="32"/>
        </w:rPr>
        <w:t>（1）计划生育工作稳步推进。</w:t>
      </w:r>
      <w:r>
        <w:rPr>
          <w:rFonts w:hint="eastAsia" w:ascii="仿宋_GB2312" w:eastAsia="仿宋_GB2312" w:cs="仿宋_GB2312"/>
          <w:sz w:val="32"/>
          <w:szCs w:val="32"/>
        </w:rPr>
        <w:t>重点抓好计生“五个平台”管理，狠抓出生清理、手术任务落实。加强社会抚养费征收，加强流动人口计划生育管理。严格落实各项计生政策，完善利益导向机制。全乡计划生育率92%，出生率9.5‰，免费孕前优生检查26对。</w:t>
      </w:r>
    </w:p>
    <w:p>
      <w:pPr>
        <w:spacing w:line="578" w:lineRule="exact"/>
        <w:ind w:firstLine="640" w:firstLineChars="200"/>
        <w:rPr>
          <w:rFonts w:ascii="仿宋_GB2312" w:eastAsia="仿宋_GB2312" w:cs="仿宋_GB2312"/>
          <w:sz w:val="32"/>
          <w:szCs w:val="32"/>
        </w:rPr>
      </w:pPr>
      <w:r>
        <w:rPr>
          <w:rFonts w:hint="eastAsia" w:ascii="仿宋_GB2312" w:eastAsia="仿宋_GB2312" w:cs="仿宋_GB2312"/>
          <w:kern w:val="0"/>
          <w:sz w:val="32"/>
          <w:szCs w:val="32"/>
        </w:rPr>
        <w:t>（2）综治维稳工作不断强化。</w:t>
      </w:r>
      <w:r>
        <w:rPr>
          <w:rFonts w:hint="eastAsia" w:ascii="仿宋_GB2312" w:eastAsia="仿宋_GB2312" w:cs="仿宋_GB2312"/>
          <w:sz w:val="32"/>
          <w:szCs w:val="32"/>
        </w:rPr>
        <w:t>保持严打高压态势，加强对吸毒、盗抢等涉及群众切身利益的违法犯罪的打击，在清理吸毒人员、强制隔离戒毒、治安拘留、刑事案件破案率、移送起诉等打击处理方面均超额完成上级下达任务，实现了发案少、秩序好、社会稳定、群众满意的良好效果;高度重视信访维稳工作，健全了群众工作站等群众来信来访机构，完善了矛盾排查调处网络，今年信访接待室共接访群众来访10余起，解决群众合理诉求7余起，防止群体性越级上访4起，把群众大量诉求和矛盾解决于萌芽状态。</w:t>
      </w:r>
    </w:p>
    <w:p>
      <w:pPr>
        <w:spacing w:line="578" w:lineRule="exact"/>
        <w:ind w:firstLine="640" w:firstLineChars="200"/>
        <w:rPr>
          <w:rFonts w:ascii="仿宋_GB2312" w:eastAsia="仿宋_GB2312" w:cs="仿宋_GB2312"/>
          <w:sz w:val="32"/>
          <w:szCs w:val="32"/>
        </w:rPr>
      </w:pPr>
      <w:r>
        <w:rPr>
          <w:rFonts w:hint="eastAsia" w:ascii="仿宋_GB2312" w:eastAsia="仿宋_GB2312" w:cs="仿宋_GB2312"/>
          <w:kern w:val="0"/>
          <w:sz w:val="32"/>
          <w:szCs w:val="32"/>
        </w:rPr>
        <w:t>（3）安全生产工作切实加强。</w:t>
      </w:r>
      <w:r>
        <w:rPr>
          <w:rFonts w:hint="eastAsia" w:ascii="仿宋_GB2312" w:eastAsia="仿宋_GB2312" w:cs="仿宋_GB2312"/>
          <w:sz w:val="32"/>
          <w:szCs w:val="32"/>
        </w:rPr>
        <w:t>以平安乡创建为载体，深入推进平安建设，吸取大树镇“425”事故教训，在全乡范围内开展安全生产大排查大整治，深入夯实安全生产基础工作。立足全乡实际，切实做到形要看清、话要说清、底子摸清、事要做清，重点开展安全隐患大排查、大整治。成立黄庭乡2018年夏季安全隐患大排查行动小组，对全乡9个村(居)进行拉网式排查，并且下发实施方案，严格落实领导干部安全生产“一岗双责”制度。对全乡农机手、种粮大户、村组干部进行安全生产培训，强化安全意识，消除农机操作等安全隐患。高度重视煤矿安全工作，严格落实驻矿盯守制度，及时消除事故隐患。</w:t>
      </w:r>
    </w:p>
    <w:p>
      <w:pPr>
        <w:spacing w:line="578" w:lineRule="exact"/>
        <w:ind w:firstLine="640" w:firstLineChars="200"/>
        <w:rPr>
          <w:rFonts w:ascii="仿宋_GB2312" w:eastAsia="仿宋_GB2312" w:cs="仿宋_GB2312"/>
          <w:sz w:val="32"/>
          <w:szCs w:val="32"/>
        </w:rPr>
      </w:pPr>
      <w:r>
        <w:rPr>
          <w:rFonts w:hint="eastAsia" w:ascii="仿宋_GB2312" w:eastAsia="仿宋_GB2312" w:cs="仿宋_GB2312"/>
          <w:kern w:val="0"/>
          <w:sz w:val="32"/>
          <w:szCs w:val="32"/>
        </w:rPr>
        <w:t>（4）民生保障事业取得成效。</w:t>
      </w:r>
      <w:r>
        <w:rPr>
          <w:rFonts w:hint="eastAsia" w:ascii="仿宋_GB2312" w:eastAsia="仿宋_GB2312" w:cs="仿宋_GB2312"/>
          <w:sz w:val="32"/>
          <w:szCs w:val="32"/>
        </w:rPr>
        <w:t>着力促进民政工作的公开透明，按照上级统一部署，开展了低保清理工作，严格按照政策精神，做好宣传动员，入户核查，建档立册。加大社会救助力度，共申报临时生活救助2.5万元，残疾人救助资金1.7万元;走访慰问困难党员群众30户，发放慰问金1.5万元，进一步改善了农村弱势群体的生产生活条件和自我发展能力。</w:t>
      </w:r>
    </w:p>
    <w:p>
      <w:pPr>
        <w:spacing w:line="578" w:lineRule="exact"/>
        <w:ind w:firstLine="640" w:firstLineChars="200"/>
        <w:rPr>
          <w:rFonts w:ascii="仿宋_GB2312" w:eastAsia="仿宋_GB2312" w:cs="仿宋_GB2312"/>
          <w:sz w:val="32"/>
          <w:szCs w:val="32"/>
        </w:rPr>
      </w:pPr>
      <w:r>
        <w:rPr>
          <w:rFonts w:hint="eastAsia" w:ascii="仿宋_GB2312" w:eastAsia="仿宋_GB2312" w:cs="仿宋_GB2312"/>
          <w:kern w:val="0"/>
          <w:sz w:val="32"/>
          <w:szCs w:val="32"/>
        </w:rPr>
        <w:t>（5）全面落实各项强农惠农政策。</w:t>
      </w:r>
      <w:r>
        <w:rPr>
          <w:rFonts w:hint="eastAsia" w:ascii="仿宋_GB2312" w:eastAsia="仿宋_GB2312" w:cs="仿宋_GB2312"/>
          <w:sz w:val="32"/>
          <w:szCs w:val="32"/>
        </w:rPr>
        <w:t>做到了吃透政策，用足用够政策;执行政策，全面落实政策;把握政策，有效巩固政策。新型农村养老保险，全乡参保率在95%以上。另外，国土、司法、信用、邮政、电信、工商、民营经济等各项事业都有新进步，人民生活水平日益提高。</w:t>
      </w:r>
    </w:p>
    <w:p>
      <w:pPr>
        <w:spacing w:line="578" w:lineRule="exact"/>
        <w:ind w:firstLine="640" w:firstLineChars="200"/>
        <w:rPr>
          <w:rFonts w:ascii="仿宋_GB2312" w:eastAsia="仿宋_GB2312" w:cs="仿宋_GB2312"/>
          <w:kern w:val="0"/>
          <w:sz w:val="32"/>
          <w:szCs w:val="32"/>
        </w:rPr>
      </w:pPr>
      <w:r>
        <w:rPr>
          <w:rFonts w:hint="eastAsia" w:ascii="仿宋_GB2312" w:eastAsia="仿宋_GB2312" w:cs="仿宋_GB2312"/>
          <w:kern w:val="0"/>
          <w:sz w:val="32"/>
          <w:szCs w:val="32"/>
        </w:rPr>
        <w:t>4、明确政治定位，做好群众最关心的大事</w:t>
      </w:r>
    </w:p>
    <w:p>
      <w:pPr>
        <w:spacing w:line="578" w:lineRule="exact"/>
        <w:ind w:firstLine="640" w:firstLineChars="200"/>
        <w:rPr>
          <w:rFonts w:ascii="仿宋_GB2312" w:eastAsia="仿宋_GB2312" w:cs="仿宋_GB2312"/>
          <w:sz w:val="32"/>
          <w:szCs w:val="32"/>
          <w:shd w:val="clear" w:color="auto" w:fill="FFFFFF"/>
        </w:rPr>
      </w:pPr>
      <w:r>
        <w:rPr>
          <w:rFonts w:hint="eastAsia" w:ascii="仿宋_GB2312" w:eastAsia="仿宋_GB2312" w:cs="仿宋_GB2312"/>
          <w:kern w:val="0"/>
          <w:sz w:val="32"/>
          <w:szCs w:val="32"/>
        </w:rPr>
        <w:t xml:space="preserve"> (1)城乡生态建设持续推进。</w:t>
      </w:r>
      <w:r>
        <w:rPr>
          <w:rFonts w:hint="eastAsia" w:ascii="仿宋_GB2312" w:eastAsia="仿宋_GB2312" w:cs="仿宋_GB2312"/>
          <w:sz w:val="32"/>
          <w:szCs w:val="32"/>
          <w:shd w:val="clear" w:color="auto" w:fill="FFFFFF"/>
        </w:rPr>
        <w:t>我乡与达川区签订了《2018年度乡(镇)、街办环境保护管理目标责任书》，认真制定了《乡城底乡环境保护工作计划》，并积极组织实施。深入开展“四清六治”工作，持续开展城乡清洁工作，扎实推进沿河4个村的农村环境连片综合整治工程。加大九龙湖上游污染源整治力度，关闭养猪场和养牛场场2个，断水断电洗煤厂1个，清理垃圾200方，完成企业环保网格化管理数据。实行乡长河长制，完成小流域沟坝地治理150亩;荒山造林绿化1500亩;开展农村人居环境整治和美丽宜居示范村建设。</w:t>
      </w:r>
    </w:p>
    <w:p>
      <w:pPr>
        <w:spacing w:line="578" w:lineRule="exact"/>
        <w:ind w:firstLine="640" w:firstLineChars="200"/>
        <w:rPr>
          <w:rFonts w:ascii="仿宋_GB2312" w:eastAsia="仿宋_GB2312" w:cs="仿宋_GB2312"/>
          <w:kern w:val="0"/>
          <w:sz w:val="32"/>
          <w:szCs w:val="32"/>
        </w:rPr>
      </w:pPr>
      <w:r>
        <w:rPr>
          <w:rFonts w:hint="eastAsia" w:ascii="仿宋_GB2312" w:eastAsia="仿宋_GB2312" w:cs="仿宋_GB2312"/>
          <w:kern w:val="0"/>
          <w:sz w:val="32"/>
          <w:szCs w:val="32"/>
        </w:rPr>
        <w:t>（2）扫黑除恶工作持续推进。</w:t>
      </w:r>
      <w:r>
        <w:rPr>
          <w:rFonts w:hint="eastAsia" w:ascii="仿宋_GB2312" w:eastAsia="仿宋_GB2312" w:cs="仿宋_GB2312"/>
          <w:sz w:val="32"/>
          <w:szCs w:val="32"/>
          <w:shd w:val="clear" w:color="auto" w:fill="FFFFFF"/>
        </w:rPr>
        <w:t>我乡认真制定了《黄庭乡扫黑除恶工作实施方案》，并积极组织实施。扫黑除恶宣传氛围浓厚，制作布幅标语60条幅，公路沿线挂道旗80余盏，流动宣传车巡回播放，发放宣传单4000余份。在全乡范围内进行摸排调查，并设立扫黑除恶举报箱10个，专门接受群众举报。</w:t>
      </w:r>
    </w:p>
    <w:p>
      <w:pPr>
        <w:spacing w:line="578" w:lineRule="exact"/>
        <w:ind w:firstLine="640" w:firstLineChars="200"/>
        <w:rPr>
          <w:rFonts w:ascii="仿宋_GB2312" w:eastAsia="仿宋_GB2312" w:cs="仿宋_GB2312"/>
          <w:kern w:val="0"/>
          <w:sz w:val="32"/>
          <w:szCs w:val="32"/>
        </w:rPr>
      </w:pPr>
      <w:r>
        <w:rPr>
          <w:rFonts w:hint="eastAsia" w:ascii="仿宋_GB2312" w:eastAsia="仿宋_GB2312" w:cs="仿宋_GB2312"/>
          <w:kern w:val="0"/>
          <w:sz w:val="32"/>
          <w:szCs w:val="32"/>
        </w:rPr>
        <w:t>5、发挥党建引领作用，全力打造过硬干部队伍</w:t>
      </w:r>
    </w:p>
    <w:p>
      <w:pPr>
        <w:spacing w:line="578" w:lineRule="exact"/>
        <w:ind w:firstLine="640" w:firstLineChars="200"/>
        <w:rPr>
          <w:rFonts w:ascii="仿宋_GB2312" w:eastAsia="仿宋_GB2312" w:cs="仿宋_GB2312"/>
          <w:sz w:val="32"/>
          <w:szCs w:val="32"/>
        </w:rPr>
      </w:pPr>
      <w:r>
        <w:rPr>
          <w:rFonts w:hint="eastAsia" w:ascii="仿宋_GB2312" w:eastAsia="仿宋_GB2312" w:cs="仿宋_GB2312"/>
          <w:bCs/>
          <w:kern w:val="0"/>
          <w:sz w:val="32"/>
          <w:szCs w:val="32"/>
        </w:rPr>
        <w:t>（1）加强政治理论学习，提升干部思想素质</w:t>
      </w:r>
      <w:r>
        <w:rPr>
          <w:rFonts w:hint="eastAsia" w:ascii="仿宋_GB2312" w:eastAsia="仿宋_GB2312" w:cs="仿宋_GB2312"/>
          <w:kern w:val="0"/>
          <w:sz w:val="32"/>
          <w:szCs w:val="32"/>
        </w:rPr>
        <w:t>。</w:t>
      </w:r>
      <w:r>
        <w:rPr>
          <w:rFonts w:hint="eastAsia" w:ascii="仿宋_GB2312" w:eastAsia="仿宋_GB2312" w:cs="仿宋_GB2312"/>
          <w:sz w:val="32"/>
          <w:szCs w:val="32"/>
        </w:rPr>
        <w:t>利用“三会一课”、党员活动日、交流学习的载体组织党员干部系统学习党的十九大和习近平总书记系列重要讲话精神、习近平总书记来川视察重要精神、省委十一届三次全会、市委四届六次全会、区委二届七次全会和“两条例一准则”等相关法律法规;同时还将各项学习内容贯穿于党员干部理论学习，贯穿于业务培训，推动思想教育及理论学习工作不断深入，教育引导党员干部进一步增强党性修养，增强宗旨意识。</w:t>
      </w:r>
    </w:p>
    <w:p>
      <w:pPr>
        <w:spacing w:line="578" w:lineRule="exact"/>
        <w:ind w:firstLine="640" w:firstLineChars="200"/>
        <w:rPr>
          <w:rFonts w:ascii="仿宋_GB2312" w:eastAsia="仿宋_GB2312" w:cs="仿宋_GB2312"/>
          <w:sz w:val="32"/>
          <w:szCs w:val="32"/>
        </w:rPr>
      </w:pPr>
      <w:r>
        <w:rPr>
          <w:rFonts w:hint="eastAsia" w:ascii="仿宋_GB2312" w:eastAsia="仿宋_GB2312" w:cs="仿宋_GB2312"/>
          <w:bCs/>
          <w:kern w:val="0"/>
          <w:sz w:val="32"/>
          <w:szCs w:val="32"/>
        </w:rPr>
        <w:t>（2）</w:t>
      </w:r>
      <w:r>
        <w:rPr>
          <w:rFonts w:hint="eastAsia" w:ascii="仿宋_GB2312" w:eastAsia="仿宋_GB2312" w:cs="仿宋_GB2312"/>
          <w:kern w:val="0"/>
          <w:sz w:val="32"/>
          <w:szCs w:val="32"/>
        </w:rPr>
        <w:t>加强组织建设，不断提高党建工作水平。</w:t>
      </w:r>
      <w:r>
        <w:rPr>
          <w:rFonts w:hint="eastAsia" w:ascii="仿宋_GB2312" w:eastAsia="仿宋_GB2312" w:cs="仿宋_GB2312"/>
          <w:sz w:val="32"/>
          <w:szCs w:val="32"/>
        </w:rPr>
        <w:t>一是坚持落实“三会一课”制度和民主生活会制度，深入开展好“六严六好”创建活动。二是加强对后备干部的培养，选派1名年轻党员干部跟班学习， 6名党员到乡村挂职第一书记，6人下乡开展精准扶贫工作。二是根据区委组织部有关要求，为不断提高党建工作水平，我处已落实1名专职党务工作人员。三是抓好党员发展，全年计划发展党员2名，现已被区委组织部批准发展2名。　</w:t>
      </w:r>
    </w:p>
    <w:p>
      <w:pPr>
        <w:spacing w:line="578"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(3)加强党风政风建设，全面提升政府新形象。巩固党的群众路线教育实践活动和</w:t>
      </w:r>
      <w:r>
        <w:rPr>
          <w:rFonts w:hint="eastAsia" w:ascii="仿宋_GB2312" w:eastAsia="仿宋_GB2312" w:cs="仿宋_GB2312"/>
          <w:sz w:val="32"/>
          <w:szCs w:val="32"/>
          <w:lang w:eastAsia="zh-CN"/>
        </w:rPr>
        <w:t>“三严三实”专题教育</w:t>
      </w:r>
      <w:r>
        <w:rPr>
          <w:rFonts w:hint="eastAsia" w:ascii="仿宋_GB2312" w:eastAsia="仿宋_GB2312" w:cs="仿宋_GB2312"/>
          <w:sz w:val="32"/>
          <w:szCs w:val="32"/>
        </w:rPr>
        <w:t>成果，继续扎实开展“两学一做”学习教育。依法行政，严格落实六权治本，全面推进政务公开，建立政府权力清单、责任清单和负面清单，认真落实党风廉政建设“一岗双责”责任制，认真履行两个责任，切实做到干部清正、政府清廉、政治清明。</w:t>
      </w:r>
    </w:p>
    <w:p>
      <w:pPr>
        <w:spacing w:line="578" w:lineRule="exact"/>
        <w:ind w:firstLine="640" w:firstLineChars="200"/>
        <w:rPr>
          <w:rFonts w:ascii="仿宋_GB2312" w:eastAsia="仿宋_GB2312" w:cs="仿宋_GB2312"/>
          <w:kern w:val="0"/>
          <w:sz w:val="32"/>
          <w:szCs w:val="32"/>
        </w:rPr>
      </w:pPr>
      <w:r>
        <w:rPr>
          <w:rFonts w:hint="eastAsia" w:ascii="仿宋_GB2312" w:eastAsia="仿宋_GB2312" w:cs="仿宋_GB2312"/>
          <w:kern w:val="0"/>
          <w:sz w:val="32"/>
          <w:szCs w:val="32"/>
        </w:rPr>
        <w:t>6、坚持问题导向，切实做好重点工作</w:t>
      </w:r>
    </w:p>
    <w:p>
      <w:pPr>
        <w:spacing w:line="578" w:lineRule="exact"/>
        <w:ind w:firstLine="640" w:firstLineChars="200"/>
        <w:rPr>
          <w:rFonts w:ascii="仿宋_GB2312" w:eastAsia="仿宋_GB2312" w:cs="仿宋_GB2312"/>
          <w:sz w:val="32"/>
          <w:szCs w:val="32"/>
          <w:shd w:val="clear" w:color="auto" w:fill="FFFFFF"/>
        </w:rPr>
      </w:pPr>
      <w:r>
        <w:rPr>
          <w:rFonts w:hint="eastAsia" w:ascii="仿宋_GB2312" w:eastAsia="仿宋_GB2312" w:cs="仿宋_GB2312"/>
          <w:sz w:val="32"/>
          <w:szCs w:val="32"/>
          <w:shd w:val="clear" w:color="auto" w:fill="FFFFFF"/>
        </w:rPr>
        <w:t>（1）两个贫困村自来水管网已全面竣工，并投入使用。</w:t>
      </w:r>
    </w:p>
    <w:p>
      <w:pPr>
        <w:spacing w:line="578" w:lineRule="exact"/>
        <w:ind w:firstLine="640" w:firstLineChars="200"/>
        <w:rPr>
          <w:rFonts w:ascii="仿宋_GB2312" w:eastAsia="仿宋_GB2312" w:cs="仿宋_GB2312"/>
          <w:sz w:val="32"/>
          <w:szCs w:val="32"/>
          <w:shd w:val="clear" w:color="auto" w:fill="FFFFFF"/>
        </w:rPr>
      </w:pPr>
      <w:r>
        <w:rPr>
          <w:rFonts w:hint="eastAsia" w:ascii="仿宋_GB2312" w:eastAsia="仿宋_GB2312" w:cs="仿宋_GB2312"/>
          <w:sz w:val="32"/>
          <w:szCs w:val="32"/>
          <w:shd w:val="clear" w:color="auto" w:fill="FFFFFF"/>
        </w:rPr>
        <w:t>（2）规划场镇停车场1处，目前正在筹建中。</w:t>
      </w:r>
    </w:p>
    <w:p>
      <w:pPr>
        <w:spacing w:line="578" w:lineRule="exact"/>
        <w:ind w:firstLine="640" w:firstLineChars="200"/>
        <w:rPr>
          <w:rFonts w:ascii="仿宋_GB2312" w:eastAsia="仿宋_GB2312" w:cs="仿宋_GB2312"/>
          <w:sz w:val="32"/>
          <w:szCs w:val="32"/>
          <w:shd w:val="clear" w:color="auto" w:fill="FFFFFF"/>
        </w:rPr>
      </w:pPr>
      <w:r>
        <w:rPr>
          <w:rFonts w:hint="eastAsia" w:ascii="仿宋_GB2312" w:eastAsia="仿宋_GB2312" w:cs="仿宋_GB2312"/>
          <w:sz w:val="32"/>
          <w:szCs w:val="32"/>
          <w:shd w:val="clear" w:color="auto" w:fill="FFFFFF"/>
        </w:rPr>
        <w:t>(3)各村成立了支贫助农小分队，在春播秋收季节帮助无劳动力贫困户家庭栽秧打谷。</w:t>
      </w:r>
    </w:p>
    <w:p>
      <w:pPr>
        <w:spacing w:line="578" w:lineRule="exact"/>
        <w:ind w:firstLine="640" w:firstLineChars="200"/>
        <w:rPr>
          <w:rFonts w:ascii="仿宋_GB2312" w:eastAsia="仿宋_GB2312" w:cs="仿宋_GB2312"/>
          <w:sz w:val="32"/>
          <w:szCs w:val="32"/>
          <w:shd w:val="clear" w:color="auto" w:fill="FFFFFF"/>
        </w:rPr>
      </w:pPr>
      <w:r>
        <w:rPr>
          <w:rFonts w:hint="eastAsia" w:ascii="仿宋_GB2312" w:eastAsia="仿宋_GB2312" w:cs="仿宋_GB2312"/>
          <w:sz w:val="32"/>
          <w:szCs w:val="32"/>
          <w:shd w:val="clear" w:color="auto" w:fill="FFFFFF"/>
        </w:rPr>
        <w:t>(4)扶贫集市，解决两个贫困村的农副产品交易，增加贫困户收入，每周星期五下午下班后，乡机关干部到集市购买所需农产品。</w:t>
      </w:r>
    </w:p>
    <w:p>
      <w:pPr>
        <w:spacing w:line="578" w:lineRule="exact"/>
        <w:ind w:firstLine="640" w:firstLineChars="200"/>
        <w:rPr>
          <w:rFonts w:ascii="仿宋_GB2312" w:eastAsia="仿宋_GB2312" w:cs="仿宋_GB2312"/>
          <w:sz w:val="32"/>
          <w:szCs w:val="32"/>
          <w:shd w:val="clear" w:color="auto" w:fill="FFFFFF"/>
        </w:rPr>
      </w:pPr>
      <w:r>
        <w:rPr>
          <w:rFonts w:hint="eastAsia" w:ascii="仿宋_GB2312" w:eastAsia="仿宋_GB2312" w:cs="仿宋_GB2312"/>
          <w:sz w:val="32"/>
          <w:szCs w:val="32"/>
          <w:shd w:val="clear" w:color="auto" w:fill="FFFFFF"/>
        </w:rPr>
        <w:t>(5)各村聘用了精准帮扶监督员，加强了帮扶责任人的监督，促进了脱贫攻坚工作的顺利开展。</w:t>
      </w:r>
    </w:p>
    <w:p>
      <w:pPr>
        <w:spacing w:line="578" w:lineRule="exact"/>
        <w:ind w:firstLine="640" w:firstLineChars="200"/>
        <w:rPr>
          <w:rFonts w:ascii="仿宋_GB2312" w:eastAsia="仿宋_GB2312" w:cs="仿宋_GB2312"/>
          <w:sz w:val="32"/>
          <w:szCs w:val="32"/>
          <w:shd w:val="clear" w:color="auto" w:fill="FFFFFF"/>
        </w:rPr>
      </w:pPr>
      <w:r>
        <w:rPr>
          <w:rFonts w:hint="eastAsia" w:ascii="仿宋_GB2312" w:eastAsia="仿宋_GB2312" w:cs="仿宋_GB2312"/>
          <w:sz w:val="32"/>
          <w:szCs w:val="32"/>
          <w:shd w:val="clear" w:color="auto" w:fill="FFFFFF"/>
        </w:rPr>
        <w:t>(6)修建“九龙湖”环湖路；贯通周家村至重庆市旅游景点（百里竹海）的道路，为旅游开发打下基础。</w:t>
      </w:r>
    </w:p>
    <w:p>
      <w:pPr>
        <w:spacing w:line="578" w:lineRule="exact"/>
        <w:ind w:firstLine="640" w:firstLineChars="200"/>
        <w:rPr>
          <w:rFonts w:ascii="仿宋_GB2312" w:eastAsia="仿宋_GB2312" w:cs="仿宋_GB2312"/>
          <w:sz w:val="32"/>
          <w:szCs w:val="32"/>
          <w:shd w:val="clear" w:color="auto" w:fill="FFFFFF"/>
        </w:rPr>
      </w:pPr>
      <w:r>
        <w:rPr>
          <w:rFonts w:hint="eastAsia" w:ascii="仿宋_GB2312" w:eastAsia="仿宋_GB2312" w:cs="仿宋_GB2312"/>
          <w:sz w:val="32"/>
          <w:szCs w:val="32"/>
          <w:shd w:val="clear" w:color="auto" w:fill="FFFFFF"/>
        </w:rPr>
        <w:t>(7)全乡共发展青花椒产业3800余亩，并完成了双石村青花椒深加工厂投产使用。</w:t>
      </w:r>
    </w:p>
    <w:p>
      <w:pPr>
        <w:pStyle w:val="3"/>
        <w:rPr>
          <w:rFonts w:ascii="黑体" w:eastAsia="黑体"/>
          <w:b w:val="0"/>
          <w:color w:val="000000"/>
        </w:rPr>
      </w:pPr>
    </w:p>
    <w:p>
      <w:pPr>
        <w:pStyle w:val="3"/>
        <w:rPr>
          <w:rFonts w:ascii="黑体" w:eastAsia="黑体"/>
          <w:b w:val="0"/>
          <w:color w:val="000000"/>
        </w:rPr>
      </w:pPr>
    </w:p>
    <w:p>
      <w:pPr>
        <w:pStyle w:val="3"/>
        <w:rPr>
          <w:rFonts w:ascii="黑体" w:eastAsia="黑体"/>
          <w:b w:val="0"/>
          <w:color w:val="000000"/>
        </w:rPr>
      </w:pPr>
      <w:r>
        <w:rPr>
          <w:rFonts w:hint="eastAsia" w:ascii="黑体" w:eastAsia="黑体"/>
          <w:b w:val="0"/>
          <w:color w:val="000000"/>
        </w:rPr>
        <w:t>二、机构设置</w:t>
      </w:r>
      <w:bookmarkEnd w:id="20"/>
      <w:bookmarkEnd w:id="21"/>
    </w:p>
    <w:p>
      <w:pPr>
        <w:pStyle w:val="5"/>
        <w:adjustRightInd w:val="0"/>
        <w:snapToGrid w:val="0"/>
        <w:spacing w:before="93" w:beforeLines="0" w:line="578" w:lineRule="exact"/>
        <w:ind w:firstLine="668" w:firstLineChars="209"/>
        <w:rPr>
          <w:color w:val="auto"/>
          <w:sz w:val="32"/>
          <w:szCs w:val="32"/>
          <w:highlight w:val="none"/>
        </w:rPr>
      </w:pPr>
      <w:r>
        <w:rPr>
          <w:rFonts w:hint="eastAsia"/>
          <w:sz w:val="32"/>
          <w:szCs w:val="32"/>
        </w:rPr>
        <w:t>黄庭乡下属二级单位4个，其中行政单位1个，其他事业单位3个。主要包括：达州市达川区黄庭乡人民政府、达州市达川区黄庭乡船</w:t>
      </w:r>
      <w:r>
        <w:rPr>
          <w:rFonts w:hint="eastAsia"/>
          <w:sz w:val="32"/>
          <w:szCs w:val="32"/>
          <w:lang w:eastAsia="zh-CN"/>
        </w:rPr>
        <w:t>舶安全生产管理站　</w:t>
      </w:r>
      <w:r>
        <w:rPr>
          <w:rFonts w:hint="eastAsia"/>
          <w:sz w:val="32"/>
          <w:szCs w:val="32"/>
        </w:rPr>
        <w:t>、</w:t>
      </w:r>
      <w:r>
        <w:rPr>
          <w:rFonts w:hint="eastAsia"/>
          <w:color w:val="auto"/>
          <w:sz w:val="32"/>
          <w:szCs w:val="32"/>
          <w:highlight w:val="none"/>
        </w:rPr>
        <w:t>达州市达川区</w:t>
      </w:r>
      <w:r>
        <w:rPr>
          <w:rFonts w:hint="eastAsia"/>
          <w:color w:val="auto"/>
          <w:sz w:val="32"/>
          <w:szCs w:val="32"/>
          <w:highlight w:val="none"/>
          <w:lang w:eastAsia="zh-CN"/>
        </w:rPr>
        <w:t>黄庭</w:t>
      </w:r>
      <w:r>
        <w:rPr>
          <w:rFonts w:hint="eastAsia"/>
          <w:color w:val="auto"/>
          <w:sz w:val="32"/>
          <w:szCs w:val="32"/>
          <w:highlight w:val="none"/>
        </w:rPr>
        <w:t>乡新闻出版和广播影视站、达州市达川区</w:t>
      </w:r>
      <w:r>
        <w:rPr>
          <w:rFonts w:hint="eastAsia"/>
          <w:color w:val="auto"/>
          <w:sz w:val="32"/>
          <w:szCs w:val="32"/>
          <w:highlight w:val="none"/>
          <w:lang w:eastAsia="zh-CN"/>
        </w:rPr>
        <w:t>黄庭</w:t>
      </w:r>
      <w:r>
        <w:rPr>
          <w:rFonts w:hint="eastAsia"/>
          <w:color w:val="auto"/>
          <w:sz w:val="32"/>
          <w:szCs w:val="32"/>
          <w:highlight w:val="none"/>
        </w:rPr>
        <w:t>乡社会事务（政务）服务中心。</w:t>
      </w:r>
    </w:p>
    <w:p>
      <w:pPr>
        <w:pStyle w:val="5"/>
        <w:adjustRightInd w:val="0"/>
        <w:snapToGrid w:val="0"/>
        <w:spacing w:before="93" w:beforeLines="0" w:line="578" w:lineRule="exact"/>
        <w:ind w:firstLine="668" w:firstLineChars="209"/>
        <w:rPr>
          <w:sz w:val="32"/>
          <w:szCs w:val="32"/>
        </w:rPr>
      </w:pPr>
    </w:p>
    <w:p>
      <w:pPr>
        <w:pStyle w:val="5"/>
        <w:adjustRightInd w:val="0"/>
        <w:snapToGrid w:val="0"/>
        <w:spacing w:before="93" w:beforeLines="0" w:line="578" w:lineRule="exact"/>
        <w:ind w:firstLine="640" w:firstLineChars="200"/>
        <w:rPr>
          <w:sz w:val="32"/>
          <w:szCs w:val="32"/>
        </w:rPr>
      </w:pPr>
    </w:p>
    <w:p>
      <w:pPr>
        <w:widowControl/>
        <w:spacing w:line="578" w:lineRule="exact"/>
        <w:jc w:val="left"/>
        <w:rPr>
          <w:rFonts w:ascii="仿宋_GB2312" w:eastAsia="仿宋_GB2312"/>
          <w:kern w:val="0"/>
          <w:sz w:val="32"/>
          <w:szCs w:val="32"/>
        </w:rPr>
      </w:pPr>
      <w:r>
        <w:rPr>
          <w:rFonts w:hint="eastAsia" w:ascii="仿宋_GB2312" w:eastAsia="仿宋_GB2312"/>
          <w:kern w:val="0"/>
          <w:sz w:val="32"/>
          <w:szCs w:val="32"/>
        </w:rPr>
        <w:br w:type="page"/>
      </w:r>
    </w:p>
    <w:p>
      <w:pPr>
        <w:pStyle w:val="2"/>
        <w:ind w:right="440"/>
        <w:jc w:val="right"/>
        <w:rPr>
          <w:rStyle w:val="16"/>
          <w:rFonts w:ascii="黑体" w:eastAsia="黑体"/>
          <w:b w:val="0"/>
          <w:bCs w:val="0"/>
        </w:rPr>
      </w:pPr>
      <w:bookmarkStart w:id="22" w:name="_Toc15377204"/>
      <w:bookmarkStart w:id="23" w:name="_Toc15396602"/>
      <w:r>
        <w:rPr>
          <w:rFonts w:hint="eastAsia" w:ascii="黑体" w:eastAsia="黑体"/>
          <w:b w:val="0"/>
          <w:color w:val="000000"/>
        </w:rPr>
        <w:t>第二部分</w:t>
      </w:r>
      <w:r>
        <w:rPr>
          <w:rStyle w:val="16"/>
          <w:rFonts w:hint="eastAsia" w:ascii="黑体" w:eastAsia="黑体"/>
          <w:b w:val="0"/>
          <w:bCs w:val="0"/>
        </w:rPr>
        <w:t>2018年度部门决算情况说明</w:t>
      </w:r>
      <w:bookmarkEnd w:id="22"/>
      <w:bookmarkEnd w:id="23"/>
    </w:p>
    <w:p/>
    <w:p>
      <w:pPr>
        <w:pStyle w:val="22"/>
        <w:numPr>
          <w:ilvl w:val="0"/>
          <w:numId w:val="1"/>
        </w:numPr>
        <w:spacing w:line="600" w:lineRule="exact"/>
        <w:ind w:firstLineChars="0"/>
        <w:outlineLvl w:val="1"/>
        <w:rPr>
          <w:rStyle w:val="17"/>
          <w:rFonts w:ascii="黑体" w:eastAsia="黑体"/>
          <w:b w:val="0"/>
        </w:rPr>
      </w:pPr>
      <w:bookmarkStart w:id="24" w:name="_Toc15396603"/>
      <w:bookmarkStart w:id="25" w:name="_Toc15377205"/>
      <w:r>
        <w:rPr>
          <w:rFonts w:hint="eastAsia" w:ascii="黑体" w:eastAsia="黑体"/>
          <w:color w:val="000000"/>
          <w:sz w:val="32"/>
          <w:szCs w:val="32"/>
        </w:rPr>
        <w:t>收</w:t>
      </w:r>
      <w:r>
        <w:rPr>
          <w:rStyle w:val="17"/>
          <w:rFonts w:hint="eastAsia" w:ascii="黑体" w:eastAsia="黑体"/>
          <w:b w:val="0"/>
        </w:rPr>
        <w:t>入支出决算总体情况说明</w:t>
      </w:r>
      <w:bookmarkEnd w:id="24"/>
      <w:bookmarkEnd w:id="25"/>
    </w:p>
    <w:p>
      <w:pPr>
        <w:spacing w:line="600" w:lineRule="exact"/>
        <w:ind w:firstLine="640" w:firstLineChars="200"/>
        <w:rPr>
          <w:rFonts w:ascii="仿宋_GB2312" w:hAnsi="仿宋_GB2312" w:eastAsia="仿宋"/>
          <w:color w:val="000000"/>
          <w:sz w:val="32"/>
          <w:szCs w:val="32"/>
        </w:rPr>
      </w:pPr>
      <w:r>
        <w:rPr>
          <w:rFonts w:hint="eastAsia" w:ascii="仿宋" w:eastAsia="仿宋"/>
          <w:color w:val="000000"/>
          <w:sz w:val="32"/>
          <w:szCs w:val="32"/>
        </w:rPr>
        <w:t>2018年度收、支总计891.74万元。与2017年相比，收、支总计各增加36.46万元，上升4.26</w:t>
      </w:r>
      <w:r>
        <w:rPr>
          <w:rFonts w:ascii="仿宋" w:eastAsia="仿宋"/>
          <w:color w:val="000000"/>
          <w:sz w:val="32"/>
          <w:szCs w:val="32"/>
        </w:rPr>
        <w:t>%</w:t>
      </w:r>
      <w:r>
        <w:rPr>
          <w:rFonts w:hint="eastAsia" w:ascii="仿宋" w:eastAsia="仿宋"/>
          <w:color w:val="000000"/>
          <w:sz w:val="32"/>
          <w:szCs w:val="32"/>
        </w:rPr>
        <w:t>。主要变动原因是项目收入、支出增加。</w:t>
      </w:r>
    </w:p>
    <w:p>
      <w:pPr>
        <w:pStyle w:val="22"/>
        <w:numPr>
          <w:ilvl w:val="0"/>
          <w:numId w:val="1"/>
        </w:numPr>
        <w:spacing w:line="600" w:lineRule="exact"/>
        <w:ind w:firstLineChars="0"/>
        <w:outlineLvl w:val="1"/>
        <w:rPr>
          <w:rStyle w:val="17"/>
          <w:rFonts w:ascii="黑体" w:eastAsia="黑体"/>
          <w:b w:val="0"/>
        </w:rPr>
      </w:pPr>
      <w:bookmarkStart w:id="26" w:name="_Toc15377206"/>
      <w:bookmarkStart w:id="27" w:name="_Toc15396604"/>
      <w:r>
        <w:rPr>
          <w:rFonts w:hint="eastAsia" w:ascii="黑体" w:eastAsia="黑体"/>
          <w:color w:val="000000"/>
          <w:sz w:val="32"/>
          <w:szCs w:val="32"/>
        </w:rPr>
        <w:t>收</w:t>
      </w:r>
      <w:r>
        <w:rPr>
          <w:rStyle w:val="17"/>
          <w:rFonts w:hint="eastAsia" w:ascii="黑体" w:eastAsia="黑体"/>
          <w:b w:val="0"/>
        </w:rPr>
        <w:t>入决算情况说明</w:t>
      </w:r>
      <w:bookmarkEnd w:id="26"/>
      <w:bookmarkEnd w:id="27"/>
    </w:p>
    <w:p>
      <w:pPr>
        <w:spacing w:line="600" w:lineRule="exact"/>
        <w:ind w:firstLine="640" w:firstLineChars="200"/>
        <w:outlineLvl w:val="1"/>
        <w:rPr>
          <w:rFonts w:ascii="仿宋" w:eastAsia="仿宋"/>
          <w:color w:val="000000"/>
          <w:sz w:val="32"/>
          <w:szCs w:val="32"/>
        </w:rPr>
      </w:pPr>
      <w:r>
        <w:rPr>
          <w:rFonts w:ascii="仿宋" w:eastAsia="仿宋"/>
          <w:color w:val="000000"/>
          <w:sz w:val="32"/>
          <w:szCs w:val="32"/>
        </w:rPr>
        <w:t>201</w:t>
      </w:r>
      <w:r>
        <w:rPr>
          <w:rFonts w:hint="eastAsia" w:ascii="仿宋" w:eastAsia="仿宋"/>
          <w:color w:val="000000"/>
          <w:sz w:val="32"/>
          <w:szCs w:val="32"/>
        </w:rPr>
        <w:t>8年本年收入合计891.74万元，其中：一般公共预算财政拨款收入870.74万元，占97.65</w:t>
      </w:r>
      <w:r>
        <w:rPr>
          <w:rFonts w:ascii="仿宋" w:eastAsia="仿宋"/>
          <w:color w:val="000000"/>
          <w:sz w:val="32"/>
          <w:szCs w:val="32"/>
        </w:rPr>
        <w:t>%</w:t>
      </w:r>
      <w:r>
        <w:rPr>
          <w:rFonts w:hint="eastAsia" w:ascii="仿宋" w:eastAsia="仿宋"/>
          <w:color w:val="000000"/>
          <w:sz w:val="32"/>
          <w:szCs w:val="32"/>
        </w:rPr>
        <w:t>；政府性基金预算财政拨款收入21万元，占2.35</w:t>
      </w:r>
      <w:r>
        <w:rPr>
          <w:rFonts w:ascii="仿宋" w:eastAsia="仿宋"/>
          <w:color w:val="000000"/>
          <w:sz w:val="32"/>
          <w:szCs w:val="32"/>
        </w:rPr>
        <w:t>%</w:t>
      </w:r>
      <w:r>
        <w:rPr>
          <w:rFonts w:hint="eastAsia" w:ascii="仿宋" w:eastAsia="仿宋"/>
          <w:color w:val="000000"/>
          <w:sz w:val="32"/>
          <w:szCs w:val="32"/>
        </w:rPr>
        <w:t>；国有资本经营预算财政拨款收入0万元，占0</w:t>
      </w:r>
      <w:r>
        <w:rPr>
          <w:rFonts w:ascii="仿宋" w:eastAsia="仿宋"/>
          <w:color w:val="000000"/>
          <w:sz w:val="32"/>
          <w:szCs w:val="32"/>
        </w:rPr>
        <w:t>%</w:t>
      </w:r>
      <w:r>
        <w:rPr>
          <w:rFonts w:hint="eastAsia" w:ascii="仿宋" w:eastAsia="仿宋"/>
          <w:color w:val="000000"/>
          <w:sz w:val="32"/>
          <w:szCs w:val="32"/>
        </w:rPr>
        <w:t>；事业收入0万元，占0</w:t>
      </w:r>
      <w:r>
        <w:rPr>
          <w:rFonts w:ascii="仿宋" w:eastAsia="仿宋"/>
          <w:color w:val="000000"/>
          <w:sz w:val="32"/>
          <w:szCs w:val="32"/>
        </w:rPr>
        <w:t>%</w:t>
      </w:r>
      <w:r>
        <w:rPr>
          <w:rFonts w:hint="eastAsia" w:ascii="仿宋" w:eastAsia="仿宋"/>
          <w:color w:val="000000"/>
          <w:sz w:val="32"/>
          <w:szCs w:val="32"/>
        </w:rPr>
        <w:t>；经营收入0万元，占0</w:t>
      </w:r>
      <w:r>
        <w:rPr>
          <w:rFonts w:ascii="仿宋" w:eastAsia="仿宋"/>
          <w:color w:val="000000"/>
          <w:sz w:val="32"/>
          <w:szCs w:val="32"/>
        </w:rPr>
        <w:t>%</w:t>
      </w:r>
      <w:r>
        <w:rPr>
          <w:rFonts w:hint="eastAsia" w:ascii="仿宋" w:eastAsia="仿宋"/>
          <w:color w:val="000000"/>
          <w:sz w:val="32"/>
          <w:szCs w:val="32"/>
        </w:rPr>
        <w:t>；附属单位上缴收入0万元，占0</w:t>
      </w:r>
      <w:r>
        <w:rPr>
          <w:rFonts w:ascii="仿宋" w:eastAsia="仿宋"/>
          <w:color w:val="000000"/>
          <w:sz w:val="32"/>
          <w:szCs w:val="32"/>
        </w:rPr>
        <w:t>%</w:t>
      </w:r>
      <w:r>
        <w:rPr>
          <w:rFonts w:hint="eastAsia" w:ascii="仿宋" w:eastAsia="仿宋"/>
          <w:color w:val="000000"/>
          <w:sz w:val="32"/>
          <w:szCs w:val="32"/>
        </w:rPr>
        <w:t>；其他收入0万元，占0</w:t>
      </w:r>
      <w:r>
        <w:rPr>
          <w:rFonts w:ascii="仿宋" w:eastAsia="仿宋"/>
          <w:color w:val="000000"/>
          <w:sz w:val="32"/>
          <w:szCs w:val="32"/>
        </w:rPr>
        <w:t>%</w:t>
      </w:r>
      <w:r>
        <w:rPr>
          <w:rFonts w:hint="eastAsia" w:ascii="仿宋" w:eastAsia="仿宋"/>
          <w:color w:val="000000"/>
          <w:sz w:val="32"/>
          <w:szCs w:val="32"/>
        </w:rPr>
        <w:t>。</w:t>
      </w:r>
    </w:p>
    <w:p>
      <w:pPr>
        <w:pStyle w:val="22"/>
        <w:numPr>
          <w:ilvl w:val="0"/>
          <w:numId w:val="1"/>
        </w:numPr>
        <w:spacing w:line="600" w:lineRule="exact"/>
        <w:ind w:firstLineChars="0"/>
        <w:outlineLvl w:val="1"/>
        <w:rPr>
          <w:rStyle w:val="17"/>
          <w:rFonts w:ascii="黑体" w:eastAsia="黑体"/>
          <w:b w:val="0"/>
        </w:rPr>
      </w:pPr>
      <w:bookmarkStart w:id="28" w:name="_Toc15377207"/>
      <w:bookmarkStart w:id="29" w:name="_Toc15396605"/>
      <w:r>
        <w:rPr>
          <w:rFonts w:hint="eastAsia" w:ascii="黑体" w:eastAsia="黑体"/>
          <w:color w:val="000000"/>
          <w:sz w:val="32"/>
          <w:szCs w:val="32"/>
        </w:rPr>
        <w:t>支</w:t>
      </w:r>
      <w:r>
        <w:rPr>
          <w:rStyle w:val="17"/>
          <w:rFonts w:hint="eastAsia" w:ascii="黑体" w:eastAsia="黑体"/>
          <w:b w:val="0"/>
        </w:rPr>
        <w:t>出决算情况说明</w:t>
      </w:r>
      <w:bookmarkEnd w:id="28"/>
      <w:bookmarkEnd w:id="29"/>
    </w:p>
    <w:p>
      <w:pPr>
        <w:spacing w:line="600" w:lineRule="exact"/>
        <w:ind w:firstLine="640"/>
        <w:rPr>
          <w:rFonts w:ascii="仿宋" w:eastAsia="仿宋"/>
          <w:color w:val="000000"/>
          <w:sz w:val="32"/>
          <w:szCs w:val="32"/>
          <w:shd w:val="pct10" w:color="auto" w:fill="FFFFFF"/>
        </w:rPr>
      </w:pPr>
      <w:r>
        <w:rPr>
          <w:rFonts w:ascii="仿宋" w:eastAsia="仿宋"/>
          <w:color w:val="000000"/>
          <w:sz w:val="32"/>
          <w:szCs w:val="32"/>
        </w:rPr>
        <w:t>201</w:t>
      </w:r>
      <w:r>
        <w:rPr>
          <w:rFonts w:hint="eastAsia" w:ascii="仿宋" w:eastAsia="仿宋"/>
          <w:color w:val="000000"/>
          <w:sz w:val="32"/>
          <w:szCs w:val="32"/>
        </w:rPr>
        <w:t>8年本年支出合计891.74万元，其中：基本支出677.66万元，占75.99</w:t>
      </w:r>
      <w:r>
        <w:rPr>
          <w:rFonts w:ascii="仿宋" w:eastAsia="仿宋"/>
          <w:color w:val="000000"/>
          <w:sz w:val="32"/>
          <w:szCs w:val="32"/>
        </w:rPr>
        <w:t>%</w:t>
      </w:r>
      <w:r>
        <w:rPr>
          <w:rFonts w:hint="eastAsia" w:ascii="仿宋" w:eastAsia="仿宋"/>
          <w:color w:val="000000"/>
          <w:sz w:val="32"/>
          <w:szCs w:val="32"/>
        </w:rPr>
        <w:t>；项目支出214.08万元，占24.01</w:t>
      </w:r>
      <w:r>
        <w:rPr>
          <w:rFonts w:ascii="仿宋" w:eastAsia="仿宋"/>
          <w:color w:val="000000"/>
          <w:sz w:val="32"/>
          <w:szCs w:val="32"/>
        </w:rPr>
        <w:t>%</w:t>
      </w:r>
      <w:r>
        <w:rPr>
          <w:rFonts w:hint="eastAsia" w:ascii="仿宋" w:eastAsia="仿宋"/>
          <w:color w:val="000000"/>
          <w:sz w:val="32"/>
          <w:szCs w:val="32"/>
        </w:rPr>
        <w:t>；上缴上级支出0万元，占0</w:t>
      </w:r>
      <w:r>
        <w:rPr>
          <w:rFonts w:ascii="仿宋" w:eastAsia="仿宋"/>
          <w:color w:val="000000"/>
          <w:sz w:val="32"/>
          <w:szCs w:val="32"/>
        </w:rPr>
        <w:t>%</w:t>
      </w:r>
      <w:r>
        <w:rPr>
          <w:rFonts w:hint="eastAsia" w:ascii="仿宋" w:eastAsia="仿宋"/>
          <w:color w:val="000000"/>
          <w:sz w:val="32"/>
          <w:szCs w:val="32"/>
        </w:rPr>
        <w:t>；经营支出0万元，占0</w:t>
      </w:r>
      <w:r>
        <w:rPr>
          <w:rFonts w:ascii="仿宋" w:eastAsia="仿宋"/>
          <w:color w:val="000000"/>
          <w:sz w:val="32"/>
          <w:szCs w:val="32"/>
        </w:rPr>
        <w:t>%</w:t>
      </w:r>
      <w:r>
        <w:rPr>
          <w:rFonts w:hint="eastAsia" w:ascii="仿宋" w:eastAsia="仿宋"/>
          <w:color w:val="000000"/>
          <w:sz w:val="32"/>
          <w:szCs w:val="32"/>
        </w:rPr>
        <w:t>；对附属单位补助支出0万元，占0</w:t>
      </w:r>
      <w:r>
        <w:rPr>
          <w:rFonts w:ascii="仿宋" w:eastAsia="仿宋"/>
          <w:color w:val="000000"/>
          <w:sz w:val="32"/>
          <w:szCs w:val="32"/>
        </w:rPr>
        <w:t>%</w:t>
      </w:r>
      <w:r>
        <w:rPr>
          <w:rFonts w:hint="eastAsia" w:ascii="仿宋" w:eastAsia="仿宋"/>
          <w:color w:val="000000"/>
          <w:sz w:val="32"/>
          <w:szCs w:val="32"/>
        </w:rPr>
        <w:t>。</w:t>
      </w:r>
    </w:p>
    <w:p>
      <w:pPr>
        <w:spacing w:line="600" w:lineRule="exact"/>
        <w:ind w:firstLine="640" w:firstLineChars="200"/>
        <w:outlineLvl w:val="1"/>
        <w:rPr>
          <w:rStyle w:val="17"/>
          <w:rFonts w:ascii="黑体" w:eastAsia="黑体"/>
          <w:b w:val="0"/>
        </w:rPr>
      </w:pPr>
      <w:bookmarkStart w:id="30" w:name="_Toc15377208"/>
      <w:bookmarkStart w:id="31" w:name="_Toc15396606"/>
      <w:r>
        <w:rPr>
          <w:rFonts w:hint="eastAsia" w:ascii="黑体" w:eastAsia="黑体"/>
          <w:color w:val="000000"/>
          <w:sz w:val="32"/>
          <w:szCs w:val="32"/>
        </w:rPr>
        <w:t>四、财</w:t>
      </w:r>
      <w:r>
        <w:rPr>
          <w:rStyle w:val="17"/>
          <w:rFonts w:hint="eastAsia" w:ascii="黑体" w:eastAsia="黑体"/>
          <w:b w:val="0"/>
        </w:rPr>
        <w:t>政拨款收入支出决算总体情况说明</w:t>
      </w:r>
      <w:bookmarkEnd w:id="30"/>
      <w:bookmarkEnd w:id="31"/>
    </w:p>
    <w:p>
      <w:pPr>
        <w:spacing w:line="600" w:lineRule="exact"/>
        <w:ind w:firstLine="640" w:firstLineChars="200"/>
        <w:rPr>
          <w:rFonts w:ascii="仿宋_GB2312" w:hAnsi="仿宋_GB2312" w:eastAsia="仿宋"/>
          <w:color w:val="000000"/>
          <w:sz w:val="32"/>
          <w:szCs w:val="32"/>
        </w:rPr>
      </w:pPr>
      <w:r>
        <w:rPr>
          <w:rFonts w:ascii="仿宋" w:eastAsia="仿宋"/>
          <w:color w:val="000000"/>
          <w:sz w:val="32"/>
          <w:szCs w:val="32"/>
        </w:rPr>
        <w:t>201</w:t>
      </w:r>
      <w:r>
        <w:rPr>
          <w:rFonts w:hint="eastAsia" w:ascii="仿宋" w:eastAsia="仿宋"/>
          <w:color w:val="000000"/>
          <w:sz w:val="32"/>
          <w:szCs w:val="32"/>
        </w:rPr>
        <w:t>8年财政拨款收、支总计891.74万元。与</w:t>
      </w:r>
      <w:r>
        <w:rPr>
          <w:rFonts w:ascii="仿宋" w:eastAsia="仿宋"/>
          <w:color w:val="000000"/>
          <w:sz w:val="32"/>
          <w:szCs w:val="32"/>
        </w:rPr>
        <w:t>201</w:t>
      </w:r>
      <w:r>
        <w:rPr>
          <w:rFonts w:hint="eastAsia" w:ascii="仿宋" w:eastAsia="仿宋"/>
          <w:color w:val="000000"/>
          <w:sz w:val="32"/>
          <w:szCs w:val="32"/>
        </w:rPr>
        <w:t>7年相比，财政拨款收、支总计各增加36.46万元，上升4.26</w:t>
      </w:r>
      <w:r>
        <w:rPr>
          <w:rFonts w:ascii="仿宋" w:eastAsia="仿宋"/>
          <w:color w:val="000000"/>
          <w:sz w:val="32"/>
          <w:szCs w:val="32"/>
        </w:rPr>
        <w:t>%</w:t>
      </w:r>
      <w:r>
        <w:rPr>
          <w:rFonts w:hint="eastAsia" w:ascii="仿宋" w:eastAsia="仿宋"/>
          <w:color w:val="000000"/>
          <w:sz w:val="32"/>
          <w:szCs w:val="32"/>
        </w:rPr>
        <w:t>。主要变动原因是项目收入、支出增加。</w:t>
      </w:r>
    </w:p>
    <w:p>
      <w:pPr>
        <w:spacing w:line="600" w:lineRule="exact"/>
        <w:ind w:firstLine="640" w:firstLineChars="200"/>
        <w:outlineLvl w:val="1"/>
        <w:rPr>
          <w:rStyle w:val="17"/>
          <w:rFonts w:ascii="黑体" w:eastAsia="黑体"/>
          <w:b w:val="0"/>
        </w:rPr>
      </w:pPr>
      <w:bookmarkStart w:id="32" w:name="_Toc15396607"/>
      <w:bookmarkStart w:id="33" w:name="_Toc15377209"/>
      <w:r>
        <w:rPr>
          <w:rFonts w:hint="eastAsia" w:ascii="黑体" w:eastAsia="黑体"/>
          <w:color w:val="000000"/>
          <w:sz w:val="32"/>
          <w:szCs w:val="32"/>
        </w:rPr>
        <w:t>五、</w:t>
      </w:r>
      <w:r>
        <w:rPr>
          <w:rFonts w:hint="eastAsia" w:ascii="黑体" w:eastAsia="黑体"/>
          <w:b/>
          <w:color w:val="000000"/>
          <w:sz w:val="32"/>
          <w:szCs w:val="32"/>
        </w:rPr>
        <w:t>一</w:t>
      </w:r>
      <w:r>
        <w:rPr>
          <w:rStyle w:val="17"/>
          <w:rFonts w:hint="eastAsia" w:ascii="黑体" w:eastAsia="黑体"/>
          <w:b w:val="0"/>
        </w:rPr>
        <w:t>般公共预算财政拨款支出决算情况说明</w:t>
      </w:r>
      <w:bookmarkEnd w:id="32"/>
      <w:bookmarkEnd w:id="33"/>
    </w:p>
    <w:p>
      <w:pPr>
        <w:spacing w:line="600" w:lineRule="exact"/>
        <w:ind w:firstLine="643" w:firstLineChars="200"/>
        <w:outlineLvl w:val="2"/>
        <w:rPr>
          <w:rFonts w:ascii="仿宋" w:eastAsia="仿宋"/>
          <w:b/>
          <w:color w:val="000000"/>
          <w:sz w:val="32"/>
          <w:szCs w:val="32"/>
        </w:rPr>
      </w:pPr>
      <w:bookmarkStart w:id="34" w:name="_Toc15377210"/>
      <w:r>
        <w:rPr>
          <w:rFonts w:hint="eastAsia" w:ascii="仿宋" w:eastAsia="仿宋"/>
          <w:b/>
          <w:color w:val="000000"/>
          <w:sz w:val="32"/>
          <w:szCs w:val="32"/>
        </w:rPr>
        <w:t>（一）一般公共预算财政拨款支出决算总体情况</w:t>
      </w:r>
      <w:bookmarkEnd w:id="34"/>
    </w:p>
    <w:p>
      <w:pPr>
        <w:spacing w:line="600" w:lineRule="exact"/>
        <w:ind w:firstLine="640" w:firstLineChars="200"/>
        <w:rPr>
          <w:rFonts w:ascii="仿宋" w:eastAsia="仿宋"/>
          <w:color w:val="000000"/>
          <w:sz w:val="32"/>
          <w:szCs w:val="32"/>
        </w:rPr>
      </w:pPr>
      <w:r>
        <w:rPr>
          <w:rFonts w:ascii="仿宋" w:eastAsia="仿宋"/>
          <w:color w:val="000000"/>
          <w:sz w:val="32"/>
          <w:szCs w:val="32"/>
        </w:rPr>
        <w:t>201</w:t>
      </w:r>
      <w:r>
        <w:rPr>
          <w:rFonts w:hint="eastAsia" w:ascii="仿宋" w:eastAsia="仿宋"/>
          <w:color w:val="000000"/>
          <w:sz w:val="32"/>
          <w:szCs w:val="32"/>
        </w:rPr>
        <w:t>8年一般公共预算财政拨款支出870.74万元，占本年支出合计的97.65</w:t>
      </w:r>
      <w:r>
        <w:rPr>
          <w:rFonts w:ascii="仿宋" w:eastAsia="仿宋"/>
          <w:color w:val="000000"/>
          <w:sz w:val="32"/>
          <w:szCs w:val="32"/>
        </w:rPr>
        <w:t>%</w:t>
      </w:r>
      <w:r>
        <w:rPr>
          <w:rFonts w:hint="eastAsia" w:ascii="仿宋" w:eastAsia="仿宋"/>
          <w:color w:val="000000"/>
          <w:sz w:val="32"/>
          <w:szCs w:val="32"/>
        </w:rPr>
        <w:t>。与</w:t>
      </w:r>
      <w:r>
        <w:rPr>
          <w:rFonts w:ascii="仿宋" w:eastAsia="仿宋"/>
          <w:color w:val="000000"/>
          <w:sz w:val="32"/>
          <w:szCs w:val="32"/>
        </w:rPr>
        <w:t>201</w:t>
      </w:r>
      <w:r>
        <w:rPr>
          <w:rFonts w:hint="eastAsia" w:ascii="仿宋" w:eastAsia="仿宋"/>
          <w:color w:val="000000"/>
          <w:sz w:val="32"/>
          <w:szCs w:val="32"/>
        </w:rPr>
        <w:t>7年相比，一般公共预算财政拨款增加30.46万元，上升3.62</w:t>
      </w:r>
      <w:r>
        <w:rPr>
          <w:rFonts w:ascii="仿宋" w:eastAsia="仿宋"/>
          <w:color w:val="000000"/>
          <w:sz w:val="32"/>
          <w:szCs w:val="32"/>
        </w:rPr>
        <w:t>%</w:t>
      </w:r>
      <w:r>
        <w:rPr>
          <w:rFonts w:hint="eastAsia" w:ascii="仿宋" w:eastAsia="仿宋"/>
          <w:color w:val="000000"/>
          <w:sz w:val="32"/>
          <w:szCs w:val="32"/>
        </w:rPr>
        <w:t>。</w:t>
      </w:r>
    </w:p>
    <w:p>
      <w:pPr>
        <w:spacing w:line="600" w:lineRule="exact"/>
        <w:ind w:firstLine="643" w:firstLineChars="200"/>
        <w:outlineLvl w:val="2"/>
        <w:rPr>
          <w:rFonts w:ascii="仿宋" w:eastAsia="仿宋"/>
          <w:b/>
          <w:color w:val="000000"/>
          <w:sz w:val="32"/>
          <w:szCs w:val="32"/>
        </w:rPr>
      </w:pPr>
      <w:bookmarkStart w:id="35" w:name="_Toc15377211"/>
      <w:r>
        <w:rPr>
          <w:rFonts w:hint="eastAsia" w:ascii="仿宋" w:eastAsia="仿宋"/>
          <w:b/>
          <w:color w:val="000000"/>
          <w:sz w:val="32"/>
          <w:szCs w:val="32"/>
        </w:rPr>
        <w:t>（二）一般公共预算财政拨款支出决算结构情况</w:t>
      </w:r>
      <w:bookmarkEnd w:id="35"/>
    </w:p>
    <w:p>
      <w:pPr>
        <w:spacing w:line="600" w:lineRule="exact"/>
        <w:ind w:firstLine="640"/>
        <w:rPr>
          <w:rFonts w:ascii="仿宋_GB2312" w:eastAsia="仿宋_GB2312"/>
          <w:color w:val="000000"/>
          <w:sz w:val="32"/>
          <w:szCs w:val="32"/>
        </w:rPr>
      </w:pPr>
      <w:r>
        <w:rPr>
          <w:rFonts w:ascii="仿宋" w:eastAsia="仿宋"/>
          <w:color w:val="000000"/>
          <w:sz w:val="32"/>
          <w:szCs w:val="32"/>
        </w:rPr>
        <w:t>201</w:t>
      </w:r>
      <w:r>
        <w:rPr>
          <w:rFonts w:hint="eastAsia" w:ascii="仿宋" w:eastAsia="仿宋"/>
          <w:color w:val="000000"/>
          <w:sz w:val="32"/>
          <w:szCs w:val="32"/>
        </w:rPr>
        <w:t>8年一般公共预算财政拨款支出870.74万元，</w:t>
      </w:r>
      <w:r>
        <w:rPr>
          <w:rFonts w:hint="eastAsia" w:ascii="仿宋_GB2312" w:eastAsia="仿宋_GB2312"/>
          <w:color w:val="000000"/>
          <w:sz w:val="32"/>
          <w:szCs w:val="32"/>
        </w:rPr>
        <w:t>主要用于以下方面:一般公共服务支出354.19万元，占40.68%；文化体育与传媒支出24.34万元，占2.79%；社会保障和就业支出164.16万元，占18.85%；医疗卫生支出28.49万元，占3.27%；城乡社区支出21.65万元，占2.48%；农林水支出220.59万元，占25.33%；交通运输支出8.11万元，占0.93%；住房保障支出19.21万元，占2.21%；其他支出30万元，占3.46%。</w:t>
      </w:r>
    </w:p>
    <w:p>
      <w:pPr>
        <w:spacing w:line="600" w:lineRule="exact"/>
        <w:ind w:firstLine="643" w:firstLineChars="200"/>
        <w:outlineLvl w:val="2"/>
        <w:rPr>
          <w:rFonts w:ascii="仿宋" w:eastAsia="仿宋"/>
          <w:b/>
          <w:color w:val="000000"/>
          <w:sz w:val="32"/>
          <w:szCs w:val="32"/>
        </w:rPr>
      </w:pPr>
      <w:bookmarkStart w:id="36" w:name="_Toc15377212"/>
      <w:r>
        <w:rPr>
          <w:rFonts w:hint="eastAsia" w:ascii="仿宋" w:eastAsia="仿宋"/>
          <w:b/>
          <w:color w:val="000000"/>
          <w:sz w:val="32"/>
          <w:szCs w:val="32"/>
        </w:rPr>
        <w:t>（三）一般公共预算财政拨款支出决算具体情况</w:t>
      </w:r>
      <w:bookmarkEnd w:id="36"/>
    </w:p>
    <w:p>
      <w:pPr>
        <w:spacing w:line="600" w:lineRule="exact"/>
        <w:ind w:firstLine="643" w:firstLineChars="200"/>
        <w:outlineLvl w:val="2"/>
        <w:rPr>
          <w:rFonts w:ascii="仿宋" w:eastAsia="仿宋"/>
          <w:color w:val="FF0000"/>
          <w:sz w:val="32"/>
          <w:szCs w:val="32"/>
        </w:rPr>
      </w:pPr>
      <w:bookmarkStart w:id="37" w:name="_Toc15377444"/>
      <w:bookmarkStart w:id="38" w:name="_Toc15377213"/>
      <w:bookmarkStart w:id="39" w:name="_Toc15378460"/>
      <w:r>
        <w:rPr>
          <w:rFonts w:hint="eastAsia" w:ascii="仿宋" w:eastAsia="仿宋"/>
          <w:b/>
          <w:color w:val="000000"/>
          <w:sz w:val="32"/>
          <w:szCs w:val="32"/>
        </w:rPr>
        <w:t>2018年一般公共预算支出决算数为870.74万元</w:t>
      </w:r>
      <w:r>
        <w:rPr>
          <w:rFonts w:hint="eastAsia" w:ascii="仿宋" w:eastAsia="仿宋"/>
          <w:color w:val="000000"/>
          <w:sz w:val="32"/>
          <w:szCs w:val="32"/>
        </w:rPr>
        <w:t>，</w:t>
      </w:r>
      <w:r>
        <w:rPr>
          <w:rStyle w:val="14"/>
          <w:rFonts w:hint="eastAsia" w:ascii="仿宋" w:eastAsia="仿宋"/>
          <w:bCs/>
          <w:color w:val="000000"/>
          <w:sz w:val="32"/>
          <w:szCs w:val="32"/>
        </w:rPr>
        <w:t>完成预算100</w:t>
      </w:r>
      <w:r>
        <w:rPr>
          <w:rStyle w:val="14"/>
          <w:rFonts w:ascii="仿宋" w:eastAsia="仿宋"/>
          <w:bCs/>
          <w:color w:val="000000"/>
          <w:sz w:val="32"/>
          <w:szCs w:val="32"/>
        </w:rPr>
        <w:t>%</w:t>
      </w:r>
      <w:r>
        <w:rPr>
          <w:rStyle w:val="14"/>
          <w:rFonts w:hint="eastAsia" w:ascii="仿宋" w:eastAsia="仿宋"/>
          <w:bCs/>
          <w:color w:val="000000"/>
          <w:sz w:val="32"/>
          <w:szCs w:val="32"/>
        </w:rPr>
        <w:t>。其中：</w:t>
      </w:r>
      <w:bookmarkEnd w:id="37"/>
      <w:bookmarkEnd w:id="38"/>
      <w:bookmarkEnd w:id="39"/>
    </w:p>
    <w:p>
      <w:pPr>
        <w:spacing w:line="600" w:lineRule="exact"/>
        <w:ind w:firstLine="643" w:firstLineChars="200"/>
        <w:rPr>
          <w:rStyle w:val="14"/>
          <w:rFonts w:ascii="仿宋" w:eastAsia="仿宋"/>
          <w:b w:val="0"/>
          <w:bCs/>
          <w:color w:val="000000"/>
          <w:sz w:val="32"/>
          <w:szCs w:val="32"/>
        </w:rPr>
      </w:pPr>
      <w:r>
        <w:rPr>
          <w:rStyle w:val="14"/>
          <w:rFonts w:hint="eastAsia" w:ascii="仿宋" w:eastAsia="仿宋"/>
          <w:bCs/>
          <w:color w:val="000000"/>
          <w:sz w:val="32"/>
          <w:szCs w:val="32"/>
        </w:rPr>
        <w:t>1.一般公共服务：</w:t>
      </w:r>
    </w:p>
    <w:p>
      <w:pPr>
        <w:spacing w:line="600" w:lineRule="exact"/>
        <w:ind w:firstLine="643" w:firstLineChars="200"/>
        <w:rPr>
          <w:rStyle w:val="14"/>
          <w:rFonts w:ascii="仿宋" w:eastAsia="仿宋"/>
          <w:b w:val="0"/>
          <w:bCs/>
          <w:color w:val="000000"/>
          <w:sz w:val="32"/>
          <w:szCs w:val="32"/>
        </w:rPr>
      </w:pPr>
      <w:r>
        <w:rPr>
          <w:rStyle w:val="14"/>
          <w:rFonts w:hint="eastAsia" w:ascii="仿宋" w:eastAsia="仿宋"/>
          <w:bCs/>
          <w:color w:val="000000"/>
          <w:sz w:val="32"/>
          <w:szCs w:val="32"/>
        </w:rPr>
        <w:t>2010301一般公共服务支出（类）政府办公厅（室）及相关机构事务（款）行政运行（项）：</w:t>
      </w:r>
      <w:r>
        <w:rPr>
          <w:rStyle w:val="14"/>
          <w:rFonts w:hint="eastAsia" w:ascii="仿宋" w:eastAsia="仿宋"/>
          <w:b w:val="0"/>
          <w:bCs/>
          <w:color w:val="000000"/>
          <w:sz w:val="32"/>
          <w:szCs w:val="32"/>
        </w:rPr>
        <w:t>支出决算为252.53万元，完成预算100</w:t>
      </w:r>
      <w:r>
        <w:rPr>
          <w:rStyle w:val="14"/>
          <w:rFonts w:ascii="仿宋" w:eastAsia="仿宋"/>
          <w:b w:val="0"/>
          <w:bCs/>
          <w:color w:val="000000"/>
          <w:sz w:val="32"/>
          <w:szCs w:val="32"/>
        </w:rPr>
        <w:t>%</w:t>
      </w:r>
      <w:r>
        <w:rPr>
          <w:rStyle w:val="14"/>
          <w:rFonts w:hint="eastAsia" w:ascii="仿宋" w:eastAsia="仿宋"/>
          <w:b w:val="0"/>
          <w:bCs/>
          <w:color w:val="000000"/>
          <w:sz w:val="32"/>
          <w:szCs w:val="32"/>
        </w:rPr>
        <w:t>，决算数等于预算数。</w:t>
      </w:r>
    </w:p>
    <w:p>
      <w:pPr>
        <w:spacing w:line="600" w:lineRule="exact"/>
        <w:ind w:firstLine="643" w:firstLineChars="200"/>
        <w:rPr>
          <w:rStyle w:val="14"/>
          <w:rFonts w:ascii="仿宋_GB2312" w:eastAsia="仿宋_GB2312"/>
          <w:color w:val="000000"/>
          <w:sz w:val="32"/>
          <w:szCs w:val="32"/>
        </w:rPr>
      </w:pPr>
      <w:r>
        <w:rPr>
          <w:rStyle w:val="14"/>
          <w:rFonts w:hint="eastAsia" w:ascii="仿宋" w:eastAsia="仿宋"/>
          <w:bCs/>
          <w:color w:val="000000"/>
          <w:sz w:val="32"/>
          <w:szCs w:val="32"/>
        </w:rPr>
        <w:t>2010302一般公共服务支出（类）政府办公厅（室）及相关机构事务（款）一般行政管理事务（项）：</w:t>
      </w:r>
      <w:r>
        <w:rPr>
          <w:rStyle w:val="14"/>
          <w:rFonts w:hint="eastAsia" w:ascii="仿宋" w:eastAsia="仿宋"/>
          <w:b w:val="0"/>
          <w:bCs/>
          <w:color w:val="000000"/>
          <w:sz w:val="32"/>
          <w:szCs w:val="32"/>
        </w:rPr>
        <w:t>支出决算为84.18万元，完成预算100</w:t>
      </w:r>
      <w:r>
        <w:rPr>
          <w:rStyle w:val="14"/>
          <w:rFonts w:ascii="仿宋" w:eastAsia="仿宋"/>
          <w:b w:val="0"/>
          <w:bCs/>
          <w:color w:val="000000"/>
          <w:sz w:val="32"/>
          <w:szCs w:val="32"/>
        </w:rPr>
        <w:t>%</w:t>
      </w:r>
      <w:r>
        <w:rPr>
          <w:rStyle w:val="14"/>
          <w:rFonts w:hint="eastAsia" w:ascii="仿宋" w:eastAsia="仿宋"/>
          <w:b w:val="0"/>
          <w:bCs/>
          <w:color w:val="000000"/>
          <w:sz w:val="32"/>
          <w:szCs w:val="32"/>
        </w:rPr>
        <w:t>，决算数等于预算数。</w:t>
      </w:r>
    </w:p>
    <w:p>
      <w:pPr>
        <w:spacing w:line="600" w:lineRule="exact"/>
        <w:ind w:firstLine="643" w:firstLineChars="200"/>
        <w:rPr>
          <w:rStyle w:val="14"/>
          <w:rFonts w:ascii="仿宋" w:eastAsia="仿宋"/>
          <w:b w:val="0"/>
          <w:bCs/>
          <w:color w:val="000000"/>
          <w:sz w:val="32"/>
          <w:szCs w:val="32"/>
        </w:rPr>
      </w:pPr>
      <w:r>
        <w:rPr>
          <w:rStyle w:val="14"/>
          <w:rFonts w:hint="eastAsia" w:ascii="仿宋" w:eastAsia="仿宋"/>
          <w:bCs/>
          <w:color w:val="000000"/>
          <w:sz w:val="32"/>
          <w:szCs w:val="32"/>
        </w:rPr>
        <w:t>2010601一般公共服务支出（类）财政事务（款）行政运行（项）：</w:t>
      </w:r>
      <w:r>
        <w:rPr>
          <w:rStyle w:val="14"/>
          <w:rFonts w:hint="eastAsia" w:ascii="仿宋" w:eastAsia="仿宋"/>
          <w:b w:val="0"/>
          <w:bCs/>
          <w:color w:val="000000"/>
          <w:sz w:val="32"/>
          <w:szCs w:val="32"/>
        </w:rPr>
        <w:t>支出决算为17.48万元，完成预算100</w:t>
      </w:r>
      <w:r>
        <w:rPr>
          <w:rStyle w:val="14"/>
          <w:rFonts w:ascii="仿宋" w:eastAsia="仿宋"/>
          <w:b w:val="0"/>
          <w:bCs/>
          <w:color w:val="000000"/>
          <w:sz w:val="32"/>
          <w:szCs w:val="32"/>
        </w:rPr>
        <w:t>%</w:t>
      </w:r>
      <w:r>
        <w:rPr>
          <w:rStyle w:val="14"/>
          <w:rFonts w:hint="eastAsia" w:ascii="仿宋" w:eastAsia="仿宋"/>
          <w:b w:val="0"/>
          <w:bCs/>
          <w:color w:val="000000"/>
          <w:sz w:val="32"/>
          <w:szCs w:val="32"/>
        </w:rPr>
        <w:t>，决算数等于预算数。</w:t>
      </w:r>
    </w:p>
    <w:p>
      <w:pPr>
        <w:spacing w:line="578" w:lineRule="exact"/>
        <w:ind w:firstLine="643" w:firstLineChars="200"/>
        <w:rPr>
          <w:rFonts w:ascii="仿宋_GB2312" w:eastAsia="仿宋_GB2312"/>
          <w:color w:val="000000"/>
          <w:sz w:val="32"/>
          <w:szCs w:val="32"/>
        </w:rPr>
      </w:pPr>
      <w:r>
        <w:rPr>
          <w:rStyle w:val="14"/>
          <w:rFonts w:hint="eastAsia" w:ascii="仿宋" w:eastAsia="仿宋"/>
          <w:bCs/>
          <w:color w:val="000000"/>
          <w:sz w:val="32"/>
          <w:szCs w:val="32"/>
        </w:rPr>
        <w:t>2</w:t>
      </w:r>
      <w:r>
        <w:rPr>
          <w:rStyle w:val="14"/>
          <w:rFonts w:ascii="仿宋" w:eastAsia="仿宋"/>
          <w:bCs/>
          <w:color w:val="000000"/>
          <w:sz w:val="32"/>
          <w:szCs w:val="32"/>
        </w:rPr>
        <w:t>.</w:t>
      </w:r>
      <w:r>
        <w:rPr>
          <w:rStyle w:val="14"/>
          <w:rFonts w:hint="eastAsia" w:ascii="仿宋_GB2312" w:eastAsia="仿宋_GB2312"/>
          <w:color w:val="000000"/>
          <w:sz w:val="32"/>
          <w:szCs w:val="32"/>
        </w:rPr>
        <w:t>文化体育与传媒类：</w:t>
      </w:r>
    </w:p>
    <w:p>
      <w:pPr>
        <w:spacing w:line="600" w:lineRule="exact"/>
        <w:ind w:firstLine="643" w:firstLineChars="200"/>
        <w:rPr>
          <w:rStyle w:val="14"/>
          <w:rFonts w:ascii="仿宋_GB2312" w:eastAsia="仿宋_GB2312"/>
          <w:color w:val="000000"/>
          <w:sz w:val="32"/>
          <w:szCs w:val="32"/>
        </w:rPr>
      </w:pPr>
      <w:r>
        <w:rPr>
          <w:rStyle w:val="14"/>
          <w:rFonts w:hint="eastAsia" w:ascii="仿宋_GB2312" w:eastAsia="仿宋_GB2312"/>
          <w:color w:val="000000"/>
          <w:sz w:val="32"/>
          <w:szCs w:val="32"/>
        </w:rPr>
        <w:t>2070199文化体育与传媒支出（类）文化（款）其他文化支出（项）：</w:t>
      </w:r>
      <w:r>
        <w:rPr>
          <w:rStyle w:val="14"/>
          <w:rFonts w:hint="eastAsia" w:ascii="仿宋" w:eastAsia="仿宋"/>
          <w:b w:val="0"/>
          <w:bCs/>
          <w:color w:val="000000"/>
          <w:sz w:val="32"/>
          <w:szCs w:val="32"/>
        </w:rPr>
        <w:t>支出决算为4.3万元，完成预算100</w:t>
      </w:r>
      <w:r>
        <w:rPr>
          <w:rStyle w:val="14"/>
          <w:rFonts w:ascii="仿宋" w:eastAsia="仿宋"/>
          <w:b w:val="0"/>
          <w:bCs/>
          <w:color w:val="000000"/>
          <w:sz w:val="32"/>
          <w:szCs w:val="32"/>
        </w:rPr>
        <w:t>%</w:t>
      </w:r>
      <w:r>
        <w:rPr>
          <w:rStyle w:val="14"/>
          <w:rFonts w:hint="eastAsia" w:ascii="仿宋" w:eastAsia="仿宋"/>
          <w:b w:val="0"/>
          <w:bCs/>
          <w:color w:val="000000"/>
          <w:sz w:val="32"/>
          <w:szCs w:val="32"/>
        </w:rPr>
        <w:t>，决算数等于预算数。</w:t>
      </w:r>
    </w:p>
    <w:p>
      <w:pPr>
        <w:spacing w:line="600" w:lineRule="exact"/>
        <w:ind w:firstLine="643" w:firstLineChars="200"/>
        <w:rPr>
          <w:rFonts w:ascii="仿宋" w:eastAsia="仿宋"/>
          <w:b/>
          <w:color w:val="000000"/>
          <w:sz w:val="32"/>
          <w:szCs w:val="32"/>
        </w:rPr>
      </w:pPr>
      <w:r>
        <w:rPr>
          <w:rStyle w:val="14"/>
          <w:rFonts w:hint="eastAsia" w:ascii="仿宋_GB2312" w:eastAsia="仿宋_GB2312"/>
          <w:color w:val="000000"/>
          <w:sz w:val="32"/>
          <w:szCs w:val="32"/>
        </w:rPr>
        <w:t>2070404文化体育与传媒支出（类）新闻出版广播影视（款）广播（项）：</w:t>
      </w:r>
      <w:r>
        <w:rPr>
          <w:rStyle w:val="14"/>
          <w:rFonts w:hint="eastAsia" w:ascii="仿宋" w:eastAsia="仿宋"/>
          <w:b w:val="0"/>
          <w:bCs/>
          <w:color w:val="000000"/>
          <w:sz w:val="32"/>
          <w:szCs w:val="32"/>
        </w:rPr>
        <w:t>支出决算为20.04万元，完成预算100</w:t>
      </w:r>
      <w:r>
        <w:rPr>
          <w:rStyle w:val="14"/>
          <w:rFonts w:ascii="仿宋" w:eastAsia="仿宋"/>
          <w:b w:val="0"/>
          <w:bCs/>
          <w:color w:val="000000"/>
          <w:sz w:val="32"/>
          <w:szCs w:val="32"/>
        </w:rPr>
        <w:t>%</w:t>
      </w:r>
      <w:r>
        <w:rPr>
          <w:rStyle w:val="14"/>
          <w:rFonts w:hint="eastAsia" w:ascii="仿宋" w:eastAsia="仿宋"/>
          <w:b w:val="0"/>
          <w:bCs/>
          <w:color w:val="000000"/>
          <w:sz w:val="32"/>
          <w:szCs w:val="32"/>
        </w:rPr>
        <w:t>，决算数等于预算数。</w:t>
      </w:r>
    </w:p>
    <w:p>
      <w:pPr>
        <w:spacing w:line="578" w:lineRule="exact"/>
        <w:ind w:firstLine="643" w:firstLineChars="200"/>
        <w:rPr>
          <w:rStyle w:val="14"/>
          <w:rFonts w:ascii="仿宋_GB2312" w:eastAsia="仿宋_GB2312"/>
          <w:color w:val="000000"/>
          <w:sz w:val="32"/>
          <w:szCs w:val="32"/>
        </w:rPr>
      </w:pPr>
      <w:r>
        <w:rPr>
          <w:rStyle w:val="14"/>
          <w:rFonts w:hint="eastAsia" w:ascii="仿宋" w:eastAsia="仿宋"/>
          <w:bCs/>
          <w:color w:val="000000"/>
          <w:sz w:val="32"/>
          <w:szCs w:val="32"/>
        </w:rPr>
        <w:t>3</w:t>
      </w:r>
      <w:r>
        <w:rPr>
          <w:rStyle w:val="14"/>
          <w:rFonts w:ascii="仿宋" w:eastAsia="仿宋"/>
          <w:bCs/>
          <w:color w:val="000000"/>
          <w:sz w:val="32"/>
          <w:szCs w:val="32"/>
        </w:rPr>
        <w:t>.</w:t>
      </w:r>
      <w:r>
        <w:rPr>
          <w:rStyle w:val="14"/>
          <w:rFonts w:hint="eastAsia" w:ascii="仿宋_GB2312" w:eastAsia="仿宋_GB2312"/>
          <w:color w:val="000000"/>
          <w:sz w:val="32"/>
          <w:szCs w:val="32"/>
        </w:rPr>
        <w:t>社会保障和就业：</w:t>
      </w:r>
    </w:p>
    <w:p>
      <w:pPr>
        <w:spacing w:line="600" w:lineRule="exact"/>
        <w:ind w:firstLine="643" w:firstLineChars="200"/>
        <w:rPr>
          <w:rStyle w:val="14"/>
          <w:rFonts w:ascii="仿宋" w:eastAsia="仿宋"/>
          <w:b w:val="0"/>
          <w:bCs/>
          <w:color w:val="000000"/>
          <w:sz w:val="32"/>
          <w:szCs w:val="32"/>
        </w:rPr>
      </w:pPr>
      <w:r>
        <w:rPr>
          <w:rStyle w:val="14"/>
          <w:rFonts w:hint="eastAsia" w:ascii="仿宋_GB2312" w:eastAsia="仿宋_GB2312"/>
          <w:color w:val="000000"/>
          <w:sz w:val="32"/>
          <w:szCs w:val="32"/>
        </w:rPr>
        <w:t>2080505社会保障和就业支出（类）行政事业单位离退休（款）机关事业单位基本养老保险缴费支出★（项）：</w:t>
      </w:r>
      <w:r>
        <w:rPr>
          <w:rStyle w:val="14"/>
          <w:rFonts w:hint="eastAsia" w:ascii="仿宋" w:eastAsia="仿宋"/>
          <w:b w:val="0"/>
          <w:bCs/>
          <w:color w:val="000000"/>
          <w:sz w:val="32"/>
          <w:szCs w:val="32"/>
        </w:rPr>
        <w:t>支出决算为31.70万元，完成预算100</w:t>
      </w:r>
      <w:r>
        <w:rPr>
          <w:rStyle w:val="14"/>
          <w:rFonts w:ascii="仿宋" w:eastAsia="仿宋"/>
          <w:b w:val="0"/>
          <w:bCs/>
          <w:color w:val="000000"/>
          <w:sz w:val="32"/>
          <w:szCs w:val="32"/>
        </w:rPr>
        <w:t>%</w:t>
      </w:r>
      <w:r>
        <w:rPr>
          <w:rStyle w:val="14"/>
          <w:rFonts w:hint="eastAsia" w:ascii="仿宋" w:eastAsia="仿宋"/>
          <w:b w:val="0"/>
          <w:bCs/>
          <w:color w:val="000000"/>
          <w:sz w:val="32"/>
          <w:szCs w:val="32"/>
        </w:rPr>
        <w:t>，决算数等于预算数。</w:t>
      </w:r>
    </w:p>
    <w:p>
      <w:pPr>
        <w:spacing w:line="600" w:lineRule="exact"/>
        <w:ind w:firstLine="640" w:firstLineChars="200"/>
        <w:rPr>
          <w:rStyle w:val="14"/>
          <w:rFonts w:ascii="仿宋" w:eastAsia="仿宋"/>
          <w:b w:val="0"/>
          <w:bCs/>
          <w:color w:val="000000"/>
          <w:sz w:val="32"/>
          <w:szCs w:val="32"/>
        </w:rPr>
      </w:pPr>
      <w:r>
        <w:rPr>
          <w:rStyle w:val="14"/>
          <w:rFonts w:hint="eastAsia" w:ascii="仿宋" w:eastAsia="仿宋"/>
          <w:b w:val="0"/>
          <w:bCs/>
          <w:color w:val="000000"/>
          <w:sz w:val="32"/>
          <w:szCs w:val="32"/>
        </w:rPr>
        <w:t>2080506</w:t>
      </w:r>
      <w:r>
        <w:rPr>
          <w:rStyle w:val="14"/>
          <w:rFonts w:hint="eastAsia" w:ascii="仿宋_GB2312" w:eastAsia="仿宋_GB2312"/>
          <w:color w:val="000000"/>
          <w:sz w:val="32"/>
          <w:szCs w:val="32"/>
        </w:rPr>
        <w:t>社会保障和就业支出（类）行政事业单位离退休（款）机关事业单位职业年金缴费支出★（项）：</w:t>
      </w:r>
      <w:r>
        <w:rPr>
          <w:rStyle w:val="14"/>
          <w:rFonts w:hint="eastAsia" w:ascii="仿宋" w:eastAsia="仿宋"/>
          <w:b w:val="0"/>
          <w:bCs/>
          <w:color w:val="000000"/>
          <w:sz w:val="32"/>
          <w:szCs w:val="32"/>
        </w:rPr>
        <w:t>支出决算为1.30万元，完成预算100</w:t>
      </w:r>
      <w:r>
        <w:rPr>
          <w:rStyle w:val="14"/>
          <w:rFonts w:ascii="仿宋" w:eastAsia="仿宋"/>
          <w:b w:val="0"/>
          <w:bCs/>
          <w:color w:val="000000"/>
          <w:sz w:val="32"/>
          <w:szCs w:val="32"/>
        </w:rPr>
        <w:t>%</w:t>
      </w:r>
      <w:r>
        <w:rPr>
          <w:rStyle w:val="14"/>
          <w:rFonts w:hint="eastAsia" w:ascii="仿宋" w:eastAsia="仿宋"/>
          <w:b w:val="0"/>
          <w:bCs/>
          <w:color w:val="000000"/>
          <w:sz w:val="32"/>
          <w:szCs w:val="32"/>
        </w:rPr>
        <w:t>，决算数等于预算数。</w:t>
      </w:r>
    </w:p>
    <w:p>
      <w:pPr>
        <w:spacing w:line="600" w:lineRule="exact"/>
        <w:ind w:firstLine="643" w:firstLineChars="200"/>
        <w:rPr>
          <w:rStyle w:val="14"/>
          <w:rFonts w:ascii="仿宋_GB2312" w:eastAsia="仿宋_GB2312"/>
          <w:color w:val="000000"/>
          <w:sz w:val="32"/>
          <w:szCs w:val="32"/>
        </w:rPr>
      </w:pPr>
      <w:r>
        <w:rPr>
          <w:rStyle w:val="14"/>
          <w:rFonts w:hint="eastAsia" w:ascii="仿宋_GB2312" w:eastAsia="仿宋_GB2312"/>
          <w:color w:val="000000"/>
          <w:sz w:val="32"/>
          <w:szCs w:val="32"/>
        </w:rPr>
        <w:t>2080803社会保障和就业支出（类）抚恤（款）在乡复员退伍军人生活补助（项）：</w:t>
      </w:r>
      <w:r>
        <w:rPr>
          <w:rStyle w:val="14"/>
          <w:rFonts w:hint="eastAsia" w:ascii="仿宋" w:eastAsia="仿宋"/>
          <w:b w:val="0"/>
          <w:bCs/>
          <w:color w:val="000000"/>
          <w:sz w:val="32"/>
          <w:szCs w:val="32"/>
        </w:rPr>
        <w:t>支出决算为103.07万元，完成预算100</w:t>
      </w:r>
      <w:r>
        <w:rPr>
          <w:rStyle w:val="14"/>
          <w:rFonts w:ascii="仿宋" w:eastAsia="仿宋"/>
          <w:b w:val="0"/>
          <w:bCs/>
          <w:color w:val="000000"/>
          <w:sz w:val="32"/>
          <w:szCs w:val="32"/>
        </w:rPr>
        <w:t>%</w:t>
      </w:r>
      <w:r>
        <w:rPr>
          <w:rStyle w:val="14"/>
          <w:rFonts w:hint="eastAsia" w:ascii="仿宋" w:eastAsia="仿宋"/>
          <w:b w:val="0"/>
          <w:bCs/>
          <w:color w:val="000000"/>
          <w:sz w:val="32"/>
          <w:szCs w:val="32"/>
        </w:rPr>
        <w:t>，决算数等于预算数。</w:t>
      </w:r>
    </w:p>
    <w:p>
      <w:pPr>
        <w:spacing w:line="600" w:lineRule="exact"/>
        <w:ind w:firstLine="643" w:firstLineChars="200"/>
        <w:rPr>
          <w:rStyle w:val="14"/>
          <w:rFonts w:ascii="仿宋_GB2312" w:eastAsia="仿宋_GB2312"/>
          <w:color w:val="000000"/>
          <w:sz w:val="32"/>
          <w:szCs w:val="32"/>
        </w:rPr>
      </w:pPr>
      <w:r>
        <w:rPr>
          <w:rStyle w:val="14"/>
          <w:rFonts w:hint="eastAsia" w:ascii="仿宋_GB2312" w:eastAsia="仿宋_GB2312"/>
          <w:color w:val="000000"/>
          <w:sz w:val="32"/>
          <w:szCs w:val="32"/>
        </w:rPr>
        <w:t>2080805社会保障和就业支出（类）抚恤（款）义务兵优待（项）：</w:t>
      </w:r>
      <w:r>
        <w:rPr>
          <w:rStyle w:val="14"/>
          <w:rFonts w:hint="eastAsia" w:ascii="仿宋" w:eastAsia="仿宋"/>
          <w:b w:val="0"/>
          <w:bCs/>
          <w:color w:val="000000"/>
          <w:sz w:val="32"/>
          <w:szCs w:val="32"/>
        </w:rPr>
        <w:t>支出决算为3.79万元，完成预算100</w:t>
      </w:r>
      <w:r>
        <w:rPr>
          <w:rStyle w:val="14"/>
          <w:rFonts w:ascii="仿宋" w:eastAsia="仿宋"/>
          <w:b w:val="0"/>
          <w:bCs/>
          <w:color w:val="000000"/>
          <w:sz w:val="32"/>
          <w:szCs w:val="32"/>
        </w:rPr>
        <w:t>%</w:t>
      </w:r>
      <w:r>
        <w:rPr>
          <w:rStyle w:val="14"/>
          <w:rFonts w:hint="eastAsia" w:ascii="仿宋" w:eastAsia="仿宋"/>
          <w:b w:val="0"/>
          <w:bCs/>
          <w:color w:val="000000"/>
          <w:sz w:val="32"/>
          <w:szCs w:val="32"/>
        </w:rPr>
        <w:t>，决算数等于预算数。</w:t>
      </w:r>
    </w:p>
    <w:p>
      <w:pPr>
        <w:spacing w:line="600" w:lineRule="exact"/>
        <w:ind w:firstLine="643" w:firstLineChars="200"/>
        <w:rPr>
          <w:rStyle w:val="14"/>
          <w:rFonts w:ascii="仿宋_GB2312" w:eastAsia="仿宋_GB2312"/>
          <w:color w:val="000000"/>
          <w:sz w:val="32"/>
          <w:szCs w:val="32"/>
        </w:rPr>
      </w:pPr>
      <w:r>
        <w:rPr>
          <w:rStyle w:val="14"/>
          <w:rFonts w:hint="eastAsia" w:ascii="仿宋_GB2312" w:eastAsia="仿宋_GB2312"/>
          <w:color w:val="000000"/>
          <w:sz w:val="32"/>
          <w:szCs w:val="32"/>
        </w:rPr>
        <w:t>2081199社会保障和就业支出（类）残疾人事业（款）其他残疾人事业支出（项）：</w:t>
      </w:r>
      <w:r>
        <w:rPr>
          <w:rStyle w:val="14"/>
          <w:rFonts w:hint="eastAsia" w:ascii="仿宋" w:eastAsia="仿宋"/>
          <w:b w:val="0"/>
          <w:bCs/>
          <w:color w:val="000000"/>
          <w:sz w:val="32"/>
          <w:szCs w:val="32"/>
        </w:rPr>
        <w:t>支出决算为2.35万元，完成预算100</w:t>
      </w:r>
      <w:r>
        <w:rPr>
          <w:rStyle w:val="14"/>
          <w:rFonts w:ascii="仿宋" w:eastAsia="仿宋"/>
          <w:b w:val="0"/>
          <w:bCs/>
          <w:color w:val="000000"/>
          <w:sz w:val="32"/>
          <w:szCs w:val="32"/>
        </w:rPr>
        <w:t>%</w:t>
      </w:r>
      <w:r>
        <w:rPr>
          <w:rStyle w:val="14"/>
          <w:rFonts w:hint="eastAsia" w:ascii="仿宋" w:eastAsia="仿宋"/>
          <w:b w:val="0"/>
          <w:bCs/>
          <w:color w:val="000000"/>
          <w:sz w:val="32"/>
          <w:szCs w:val="32"/>
        </w:rPr>
        <w:t>，决算数等于预算数。</w:t>
      </w:r>
      <w:r>
        <w:rPr>
          <w:rStyle w:val="14"/>
          <w:rFonts w:hint="eastAsia" w:ascii="仿宋_GB2312" w:eastAsia="仿宋_GB2312"/>
          <w:color w:val="000000"/>
          <w:sz w:val="32"/>
          <w:szCs w:val="32"/>
        </w:rPr>
        <w:tab/>
      </w:r>
      <w:r>
        <w:rPr>
          <w:rStyle w:val="14"/>
          <w:rFonts w:hint="eastAsia" w:ascii="仿宋_GB2312" w:eastAsia="仿宋_GB2312"/>
          <w:color w:val="000000"/>
          <w:sz w:val="32"/>
          <w:szCs w:val="32"/>
        </w:rPr>
        <w:tab/>
      </w:r>
    </w:p>
    <w:p>
      <w:pPr>
        <w:spacing w:line="600" w:lineRule="exact"/>
        <w:ind w:firstLine="643" w:firstLineChars="200"/>
        <w:rPr>
          <w:rStyle w:val="14"/>
          <w:rFonts w:ascii="仿宋_GB2312" w:eastAsia="仿宋_GB2312"/>
          <w:color w:val="000000"/>
          <w:sz w:val="32"/>
          <w:szCs w:val="32"/>
        </w:rPr>
      </w:pPr>
      <w:r>
        <w:rPr>
          <w:rStyle w:val="14"/>
          <w:rFonts w:hint="eastAsia" w:ascii="仿宋_GB2312" w:eastAsia="仿宋_GB2312"/>
          <w:color w:val="000000"/>
          <w:sz w:val="32"/>
          <w:szCs w:val="32"/>
        </w:rPr>
        <w:t>2082102社会保障和就业支出（类）特困人员救助供养★（款）农村特困人员救助供养支出★（项）：</w:t>
      </w:r>
      <w:r>
        <w:rPr>
          <w:rStyle w:val="14"/>
          <w:rFonts w:hint="eastAsia" w:ascii="仿宋" w:eastAsia="仿宋"/>
          <w:b w:val="0"/>
          <w:bCs/>
          <w:color w:val="000000"/>
          <w:sz w:val="32"/>
          <w:szCs w:val="32"/>
        </w:rPr>
        <w:t>支出决算为21.95万元，完成预算100</w:t>
      </w:r>
      <w:r>
        <w:rPr>
          <w:rStyle w:val="14"/>
          <w:rFonts w:ascii="仿宋" w:eastAsia="仿宋"/>
          <w:b w:val="0"/>
          <w:bCs/>
          <w:color w:val="000000"/>
          <w:sz w:val="32"/>
          <w:szCs w:val="32"/>
        </w:rPr>
        <w:t>%</w:t>
      </w:r>
      <w:r>
        <w:rPr>
          <w:rStyle w:val="14"/>
          <w:rFonts w:hint="eastAsia" w:ascii="仿宋" w:eastAsia="仿宋"/>
          <w:b w:val="0"/>
          <w:bCs/>
          <w:color w:val="000000"/>
          <w:sz w:val="32"/>
          <w:szCs w:val="32"/>
        </w:rPr>
        <w:t>，决算数等于预算数。</w:t>
      </w:r>
    </w:p>
    <w:p>
      <w:pPr>
        <w:spacing w:line="578" w:lineRule="exact"/>
        <w:ind w:firstLine="643" w:firstLineChars="200"/>
        <w:rPr>
          <w:rStyle w:val="14"/>
          <w:rFonts w:ascii="仿宋_GB2312" w:eastAsia="仿宋_GB2312"/>
          <w:color w:val="000000"/>
          <w:sz w:val="32"/>
          <w:szCs w:val="32"/>
        </w:rPr>
      </w:pPr>
      <w:r>
        <w:rPr>
          <w:rStyle w:val="14"/>
          <w:rFonts w:hint="eastAsia" w:ascii="仿宋" w:eastAsia="仿宋"/>
          <w:bCs/>
          <w:color w:val="000000"/>
          <w:sz w:val="32"/>
          <w:szCs w:val="32"/>
        </w:rPr>
        <w:t>4</w:t>
      </w:r>
      <w:r>
        <w:rPr>
          <w:rStyle w:val="14"/>
          <w:rFonts w:ascii="仿宋" w:eastAsia="仿宋"/>
          <w:bCs/>
          <w:color w:val="000000"/>
          <w:sz w:val="32"/>
          <w:szCs w:val="32"/>
        </w:rPr>
        <w:t>.</w:t>
      </w:r>
      <w:r>
        <w:rPr>
          <w:rStyle w:val="14"/>
          <w:rFonts w:hint="eastAsia" w:ascii="仿宋_GB2312" w:eastAsia="仿宋_GB2312"/>
          <w:color w:val="000000"/>
          <w:sz w:val="32"/>
          <w:szCs w:val="32"/>
        </w:rPr>
        <w:t>医疗卫生与计划生育：</w:t>
      </w:r>
    </w:p>
    <w:p>
      <w:pPr>
        <w:spacing w:line="600" w:lineRule="exact"/>
        <w:ind w:firstLine="643" w:firstLineChars="200"/>
        <w:rPr>
          <w:rStyle w:val="14"/>
          <w:rFonts w:ascii="仿宋_GB2312" w:eastAsia="仿宋_GB2312"/>
          <w:color w:val="000000"/>
          <w:sz w:val="32"/>
          <w:szCs w:val="32"/>
        </w:rPr>
      </w:pPr>
      <w:r>
        <w:rPr>
          <w:rStyle w:val="14"/>
          <w:rFonts w:hint="eastAsia" w:ascii="仿宋_GB2312" w:eastAsia="仿宋_GB2312"/>
          <w:color w:val="000000"/>
          <w:sz w:val="32"/>
          <w:szCs w:val="32"/>
        </w:rPr>
        <w:t>2100716医疗卫生与计划生育支出（类）计划生育事务（款）计划生育机构（项）：</w:t>
      </w:r>
      <w:r>
        <w:rPr>
          <w:rStyle w:val="14"/>
          <w:rFonts w:hint="eastAsia" w:ascii="仿宋" w:eastAsia="仿宋"/>
          <w:b w:val="0"/>
          <w:bCs/>
          <w:color w:val="000000"/>
          <w:sz w:val="32"/>
          <w:szCs w:val="32"/>
        </w:rPr>
        <w:t>支出决算为14.55万元，完成预算100</w:t>
      </w:r>
      <w:r>
        <w:rPr>
          <w:rStyle w:val="14"/>
          <w:rFonts w:ascii="仿宋" w:eastAsia="仿宋"/>
          <w:b w:val="0"/>
          <w:bCs/>
          <w:color w:val="000000"/>
          <w:sz w:val="32"/>
          <w:szCs w:val="32"/>
        </w:rPr>
        <w:t>%</w:t>
      </w:r>
      <w:r>
        <w:rPr>
          <w:rStyle w:val="14"/>
          <w:rFonts w:hint="eastAsia" w:ascii="仿宋" w:eastAsia="仿宋"/>
          <w:b w:val="0"/>
          <w:bCs/>
          <w:color w:val="000000"/>
          <w:sz w:val="32"/>
          <w:szCs w:val="32"/>
        </w:rPr>
        <w:t>，决算数等于预算数。</w:t>
      </w:r>
    </w:p>
    <w:p>
      <w:pPr>
        <w:spacing w:line="600" w:lineRule="exact"/>
        <w:ind w:firstLine="643" w:firstLineChars="200"/>
        <w:rPr>
          <w:rStyle w:val="14"/>
          <w:rFonts w:ascii="仿宋_GB2312" w:eastAsia="仿宋_GB2312"/>
          <w:color w:val="000000"/>
          <w:sz w:val="32"/>
          <w:szCs w:val="32"/>
        </w:rPr>
      </w:pPr>
      <w:r>
        <w:rPr>
          <w:rStyle w:val="14"/>
          <w:rFonts w:hint="eastAsia" w:ascii="仿宋_GB2312" w:eastAsia="仿宋_GB2312"/>
          <w:color w:val="000000"/>
          <w:sz w:val="32"/>
          <w:szCs w:val="32"/>
        </w:rPr>
        <w:t>2101101医疗卫生与计划生育支出（类）行政事业单位医疗（款）行政单位医疗（项）：</w:t>
      </w:r>
      <w:r>
        <w:rPr>
          <w:rStyle w:val="14"/>
          <w:rFonts w:hint="eastAsia" w:ascii="仿宋" w:eastAsia="仿宋"/>
          <w:b w:val="0"/>
          <w:bCs/>
          <w:color w:val="000000"/>
          <w:sz w:val="32"/>
          <w:szCs w:val="32"/>
        </w:rPr>
        <w:t>支出决算为10.38万元，完成预算100</w:t>
      </w:r>
      <w:r>
        <w:rPr>
          <w:rStyle w:val="14"/>
          <w:rFonts w:ascii="仿宋" w:eastAsia="仿宋"/>
          <w:b w:val="0"/>
          <w:bCs/>
          <w:color w:val="000000"/>
          <w:sz w:val="32"/>
          <w:szCs w:val="32"/>
        </w:rPr>
        <w:t>%</w:t>
      </w:r>
      <w:r>
        <w:rPr>
          <w:rStyle w:val="14"/>
          <w:rFonts w:hint="eastAsia" w:ascii="仿宋" w:eastAsia="仿宋"/>
          <w:b w:val="0"/>
          <w:bCs/>
          <w:color w:val="000000"/>
          <w:sz w:val="32"/>
          <w:szCs w:val="32"/>
        </w:rPr>
        <w:t>，决算数等于预算数。</w:t>
      </w:r>
    </w:p>
    <w:p>
      <w:pPr>
        <w:spacing w:line="600" w:lineRule="exact"/>
        <w:ind w:firstLine="643" w:firstLineChars="200"/>
        <w:rPr>
          <w:rStyle w:val="14"/>
          <w:rFonts w:ascii="仿宋" w:eastAsia="仿宋"/>
          <w:b w:val="0"/>
          <w:bCs/>
          <w:color w:val="000000"/>
          <w:sz w:val="32"/>
          <w:szCs w:val="32"/>
        </w:rPr>
      </w:pPr>
      <w:r>
        <w:rPr>
          <w:rStyle w:val="14"/>
          <w:rFonts w:hint="eastAsia" w:ascii="仿宋_GB2312" w:eastAsia="仿宋_GB2312"/>
          <w:color w:val="000000"/>
          <w:sz w:val="32"/>
          <w:szCs w:val="32"/>
        </w:rPr>
        <w:t>2101102医疗卫生与计划生育支出（类）行政事业单位医疗（款）事业单位医疗（项）：</w:t>
      </w:r>
      <w:r>
        <w:rPr>
          <w:rStyle w:val="14"/>
          <w:rFonts w:hint="eastAsia" w:ascii="仿宋" w:eastAsia="仿宋"/>
          <w:b w:val="0"/>
          <w:bCs/>
          <w:color w:val="000000"/>
          <w:sz w:val="32"/>
          <w:szCs w:val="32"/>
        </w:rPr>
        <w:t>支出决算为3.52万元，完成预算100</w:t>
      </w:r>
      <w:r>
        <w:rPr>
          <w:rStyle w:val="14"/>
          <w:rFonts w:ascii="仿宋" w:eastAsia="仿宋"/>
          <w:b w:val="0"/>
          <w:bCs/>
          <w:color w:val="000000"/>
          <w:sz w:val="32"/>
          <w:szCs w:val="32"/>
        </w:rPr>
        <w:t>%</w:t>
      </w:r>
      <w:r>
        <w:rPr>
          <w:rStyle w:val="14"/>
          <w:rFonts w:hint="eastAsia" w:ascii="仿宋" w:eastAsia="仿宋"/>
          <w:b w:val="0"/>
          <w:bCs/>
          <w:color w:val="000000"/>
          <w:sz w:val="32"/>
          <w:szCs w:val="32"/>
        </w:rPr>
        <w:t>，决算数等于预算数。</w:t>
      </w:r>
    </w:p>
    <w:p>
      <w:pPr>
        <w:spacing w:line="600" w:lineRule="exact"/>
        <w:ind w:firstLine="643" w:firstLineChars="200"/>
        <w:rPr>
          <w:rStyle w:val="14"/>
          <w:rFonts w:ascii="仿宋" w:eastAsia="仿宋"/>
          <w:b w:val="0"/>
          <w:bCs/>
          <w:color w:val="000000"/>
          <w:sz w:val="32"/>
          <w:szCs w:val="32"/>
        </w:rPr>
      </w:pPr>
      <w:r>
        <w:rPr>
          <w:rStyle w:val="14"/>
          <w:rFonts w:hint="eastAsia" w:ascii="仿宋_GB2312" w:eastAsia="仿宋_GB2312"/>
          <w:color w:val="000000"/>
          <w:sz w:val="32"/>
          <w:szCs w:val="32"/>
        </w:rPr>
        <w:t>2101103医疗卫生与计划生育支出（类）行政事业单位医疗（款）公务员医疗补助★（项）：</w:t>
      </w:r>
      <w:r>
        <w:rPr>
          <w:rStyle w:val="14"/>
          <w:rFonts w:hint="eastAsia" w:ascii="仿宋" w:eastAsia="仿宋"/>
          <w:b w:val="0"/>
          <w:bCs/>
          <w:color w:val="000000"/>
          <w:sz w:val="32"/>
          <w:szCs w:val="32"/>
        </w:rPr>
        <w:t>支出决算为0.04万元，完成预算100</w:t>
      </w:r>
      <w:r>
        <w:rPr>
          <w:rStyle w:val="14"/>
          <w:rFonts w:ascii="仿宋" w:eastAsia="仿宋"/>
          <w:b w:val="0"/>
          <w:bCs/>
          <w:color w:val="000000"/>
          <w:sz w:val="32"/>
          <w:szCs w:val="32"/>
        </w:rPr>
        <w:t>%</w:t>
      </w:r>
      <w:r>
        <w:rPr>
          <w:rStyle w:val="14"/>
          <w:rFonts w:hint="eastAsia" w:ascii="仿宋" w:eastAsia="仿宋"/>
          <w:b w:val="0"/>
          <w:bCs/>
          <w:color w:val="000000"/>
          <w:sz w:val="32"/>
          <w:szCs w:val="32"/>
        </w:rPr>
        <w:t>，决算数等于预算数。</w:t>
      </w:r>
    </w:p>
    <w:p>
      <w:pPr>
        <w:spacing w:line="578" w:lineRule="exact"/>
        <w:ind w:firstLine="643" w:firstLineChars="200"/>
        <w:rPr>
          <w:rStyle w:val="14"/>
          <w:rFonts w:ascii="仿宋_GB2312" w:eastAsia="仿宋_GB2312"/>
          <w:color w:val="000000"/>
          <w:sz w:val="32"/>
          <w:szCs w:val="32"/>
        </w:rPr>
      </w:pPr>
      <w:r>
        <w:rPr>
          <w:rStyle w:val="14"/>
          <w:rFonts w:hint="eastAsia" w:ascii="仿宋_GB2312" w:eastAsia="仿宋_GB2312"/>
          <w:color w:val="000000"/>
          <w:sz w:val="32"/>
          <w:szCs w:val="32"/>
        </w:rPr>
        <w:t>5.城乡社区支出：</w:t>
      </w:r>
    </w:p>
    <w:p>
      <w:pPr>
        <w:spacing w:line="600" w:lineRule="exact"/>
        <w:ind w:firstLine="643" w:firstLineChars="200"/>
        <w:rPr>
          <w:rFonts w:ascii="仿宋_GB2312" w:eastAsia="仿宋_GB2312"/>
          <w:color w:val="000000"/>
          <w:sz w:val="32"/>
          <w:szCs w:val="32"/>
        </w:rPr>
      </w:pPr>
      <w:r>
        <w:rPr>
          <w:rStyle w:val="14"/>
          <w:rFonts w:hint="eastAsia" w:ascii="仿宋_GB2312" w:eastAsia="仿宋_GB2312"/>
          <w:color w:val="000000"/>
          <w:sz w:val="32"/>
          <w:szCs w:val="32"/>
        </w:rPr>
        <w:t>2129999城乡社区支出（类）其他城乡社区支出（款）其他城乡社区支出（项）：</w:t>
      </w:r>
      <w:r>
        <w:rPr>
          <w:rStyle w:val="14"/>
          <w:rFonts w:hint="eastAsia" w:ascii="仿宋" w:eastAsia="仿宋"/>
          <w:b w:val="0"/>
          <w:bCs/>
          <w:color w:val="000000"/>
          <w:sz w:val="32"/>
          <w:szCs w:val="32"/>
        </w:rPr>
        <w:t>支出决算为21.65万元，完成预算100</w:t>
      </w:r>
      <w:r>
        <w:rPr>
          <w:rStyle w:val="14"/>
          <w:rFonts w:ascii="仿宋" w:eastAsia="仿宋"/>
          <w:b w:val="0"/>
          <w:bCs/>
          <w:color w:val="000000"/>
          <w:sz w:val="32"/>
          <w:szCs w:val="32"/>
        </w:rPr>
        <w:t>%</w:t>
      </w:r>
      <w:r>
        <w:rPr>
          <w:rStyle w:val="14"/>
          <w:rFonts w:hint="eastAsia" w:ascii="仿宋" w:eastAsia="仿宋"/>
          <w:b w:val="0"/>
          <w:bCs/>
          <w:color w:val="000000"/>
          <w:sz w:val="32"/>
          <w:szCs w:val="32"/>
        </w:rPr>
        <w:t>，决算数等于预算数。</w:t>
      </w:r>
    </w:p>
    <w:p>
      <w:pPr>
        <w:spacing w:line="600" w:lineRule="exact"/>
        <w:ind w:firstLine="643" w:firstLineChars="200"/>
        <w:rPr>
          <w:rStyle w:val="14"/>
          <w:rFonts w:ascii="仿宋_GB2312" w:eastAsia="仿宋_GB2312"/>
          <w:color w:val="000000"/>
          <w:sz w:val="32"/>
          <w:szCs w:val="32"/>
        </w:rPr>
      </w:pPr>
      <w:r>
        <w:rPr>
          <w:rStyle w:val="14"/>
          <w:rFonts w:hint="eastAsia" w:ascii="仿宋_GB2312" w:eastAsia="仿宋_GB2312"/>
          <w:color w:val="000000"/>
          <w:sz w:val="32"/>
          <w:szCs w:val="32"/>
        </w:rPr>
        <w:t>6.农林水支出：</w:t>
      </w:r>
    </w:p>
    <w:p>
      <w:pPr>
        <w:spacing w:line="600" w:lineRule="exact"/>
        <w:ind w:firstLine="643" w:firstLineChars="200"/>
        <w:rPr>
          <w:rStyle w:val="14"/>
          <w:rFonts w:ascii="仿宋_GB2312" w:eastAsia="仿宋_GB2312"/>
          <w:color w:val="000000"/>
          <w:sz w:val="32"/>
          <w:szCs w:val="32"/>
        </w:rPr>
      </w:pPr>
      <w:r>
        <w:rPr>
          <w:rStyle w:val="14"/>
          <w:rFonts w:hint="eastAsia" w:ascii="仿宋_GB2312" w:eastAsia="仿宋_GB2312"/>
          <w:color w:val="000000"/>
          <w:sz w:val="32"/>
          <w:szCs w:val="32"/>
        </w:rPr>
        <w:t>2130104农林水支出（类）农业（款）事业运行（项）：</w:t>
      </w:r>
      <w:r>
        <w:rPr>
          <w:rStyle w:val="14"/>
          <w:rFonts w:hint="eastAsia" w:ascii="仿宋" w:eastAsia="仿宋"/>
          <w:b w:val="0"/>
          <w:bCs/>
          <w:color w:val="000000"/>
          <w:sz w:val="32"/>
          <w:szCs w:val="32"/>
        </w:rPr>
        <w:t>支出决算为23.52万元，完成预算100</w:t>
      </w:r>
      <w:r>
        <w:rPr>
          <w:rStyle w:val="14"/>
          <w:rFonts w:ascii="仿宋" w:eastAsia="仿宋"/>
          <w:b w:val="0"/>
          <w:bCs/>
          <w:color w:val="000000"/>
          <w:sz w:val="32"/>
          <w:szCs w:val="32"/>
        </w:rPr>
        <w:t>%</w:t>
      </w:r>
      <w:r>
        <w:rPr>
          <w:rStyle w:val="14"/>
          <w:rFonts w:hint="eastAsia" w:ascii="仿宋" w:eastAsia="仿宋"/>
          <w:b w:val="0"/>
          <w:bCs/>
          <w:color w:val="000000"/>
          <w:sz w:val="32"/>
          <w:szCs w:val="32"/>
        </w:rPr>
        <w:t>，决算数等于预算数。</w:t>
      </w:r>
    </w:p>
    <w:p>
      <w:pPr>
        <w:spacing w:line="600" w:lineRule="exact"/>
        <w:ind w:firstLine="643" w:firstLineChars="200"/>
        <w:rPr>
          <w:rStyle w:val="14"/>
          <w:rFonts w:ascii="仿宋_GB2312" w:eastAsia="仿宋_GB2312"/>
          <w:color w:val="000000"/>
          <w:sz w:val="32"/>
          <w:szCs w:val="32"/>
        </w:rPr>
      </w:pPr>
      <w:r>
        <w:rPr>
          <w:rStyle w:val="14"/>
          <w:rFonts w:hint="eastAsia" w:ascii="仿宋_GB2312" w:eastAsia="仿宋_GB2312"/>
          <w:color w:val="000000"/>
          <w:sz w:val="32"/>
          <w:szCs w:val="32"/>
        </w:rPr>
        <w:t>2130599 农林水支出（类）扶贫（款）其他扶贫支出（项）：</w:t>
      </w:r>
      <w:r>
        <w:rPr>
          <w:rStyle w:val="14"/>
          <w:rFonts w:hint="eastAsia" w:ascii="仿宋" w:eastAsia="仿宋"/>
          <w:b w:val="0"/>
          <w:bCs/>
          <w:color w:val="000000"/>
          <w:sz w:val="32"/>
          <w:szCs w:val="32"/>
        </w:rPr>
        <w:t>支出决算为15.60万元，完成预算100</w:t>
      </w:r>
      <w:r>
        <w:rPr>
          <w:rStyle w:val="14"/>
          <w:rFonts w:ascii="仿宋" w:eastAsia="仿宋"/>
          <w:b w:val="0"/>
          <w:bCs/>
          <w:color w:val="000000"/>
          <w:sz w:val="32"/>
          <w:szCs w:val="32"/>
        </w:rPr>
        <w:t>%</w:t>
      </w:r>
      <w:r>
        <w:rPr>
          <w:rStyle w:val="14"/>
          <w:rFonts w:hint="eastAsia" w:ascii="仿宋" w:eastAsia="仿宋"/>
          <w:b w:val="0"/>
          <w:bCs/>
          <w:color w:val="000000"/>
          <w:sz w:val="32"/>
          <w:szCs w:val="32"/>
        </w:rPr>
        <w:t>，决算数等于预算数。</w:t>
      </w:r>
    </w:p>
    <w:p>
      <w:pPr>
        <w:spacing w:line="600" w:lineRule="exact"/>
        <w:ind w:firstLine="643" w:firstLineChars="200"/>
        <w:rPr>
          <w:rStyle w:val="14"/>
          <w:rFonts w:ascii="仿宋_GB2312" w:eastAsia="仿宋_GB2312"/>
          <w:color w:val="000000"/>
          <w:sz w:val="32"/>
          <w:szCs w:val="32"/>
        </w:rPr>
      </w:pPr>
      <w:r>
        <w:rPr>
          <w:rStyle w:val="14"/>
          <w:rFonts w:hint="eastAsia" w:ascii="仿宋_GB2312" w:eastAsia="仿宋_GB2312"/>
          <w:color w:val="000000"/>
          <w:sz w:val="32"/>
          <w:szCs w:val="32"/>
        </w:rPr>
        <w:t>2130701 农林水支出（类）农村综合改革（款）对村级一事一议的补助（项）：</w:t>
      </w:r>
      <w:r>
        <w:rPr>
          <w:rStyle w:val="14"/>
          <w:rFonts w:hint="eastAsia" w:ascii="仿宋" w:eastAsia="仿宋"/>
          <w:b w:val="0"/>
          <w:bCs/>
          <w:color w:val="000000"/>
          <w:sz w:val="32"/>
          <w:szCs w:val="32"/>
        </w:rPr>
        <w:t>支出决算为7.00万元，完成预算100</w:t>
      </w:r>
      <w:r>
        <w:rPr>
          <w:rStyle w:val="14"/>
          <w:rFonts w:ascii="仿宋" w:eastAsia="仿宋"/>
          <w:b w:val="0"/>
          <w:bCs/>
          <w:color w:val="000000"/>
          <w:sz w:val="32"/>
          <w:szCs w:val="32"/>
        </w:rPr>
        <w:t>%</w:t>
      </w:r>
      <w:r>
        <w:rPr>
          <w:rStyle w:val="14"/>
          <w:rFonts w:hint="eastAsia" w:ascii="仿宋" w:eastAsia="仿宋"/>
          <w:b w:val="0"/>
          <w:bCs/>
          <w:color w:val="000000"/>
          <w:sz w:val="32"/>
          <w:szCs w:val="32"/>
        </w:rPr>
        <w:t>，决算数等于预算数。</w:t>
      </w:r>
    </w:p>
    <w:p>
      <w:pPr>
        <w:spacing w:line="600" w:lineRule="exact"/>
        <w:ind w:firstLine="643" w:firstLineChars="200"/>
        <w:rPr>
          <w:rStyle w:val="14"/>
          <w:rFonts w:ascii="仿宋" w:eastAsia="仿宋"/>
          <w:b w:val="0"/>
          <w:bCs/>
          <w:color w:val="000000"/>
          <w:sz w:val="32"/>
          <w:szCs w:val="32"/>
        </w:rPr>
      </w:pPr>
      <w:r>
        <w:rPr>
          <w:rStyle w:val="14"/>
          <w:rFonts w:hint="eastAsia" w:ascii="仿宋_GB2312" w:eastAsia="仿宋_GB2312"/>
          <w:color w:val="000000"/>
          <w:sz w:val="32"/>
          <w:szCs w:val="32"/>
        </w:rPr>
        <w:t>2130705农林水支出（类）农村综合改革（款）对村民委员会和村党支部的补助（项）：</w:t>
      </w:r>
      <w:r>
        <w:rPr>
          <w:rStyle w:val="14"/>
          <w:rFonts w:hint="eastAsia" w:ascii="仿宋" w:eastAsia="仿宋"/>
          <w:b w:val="0"/>
          <w:bCs/>
          <w:color w:val="000000"/>
          <w:sz w:val="32"/>
          <w:szCs w:val="32"/>
        </w:rPr>
        <w:t>支出决算为174.47万元，完成预算100</w:t>
      </w:r>
      <w:r>
        <w:rPr>
          <w:rStyle w:val="14"/>
          <w:rFonts w:ascii="仿宋" w:eastAsia="仿宋"/>
          <w:b w:val="0"/>
          <w:bCs/>
          <w:color w:val="000000"/>
          <w:sz w:val="32"/>
          <w:szCs w:val="32"/>
        </w:rPr>
        <w:t>%</w:t>
      </w:r>
      <w:r>
        <w:rPr>
          <w:rStyle w:val="14"/>
          <w:rFonts w:hint="eastAsia" w:ascii="仿宋" w:eastAsia="仿宋"/>
          <w:b w:val="0"/>
          <w:bCs/>
          <w:color w:val="000000"/>
          <w:sz w:val="32"/>
          <w:szCs w:val="32"/>
        </w:rPr>
        <w:t>，决算数等于预算数。</w:t>
      </w:r>
    </w:p>
    <w:p>
      <w:pPr>
        <w:spacing w:line="600" w:lineRule="exact"/>
        <w:ind w:firstLine="640" w:firstLineChars="200"/>
        <w:rPr>
          <w:rStyle w:val="14"/>
          <w:rFonts w:ascii="仿宋" w:eastAsia="仿宋"/>
          <w:b w:val="0"/>
          <w:bCs/>
          <w:color w:val="000000"/>
          <w:sz w:val="32"/>
          <w:szCs w:val="32"/>
        </w:rPr>
      </w:pPr>
      <w:r>
        <w:rPr>
          <w:rStyle w:val="14"/>
          <w:rFonts w:hint="eastAsia" w:ascii="仿宋" w:eastAsia="仿宋"/>
          <w:b w:val="0"/>
          <w:bCs/>
          <w:color w:val="000000"/>
          <w:sz w:val="32"/>
          <w:szCs w:val="32"/>
        </w:rPr>
        <w:t>7.交通运输支出：</w:t>
      </w:r>
    </w:p>
    <w:p>
      <w:pPr>
        <w:spacing w:line="600" w:lineRule="exact"/>
        <w:ind w:firstLine="643" w:firstLineChars="200"/>
        <w:rPr>
          <w:rStyle w:val="14"/>
          <w:rFonts w:ascii="仿宋" w:eastAsia="仿宋"/>
          <w:b w:val="0"/>
          <w:bCs/>
          <w:color w:val="000000"/>
          <w:sz w:val="32"/>
          <w:szCs w:val="32"/>
        </w:rPr>
      </w:pPr>
      <w:r>
        <w:rPr>
          <w:rStyle w:val="14"/>
          <w:rFonts w:hint="eastAsia" w:ascii="仿宋_GB2312" w:eastAsia="仿宋_GB2312"/>
          <w:color w:val="000000"/>
          <w:sz w:val="32"/>
          <w:szCs w:val="32"/>
        </w:rPr>
        <w:t>2140110交通运输支出（类）公路水路运输（款）公路和运输安全（项）：</w:t>
      </w:r>
      <w:r>
        <w:rPr>
          <w:rStyle w:val="14"/>
          <w:rFonts w:hint="eastAsia" w:ascii="仿宋" w:eastAsia="仿宋"/>
          <w:b w:val="0"/>
          <w:bCs/>
          <w:color w:val="000000"/>
          <w:sz w:val="32"/>
          <w:szCs w:val="32"/>
        </w:rPr>
        <w:t>支出决算为8.11万元，完成预算100</w:t>
      </w:r>
      <w:r>
        <w:rPr>
          <w:rStyle w:val="14"/>
          <w:rFonts w:ascii="仿宋" w:eastAsia="仿宋"/>
          <w:b w:val="0"/>
          <w:bCs/>
          <w:color w:val="000000"/>
          <w:sz w:val="32"/>
          <w:szCs w:val="32"/>
        </w:rPr>
        <w:t>%</w:t>
      </w:r>
      <w:r>
        <w:rPr>
          <w:rStyle w:val="14"/>
          <w:rFonts w:hint="eastAsia" w:ascii="仿宋" w:eastAsia="仿宋"/>
          <w:b w:val="0"/>
          <w:bCs/>
          <w:color w:val="000000"/>
          <w:sz w:val="32"/>
          <w:szCs w:val="32"/>
        </w:rPr>
        <w:t>，决算数等于预算数。</w:t>
      </w:r>
    </w:p>
    <w:p>
      <w:pPr>
        <w:spacing w:line="578" w:lineRule="exact"/>
        <w:ind w:firstLine="643" w:firstLineChars="200"/>
        <w:rPr>
          <w:rStyle w:val="14"/>
          <w:rFonts w:ascii="仿宋_GB2312" w:eastAsia="仿宋_GB2312"/>
          <w:bCs/>
          <w:color w:val="000000"/>
          <w:sz w:val="32"/>
          <w:szCs w:val="32"/>
        </w:rPr>
      </w:pPr>
      <w:r>
        <w:rPr>
          <w:rStyle w:val="14"/>
          <w:rFonts w:hint="eastAsia" w:ascii="仿宋_GB2312" w:eastAsia="仿宋_GB2312"/>
          <w:bCs/>
          <w:color w:val="000000"/>
          <w:sz w:val="32"/>
          <w:szCs w:val="32"/>
        </w:rPr>
        <w:t>8.住房保障支出：</w:t>
      </w:r>
    </w:p>
    <w:p>
      <w:pPr>
        <w:spacing w:line="600" w:lineRule="exact"/>
        <w:ind w:firstLine="643" w:firstLineChars="200"/>
        <w:rPr>
          <w:rStyle w:val="14"/>
          <w:rFonts w:ascii="仿宋" w:eastAsia="仿宋"/>
          <w:b w:val="0"/>
          <w:bCs/>
          <w:color w:val="000000"/>
          <w:sz w:val="32"/>
          <w:szCs w:val="32"/>
        </w:rPr>
      </w:pPr>
      <w:r>
        <w:rPr>
          <w:rStyle w:val="14"/>
          <w:rFonts w:hint="eastAsia" w:ascii="仿宋_GB2312" w:eastAsia="仿宋_GB2312"/>
          <w:bCs/>
          <w:color w:val="000000"/>
          <w:sz w:val="32"/>
          <w:szCs w:val="32"/>
        </w:rPr>
        <w:t>2210201住房保障支出（类）住房改革支出（款）住房公积金（项）</w:t>
      </w:r>
      <w:r>
        <w:rPr>
          <w:rStyle w:val="14"/>
          <w:rFonts w:hint="eastAsia" w:ascii="仿宋_GB2312" w:eastAsia="仿宋_GB2312"/>
          <w:color w:val="000000"/>
          <w:sz w:val="32"/>
          <w:szCs w:val="32"/>
        </w:rPr>
        <w:t>：</w:t>
      </w:r>
      <w:r>
        <w:rPr>
          <w:rStyle w:val="14"/>
          <w:rFonts w:hint="eastAsia" w:ascii="仿宋" w:eastAsia="仿宋"/>
          <w:b w:val="0"/>
          <w:bCs/>
          <w:color w:val="000000"/>
          <w:sz w:val="32"/>
          <w:szCs w:val="32"/>
        </w:rPr>
        <w:t>支出决算为19.21万元，完成预算100</w:t>
      </w:r>
      <w:r>
        <w:rPr>
          <w:rStyle w:val="14"/>
          <w:rFonts w:ascii="仿宋" w:eastAsia="仿宋"/>
          <w:b w:val="0"/>
          <w:bCs/>
          <w:color w:val="000000"/>
          <w:sz w:val="32"/>
          <w:szCs w:val="32"/>
        </w:rPr>
        <w:t>%</w:t>
      </w:r>
      <w:r>
        <w:rPr>
          <w:rStyle w:val="14"/>
          <w:rFonts w:hint="eastAsia" w:ascii="仿宋" w:eastAsia="仿宋"/>
          <w:b w:val="0"/>
          <w:bCs/>
          <w:color w:val="000000"/>
          <w:sz w:val="32"/>
          <w:szCs w:val="32"/>
        </w:rPr>
        <w:t>，决算数等于预算数。</w:t>
      </w:r>
    </w:p>
    <w:p>
      <w:pPr>
        <w:spacing w:line="600" w:lineRule="exact"/>
        <w:ind w:firstLine="643" w:firstLineChars="200"/>
        <w:rPr>
          <w:rStyle w:val="14"/>
          <w:rFonts w:ascii="仿宋_GB2312" w:eastAsia="仿宋_GB2312"/>
          <w:bCs/>
          <w:color w:val="000000"/>
          <w:sz w:val="32"/>
          <w:szCs w:val="32"/>
        </w:rPr>
      </w:pPr>
      <w:r>
        <w:rPr>
          <w:rStyle w:val="14"/>
          <w:rFonts w:hint="eastAsia" w:ascii="仿宋_GB2312" w:eastAsia="仿宋_GB2312"/>
          <w:bCs/>
          <w:color w:val="000000"/>
          <w:sz w:val="32"/>
          <w:szCs w:val="32"/>
        </w:rPr>
        <w:t>9.其他支出：</w:t>
      </w:r>
    </w:p>
    <w:p>
      <w:pPr>
        <w:spacing w:line="600" w:lineRule="exact"/>
        <w:ind w:firstLine="643" w:firstLineChars="200"/>
        <w:rPr>
          <w:rStyle w:val="14"/>
          <w:rFonts w:ascii="仿宋" w:eastAsia="仿宋"/>
          <w:b w:val="0"/>
          <w:bCs/>
          <w:color w:val="000000"/>
          <w:sz w:val="32"/>
          <w:szCs w:val="32"/>
        </w:rPr>
      </w:pPr>
      <w:r>
        <w:rPr>
          <w:rStyle w:val="14"/>
          <w:rFonts w:hint="eastAsia" w:ascii="仿宋_GB2312" w:eastAsia="仿宋_GB2312"/>
          <w:bCs/>
          <w:color w:val="000000"/>
          <w:sz w:val="32"/>
          <w:szCs w:val="32"/>
        </w:rPr>
        <w:t>2299901其他支出（类）其他支出</w:t>
      </w:r>
      <w:r>
        <w:rPr>
          <w:rStyle w:val="14"/>
          <w:rFonts w:hint="eastAsia" w:ascii="仿宋" w:eastAsia="仿宋"/>
          <w:b w:val="0"/>
          <w:bCs/>
          <w:color w:val="000000"/>
          <w:sz w:val="32"/>
          <w:szCs w:val="32"/>
        </w:rPr>
        <w:t>，</w:t>
      </w:r>
      <w:r>
        <w:rPr>
          <w:rStyle w:val="14"/>
          <w:rFonts w:hint="eastAsia" w:ascii="仿宋_GB2312" w:eastAsia="仿宋_GB2312"/>
          <w:bCs/>
          <w:color w:val="000000"/>
          <w:sz w:val="32"/>
          <w:szCs w:val="32"/>
        </w:rPr>
        <w:t>（款）其他（项）</w:t>
      </w:r>
      <w:r>
        <w:rPr>
          <w:rStyle w:val="14"/>
          <w:rFonts w:hint="eastAsia" w:ascii="仿宋_GB2312" w:eastAsia="仿宋_GB2312"/>
          <w:color w:val="000000"/>
          <w:sz w:val="32"/>
          <w:szCs w:val="32"/>
        </w:rPr>
        <w:t>：</w:t>
      </w:r>
      <w:r>
        <w:rPr>
          <w:rStyle w:val="14"/>
          <w:rFonts w:hint="eastAsia" w:ascii="仿宋" w:eastAsia="仿宋"/>
          <w:b w:val="0"/>
          <w:bCs/>
          <w:color w:val="000000"/>
          <w:sz w:val="32"/>
          <w:szCs w:val="32"/>
        </w:rPr>
        <w:t>支出决算为30万元，完成预算100</w:t>
      </w:r>
      <w:r>
        <w:rPr>
          <w:rStyle w:val="14"/>
          <w:rFonts w:ascii="仿宋" w:eastAsia="仿宋"/>
          <w:b w:val="0"/>
          <w:bCs/>
          <w:color w:val="000000"/>
          <w:sz w:val="32"/>
          <w:szCs w:val="32"/>
        </w:rPr>
        <w:t>%</w:t>
      </w:r>
      <w:r>
        <w:rPr>
          <w:rStyle w:val="14"/>
          <w:rFonts w:hint="eastAsia" w:ascii="仿宋" w:eastAsia="仿宋"/>
          <w:b w:val="0"/>
          <w:bCs/>
          <w:color w:val="000000"/>
          <w:sz w:val="32"/>
          <w:szCs w:val="32"/>
        </w:rPr>
        <w:t>，决算数等于预算数。</w:t>
      </w:r>
    </w:p>
    <w:p>
      <w:pPr>
        <w:tabs>
          <w:tab w:val="right" w:pos="8306"/>
        </w:tabs>
        <w:spacing w:line="600" w:lineRule="exact"/>
        <w:ind w:firstLine="640"/>
        <w:outlineLvl w:val="1"/>
        <w:rPr>
          <w:rStyle w:val="17"/>
        </w:rPr>
      </w:pPr>
      <w:bookmarkStart w:id="40" w:name="_Toc15396608"/>
      <w:bookmarkStart w:id="41" w:name="_Toc15377214"/>
      <w:r>
        <w:rPr>
          <w:rFonts w:hint="eastAsia" w:ascii="黑体" w:eastAsia="黑体"/>
          <w:color w:val="000000"/>
          <w:sz w:val="32"/>
          <w:szCs w:val="32"/>
        </w:rPr>
        <w:t>六</w:t>
      </w:r>
      <w:r>
        <w:rPr>
          <w:rFonts w:hint="eastAsia" w:ascii="黑体" w:eastAsia="黑体"/>
          <w:b/>
          <w:color w:val="000000"/>
          <w:sz w:val="32"/>
          <w:szCs w:val="32"/>
        </w:rPr>
        <w:t>、一</w:t>
      </w:r>
      <w:r>
        <w:rPr>
          <w:rStyle w:val="17"/>
          <w:rFonts w:hint="eastAsia" w:ascii="黑体" w:eastAsia="黑体"/>
          <w:b w:val="0"/>
        </w:rPr>
        <w:t>般公共预算财政拨款基本支出决算情况说明</w:t>
      </w:r>
      <w:bookmarkEnd w:id="40"/>
      <w:bookmarkEnd w:id="41"/>
      <w:r>
        <w:rPr>
          <w:rStyle w:val="17"/>
          <w:rFonts w:ascii="黑体" w:eastAsia="黑体"/>
          <w:b w:val="0"/>
        </w:rPr>
        <w:tab/>
      </w:r>
    </w:p>
    <w:p>
      <w:pPr>
        <w:spacing w:line="600" w:lineRule="exact"/>
        <w:ind w:firstLine="645"/>
        <w:rPr>
          <w:rFonts w:ascii="仿宋" w:eastAsia="仿宋"/>
          <w:color w:val="000000"/>
          <w:sz w:val="32"/>
          <w:szCs w:val="32"/>
        </w:rPr>
      </w:pPr>
      <w:r>
        <w:rPr>
          <w:rFonts w:ascii="仿宋" w:eastAsia="仿宋"/>
          <w:color w:val="000000"/>
          <w:sz w:val="32"/>
          <w:szCs w:val="32"/>
        </w:rPr>
        <w:t>201</w:t>
      </w:r>
      <w:r>
        <w:rPr>
          <w:rFonts w:hint="eastAsia" w:ascii="仿宋" w:eastAsia="仿宋"/>
          <w:color w:val="000000"/>
          <w:sz w:val="32"/>
          <w:szCs w:val="32"/>
        </w:rPr>
        <w:t>8年一般公共预算财政拨款基本支出677.66万元，其中：</w:t>
      </w:r>
    </w:p>
    <w:p>
      <w:pPr>
        <w:spacing w:line="600" w:lineRule="exact"/>
        <w:ind w:firstLine="645"/>
        <w:rPr>
          <w:rFonts w:ascii="仿宋" w:eastAsia="仿宋"/>
          <w:color w:val="000000"/>
          <w:sz w:val="32"/>
          <w:szCs w:val="32"/>
        </w:rPr>
      </w:pPr>
      <w:r>
        <w:rPr>
          <w:rFonts w:hint="eastAsia" w:ascii="仿宋" w:eastAsia="仿宋"/>
          <w:color w:val="000000"/>
          <w:sz w:val="32"/>
          <w:szCs w:val="32"/>
        </w:rPr>
        <w:t>人员经费546.28万元，主要包括：基本工资、津贴补贴、奖金、伙食补助费、绩效工资、机关事业单位基本养老保险缴费、职业年金缴费、其他社会保障缴费、其他工资福利支出、离休费、退休费、抚恤金、生活补助、医疗费、奖励金、住房公积金、提租补贴、购房补贴、其他对个人和家庭的补助支出等。</w:t>
      </w:r>
      <w:r>
        <w:rPr>
          <w:rFonts w:ascii="仿宋" w:eastAsia="仿宋"/>
          <w:color w:val="000000"/>
          <w:sz w:val="32"/>
          <w:szCs w:val="32"/>
        </w:rPr>
        <w:br w:type="textWrapping"/>
      </w:r>
      <w:r>
        <w:rPr>
          <w:rFonts w:hint="eastAsia" w:ascii="仿宋" w:eastAsia="仿宋"/>
          <w:color w:val="000000"/>
          <w:sz w:val="32"/>
          <w:szCs w:val="32"/>
        </w:rPr>
        <w:t>　　公用经费131.38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pPr>
        <w:spacing w:line="600" w:lineRule="exact"/>
        <w:ind w:firstLine="640"/>
        <w:outlineLvl w:val="1"/>
        <w:rPr>
          <w:rStyle w:val="17"/>
          <w:rFonts w:ascii="黑体" w:eastAsia="黑体"/>
          <w:b w:val="0"/>
        </w:rPr>
      </w:pPr>
      <w:bookmarkStart w:id="42" w:name="_Toc15396609"/>
      <w:bookmarkStart w:id="43" w:name="_Toc15377215"/>
      <w:r>
        <w:rPr>
          <w:rFonts w:hint="eastAsia" w:ascii="黑体" w:eastAsia="黑体"/>
          <w:color w:val="000000"/>
          <w:sz w:val="32"/>
          <w:szCs w:val="32"/>
        </w:rPr>
        <w:t>七、</w:t>
      </w:r>
      <w:r>
        <w:rPr>
          <w:rStyle w:val="17"/>
          <w:rFonts w:hint="eastAsia" w:ascii="黑体" w:eastAsia="黑体"/>
        </w:rPr>
        <w:t>“</w:t>
      </w:r>
      <w:r>
        <w:rPr>
          <w:rStyle w:val="17"/>
          <w:rFonts w:hint="eastAsia" w:ascii="黑体" w:eastAsia="黑体"/>
          <w:b w:val="0"/>
        </w:rPr>
        <w:t>三公”经费财政拨款支出决算情况说明</w:t>
      </w:r>
      <w:bookmarkEnd w:id="42"/>
      <w:bookmarkEnd w:id="43"/>
    </w:p>
    <w:p>
      <w:pPr>
        <w:spacing w:line="600" w:lineRule="exact"/>
        <w:ind w:firstLine="640"/>
        <w:outlineLvl w:val="2"/>
        <w:rPr>
          <w:rFonts w:ascii="仿宋" w:eastAsia="仿宋"/>
          <w:b/>
          <w:color w:val="000000"/>
          <w:sz w:val="32"/>
          <w:szCs w:val="32"/>
        </w:rPr>
      </w:pPr>
      <w:bookmarkStart w:id="44" w:name="_Toc15377216"/>
      <w:r>
        <w:rPr>
          <w:rFonts w:hint="eastAsia" w:ascii="仿宋" w:eastAsia="仿宋"/>
          <w:b/>
          <w:color w:val="000000"/>
          <w:sz w:val="32"/>
          <w:szCs w:val="32"/>
        </w:rPr>
        <w:t>（一）“三公”经费财政拨款支出决算总体情况说明</w:t>
      </w:r>
      <w:bookmarkEnd w:id="44"/>
    </w:p>
    <w:p>
      <w:pPr>
        <w:spacing w:line="600" w:lineRule="exact"/>
        <w:ind w:firstLine="640"/>
        <w:rPr>
          <w:rFonts w:ascii="仿宋" w:eastAsia="仿宋"/>
          <w:color w:val="000000"/>
          <w:sz w:val="32"/>
          <w:szCs w:val="32"/>
        </w:rPr>
      </w:pPr>
      <w:r>
        <w:rPr>
          <w:rFonts w:ascii="仿宋" w:eastAsia="仿宋"/>
          <w:color w:val="000000"/>
          <w:sz w:val="32"/>
          <w:szCs w:val="32"/>
        </w:rPr>
        <w:t>201</w:t>
      </w:r>
      <w:r>
        <w:rPr>
          <w:rFonts w:hint="eastAsia" w:ascii="仿宋" w:eastAsia="仿宋"/>
          <w:color w:val="000000"/>
          <w:sz w:val="32"/>
          <w:szCs w:val="32"/>
        </w:rPr>
        <w:t>8年“三公”经费财政拨款支出决算为11.88万元，完成预算100</w:t>
      </w:r>
      <w:r>
        <w:rPr>
          <w:rFonts w:ascii="仿宋" w:eastAsia="仿宋"/>
          <w:color w:val="000000"/>
          <w:sz w:val="32"/>
          <w:szCs w:val="32"/>
        </w:rPr>
        <w:t>%</w:t>
      </w:r>
      <w:r>
        <w:rPr>
          <w:rFonts w:hint="eastAsia" w:ascii="仿宋" w:eastAsia="仿宋"/>
          <w:color w:val="000000"/>
          <w:sz w:val="32"/>
          <w:szCs w:val="32"/>
        </w:rPr>
        <w:t>，决算数与预算数持平。</w:t>
      </w:r>
    </w:p>
    <w:p>
      <w:pPr>
        <w:spacing w:line="600" w:lineRule="exact"/>
        <w:ind w:firstLine="640"/>
        <w:outlineLvl w:val="2"/>
        <w:rPr>
          <w:rFonts w:ascii="仿宋" w:eastAsia="仿宋"/>
          <w:b/>
          <w:color w:val="000000"/>
          <w:sz w:val="32"/>
          <w:szCs w:val="32"/>
        </w:rPr>
      </w:pPr>
      <w:bookmarkStart w:id="45" w:name="_Toc15377217"/>
      <w:r>
        <w:rPr>
          <w:rFonts w:hint="eastAsia" w:ascii="仿宋" w:eastAsia="仿宋"/>
          <w:b/>
          <w:color w:val="000000"/>
          <w:sz w:val="32"/>
          <w:szCs w:val="32"/>
        </w:rPr>
        <w:t>（二）“三公”经费财政拨款支出决算具体情况说明</w:t>
      </w:r>
      <w:bookmarkEnd w:id="45"/>
    </w:p>
    <w:p>
      <w:pPr>
        <w:spacing w:line="600" w:lineRule="exact"/>
        <w:ind w:firstLine="640"/>
        <w:rPr>
          <w:rFonts w:ascii="仿宋" w:eastAsia="仿宋"/>
          <w:color w:val="000000"/>
          <w:sz w:val="32"/>
          <w:szCs w:val="32"/>
        </w:rPr>
      </w:pPr>
      <w:r>
        <w:rPr>
          <w:rFonts w:ascii="仿宋" w:eastAsia="仿宋"/>
          <w:color w:val="000000"/>
          <w:sz w:val="32"/>
          <w:szCs w:val="32"/>
        </w:rPr>
        <w:t>201</w:t>
      </w:r>
      <w:r>
        <w:rPr>
          <w:rFonts w:hint="eastAsia" w:ascii="仿宋" w:eastAsia="仿宋"/>
          <w:color w:val="000000"/>
          <w:sz w:val="32"/>
          <w:szCs w:val="32"/>
        </w:rPr>
        <w:t>8年“三公”经费财政拨款支出决算中，因公出国（境）费支出决算0万元，占0</w:t>
      </w:r>
      <w:r>
        <w:rPr>
          <w:rFonts w:ascii="仿宋" w:eastAsia="仿宋"/>
          <w:color w:val="000000"/>
          <w:sz w:val="32"/>
          <w:szCs w:val="32"/>
        </w:rPr>
        <w:t>%</w:t>
      </w:r>
      <w:r>
        <w:rPr>
          <w:rFonts w:hint="eastAsia" w:ascii="仿宋" w:eastAsia="仿宋"/>
          <w:color w:val="000000"/>
          <w:sz w:val="32"/>
          <w:szCs w:val="32"/>
        </w:rPr>
        <w:t>；公务用车购置及运行维护费支出决算0万元，占0</w:t>
      </w:r>
      <w:r>
        <w:rPr>
          <w:rFonts w:ascii="仿宋" w:eastAsia="仿宋"/>
          <w:color w:val="000000"/>
          <w:sz w:val="32"/>
          <w:szCs w:val="32"/>
        </w:rPr>
        <w:t>%</w:t>
      </w:r>
      <w:r>
        <w:rPr>
          <w:rFonts w:hint="eastAsia" w:ascii="仿宋" w:eastAsia="仿宋"/>
          <w:color w:val="000000"/>
          <w:sz w:val="32"/>
          <w:szCs w:val="32"/>
        </w:rPr>
        <w:t>；公务接待费支出决算11.88万元，占100</w:t>
      </w:r>
      <w:r>
        <w:rPr>
          <w:rFonts w:ascii="仿宋" w:eastAsia="仿宋"/>
          <w:color w:val="000000"/>
          <w:sz w:val="32"/>
          <w:szCs w:val="32"/>
        </w:rPr>
        <w:t>%</w:t>
      </w:r>
      <w:r>
        <w:rPr>
          <w:rFonts w:hint="eastAsia" w:ascii="仿宋" w:eastAsia="仿宋"/>
          <w:color w:val="000000"/>
          <w:sz w:val="32"/>
          <w:szCs w:val="32"/>
        </w:rPr>
        <w:t>。具体情况如下：</w:t>
      </w:r>
    </w:p>
    <w:p>
      <w:pPr>
        <w:numPr>
          <w:ilvl w:val="0"/>
          <w:numId w:val="2"/>
        </w:numPr>
        <w:spacing w:line="600" w:lineRule="exact"/>
        <w:ind w:left="0" w:firstLine="640"/>
        <w:rPr>
          <w:rFonts w:ascii="仿宋_GB2312" w:eastAsia="仿宋_GB2312"/>
          <w:color w:val="000000"/>
          <w:sz w:val="32"/>
          <w:szCs w:val="32"/>
        </w:rPr>
      </w:pPr>
      <w:r>
        <w:rPr>
          <w:rFonts w:hint="eastAsia" w:ascii="仿宋_GB2312" w:eastAsia="仿宋_GB2312"/>
          <w:b/>
          <w:color w:val="000000"/>
          <w:sz w:val="32"/>
          <w:szCs w:val="32"/>
        </w:rPr>
        <w:t>因公出国（境）经费支出</w:t>
      </w:r>
      <w:r>
        <w:rPr>
          <w:rFonts w:hint="eastAsia" w:ascii="仿宋_GB2312" w:eastAsia="仿宋_GB2312"/>
          <w:color w:val="000000"/>
          <w:sz w:val="32"/>
          <w:szCs w:val="32"/>
        </w:rPr>
        <w:t>0万元，</w:t>
      </w:r>
      <w:r>
        <w:rPr>
          <w:rStyle w:val="14"/>
          <w:rFonts w:hint="eastAsia" w:ascii="仿宋" w:eastAsia="仿宋"/>
          <w:b w:val="0"/>
          <w:bCs/>
          <w:color w:val="000000"/>
          <w:sz w:val="32"/>
          <w:szCs w:val="32"/>
        </w:rPr>
        <w:t>完成预算100</w:t>
      </w:r>
      <w:r>
        <w:rPr>
          <w:rStyle w:val="14"/>
          <w:rFonts w:ascii="仿宋" w:eastAsia="仿宋"/>
          <w:b w:val="0"/>
          <w:bCs/>
          <w:color w:val="000000"/>
          <w:sz w:val="32"/>
          <w:szCs w:val="32"/>
        </w:rPr>
        <w:t>%</w:t>
      </w:r>
      <w:r>
        <w:rPr>
          <w:rStyle w:val="14"/>
          <w:rFonts w:hint="eastAsia" w:ascii="仿宋" w:eastAsia="仿宋"/>
          <w:b w:val="0"/>
          <w:bCs/>
          <w:color w:val="000000"/>
          <w:sz w:val="32"/>
          <w:szCs w:val="32"/>
        </w:rPr>
        <w:t>。</w:t>
      </w:r>
      <w:r>
        <w:rPr>
          <w:rFonts w:hint="eastAsia" w:ascii="仿宋_GB2312" w:eastAsia="仿宋_GB2312"/>
          <w:color w:val="000000"/>
          <w:sz w:val="32"/>
          <w:szCs w:val="32"/>
        </w:rPr>
        <w:t>全年安排因公出国（境）团组0次，出国（境）0人。</w:t>
      </w:r>
    </w:p>
    <w:p>
      <w:pPr>
        <w:spacing w:line="600" w:lineRule="exact"/>
        <w:ind w:firstLine="640"/>
        <w:rPr>
          <w:rFonts w:ascii="仿宋_GB2312" w:eastAsia="仿宋_GB2312"/>
          <w:b/>
          <w:color w:val="000000"/>
          <w:sz w:val="32"/>
          <w:szCs w:val="32"/>
        </w:rPr>
      </w:pPr>
      <w:r>
        <w:rPr>
          <w:rFonts w:ascii="仿宋_GB2312" w:eastAsia="仿宋_GB2312"/>
          <w:b/>
          <w:color w:val="000000"/>
          <w:sz w:val="32"/>
          <w:szCs w:val="32"/>
        </w:rPr>
        <w:t>2.</w:t>
      </w:r>
      <w:r>
        <w:rPr>
          <w:rFonts w:hint="eastAsia" w:ascii="仿宋_GB2312" w:eastAsia="仿宋_GB2312"/>
          <w:b/>
          <w:color w:val="000000"/>
          <w:sz w:val="32"/>
          <w:szCs w:val="32"/>
        </w:rPr>
        <w:t>公务用车购置及运行维护费支出</w:t>
      </w:r>
      <w:r>
        <w:rPr>
          <w:rFonts w:hint="eastAsia" w:ascii="仿宋_GB2312" w:eastAsia="仿宋_GB2312"/>
          <w:color w:val="000000"/>
          <w:sz w:val="32"/>
          <w:szCs w:val="32"/>
        </w:rPr>
        <w:t>0万元,</w:t>
      </w:r>
      <w:r>
        <w:rPr>
          <w:rStyle w:val="14"/>
          <w:rFonts w:hint="eastAsia" w:ascii="仿宋" w:eastAsia="仿宋"/>
          <w:b w:val="0"/>
          <w:bCs/>
          <w:color w:val="000000"/>
          <w:sz w:val="32"/>
          <w:szCs w:val="32"/>
        </w:rPr>
        <w:t>完成预算100</w:t>
      </w:r>
      <w:r>
        <w:rPr>
          <w:rStyle w:val="14"/>
          <w:rFonts w:ascii="仿宋" w:eastAsia="仿宋"/>
          <w:b w:val="0"/>
          <w:bCs/>
          <w:color w:val="000000"/>
          <w:sz w:val="32"/>
          <w:szCs w:val="32"/>
        </w:rPr>
        <w:t>%</w:t>
      </w:r>
      <w:r>
        <w:rPr>
          <w:rStyle w:val="14"/>
          <w:rFonts w:hint="eastAsia" w:ascii="仿宋" w:eastAsia="仿宋"/>
          <w:b w:val="0"/>
          <w:bCs/>
          <w:color w:val="000000"/>
          <w:sz w:val="32"/>
          <w:szCs w:val="32"/>
        </w:rPr>
        <w:t>。年初无预算</w:t>
      </w:r>
      <w:r>
        <w:rPr>
          <w:rFonts w:hint="eastAsia" w:ascii="仿宋_GB2312" w:eastAsia="仿宋_GB2312"/>
          <w:color w:val="000000"/>
          <w:sz w:val="32"/>
          <w:szCs w:val="32"/>
        </w:rPr>
        <w:t>公务用车购置及运行维护费。</w:t>
      </w:r>
    </w:p>
    <w:p>
      <w:pPr>
        <w:spacing w:line="600" w:lineRule="exact"/>
        <w:ind w:firstLine="640" w:firstLineChars="200"/>
        <w:rPr>
          <w:rFonts w:ascii="仿宋_GB2312" w:eastAsia="仿宋_GB2312"/>
          <w:b/>
          <w:color w:val="000000"/>
          <w:sz w:val="32"/>
          <w:szCs w:val="32"/>
        </w:rPr>
      </w:pPr>
      <w:r>
        <w:rPr>
          <w:rFonts w:hint="eastAsia" w:ascii="仿宋_GB2312" w:eastAsia="仿宋_GB2312"/>
          <w:color w:val="000000"/>
          <w:sz w:val="32"/>
          <w:szCs w:val="32"/>
        </w:rPr>
        <w:t>其中：</w:t>
      </w:r>
      <w:r>
        <w:rPr>
          <w:rFonts w:hint="eastAsia" w:ascii="仿宋_GB2312" w:eastAsia="仿宋_GB2312"/>
          <w:b/>
          <w:color w:val="000000"/>
          <w:sz w:val="32"/>
          <w:szCs w:val="32"/>
        </w:rPr>
        <w:t>公务用车购置支出</w:t>
      </w:r>
      <w:r>
        <w:rPr>
          <w:rFonts w:hint="eastAsia" w:ascii="仿宋_GB2312" w:eastAsia="仿宋_GB2312"/>
          <w:color w:val="000000"/>
          <w:sz w:val="32"/>
          <w:szCs w:val="32"/>
        </w:rPr>
        <w:t>0万元。全年按规定更新购置公务用车0辆，其中：轿车0辆、金额0万元，越野车0辆、金额0万元，载客汽车0辆、金额0万元，截至</w:t>
      </w:r>
      <w:r>
        <w:rPr>
          <w:rFonts w:ascii="仿宋_GB2312" w:eastAsia="仿宋_GB2312"/>
          <w:color w:val="000000"/>
          <w:sz w:val="32"/>
          <w:szCs w:val="32"/>
        </w:rPr>
        <w:t>201</w:t>
      </w:r>
      <w:r>
        <w:rPr>
          <w:rFonts w:hint="eastAsia" w:ascii="仿宋_GB2312" w:eastAsia="仿宋_GB2312"/>
          <w:color w:val="000000"/>
          <w:sz w:val="32"/>
          <w:szCs w:val="32"/>
        </w:rPr>
        <w:t>8年</w:t>
      </w:r>
      <w:r>
        <w:rPr>
          <w:rFonts w:ascii="仿宋_GB2312" w:eastAsia="仿宋_GB2312"/>
          <w:color w:val="000000"/>
          <w:sz w:val="32"/>
          <w:szCs w:val="32"/>
        </w:rPr>
        <w:t>12</w:t>
      </w:r>
      <w:r>
        <w:rPr>
          <w:rFonts w:hint="eastAsia" w:ascii="仿宋_GB2312" w:eastAsia="仿宋_GB2312"/>
          <w:color w:val="000000"/>
          <w:sz w:val="32"/>
          <w:szCs w:val="32"/>
        </w:rPr>
        <w:t>月底，单位公务用车0辆。</w:t>
      </w:r>
    </w:p>
    <w:p>
      <w:pPr>
        <w:spacing w:line="600" w:lineRule="exact"/>
        <w:ind w:firstLine="640"/>
        <w:rPr>
          <w:rFonts w:ascii="仿宋_GB2312" w:eastAsia="仿宋_GB2312"/>
          <w:color w:val="000000"/>
          <w:sz w:val="32"/>
          <w:szCs w:val="32"/>
        </w:rPr>
      </w:pPr>
      <w:r>
        <w:rPr>
          <w:rFonts w:ascii="仿宋_GB2312" w:eastAsia="仿宋_GB2312"/>
          <w:b/>
          <w:color w:val="000000"/>
          <w:sz w:val="32"/>
          <w:szCs w:val="32"/>
        </w:rPr>
        <w:t>3.</w:t>
      </w:r>
      <w:r>
        <w:rPr>
          <w:rFonts w:hint="eastAsia" w:ascii="仿宋_GB2312" w:eastAsia="仿宋_GB2312"/>
          <w:b/>
          <w:color w:val="000000"/>
          <w:sz w:val="32"/>
          <w:szCs w:val="32"/>
        </w:rPr>
        <w:t>公务接待费支出</w:t>
      </w:r>
      <w:r>
        <w:rPr>
          <w:rFonts w:hint="eastAsia" w:ascii="仿宋_GB2312" w:eastAsia="仿宋_GB2312"/>
          <w:color w:val="000000"/>
          <w:sz w:val="32"/>
          <w:szCs w:val="32"/>
        </w:rPr>
        <w:t>11.88万元，</w:t>
      </w:r>
      <w:r>
        <w:rPr>
          <w:rStyle w:val="14"/>
          <w:rFonts w:hint="eastAsia" w:ascii="仿宋" w:eastAsia="仿宋"/>
          <w:b w:val="0"/>
          <w:bCs/>
          <w:color w:val="000000"/>
          <w:sz w:val="32"/>
          <w:szCs w:val="32"/>
        </w:rPr>
        <w:t>完成预算100</w:t>
      </w:r>
      <w:r>
        <w:rPr>
          <w:rStyle w:val="14"/>
          <w:rFonts w:ascii="仿宋" w:eastAsia="仿宋"/>
          <w:b w:val="0"/>
          <w:bCs/>
          <w:color w:val="000000"/>
          <w:sz w:val="32"/>
          <w:szCs w:val="32"/>
        </w:rPr>
        <w:t>%</w:t>
      </w:r>
      <w:r>
        <w:rPr>
          <w:rStyle w:val="14"/>
          <w:rFonts w:hint="eastAsia" w:ascii="仿宋" w:eastAsia="仿宋"/>
          <w:b w:val="0"/>
          <w:bCs/>
          <w:color w:val="000000"/>
          <w:sz w:val="32"/>
          <w:szCs w:val="32"/>
        </w:rPr>
        <w:t>。</w:t>
      </w:r>
      <w:r>
        <w:rPr>
          <w:rFonts w:hint="eastAsia" w:ascii="仿宋_GB2312" w:eastAsia="仿宋_GB2312"/>
          <w:color w:val="000000"/>
          <w:sz w:val="32"/>
          <w:szCs w:val="32"/>
        </w:rPr>
        <w:t>公务接待费支出决算比</w:t>
      </w:r>
      <w:r>
        <w:rPr>
          <w:rFonts w:ascii="仿宋_GB2312" w:eastAsia="仿宋_GB2312"/>
          <w:color w:val="000000"/>
          <w:sz w:val="32"/>
          <w:szCs w:val="32"/>
        </w:rPr>
        <w:t>201</w:t>
      </w:r>
      <w:r>
        <w:rPr>
          <w:rFonts w:hint="eastAsia" w:ascii="仿宋_GB2312" w:eastAsia="仿宋_GB2312"/>
          <w:color w:val="000000"/>
          <w:sz w:val="32"/>
          <w:szCs w:val="32"/>
        </w:rPr>
        <w:t>7年减少0.8万元，下降6.31</w:t>
      </w:r>
      <w:r>
        <w:rPr>
          <w:rFonts w:ascii="仿宋_GB2312" w:eastAsia="仿宋_GB2312"/>
          <w:color w:val="000000"/>
          <w:sz w:val="32"/>
          <w:szCs w:val="32"/>
        </w:rPr>
        <w:t>%</w:t>
      </w:r>
      <w:r>
        <w:rPr>
          <w:rFonts w:hint="eastAsia" w:ascii="仿宋_GB2312" w:eastAsia="仿宋_GB2312"/>
          <w:color w:val="000000"/>
          <w:sz w:val="32"/>
          <w:szCs w:val="32"/>
        </w:rPr>
        <w:t>。主要原因是黄庭乡狠抓落实，对公务接待费用实行集体会签制，事前先由需接待部门的负责人、分管领导向主要领导请示，凡是接待一律在政府机关伙食团就餐，并严格控制接待标准和陪同人员，报销时必须同时有乡长和主管领导共同签字的公务接待就餐单、公函、及菜单，财政所才予以报销。。</w:t>
      </w:r>
    </w:p>
    <w:p>
      <w:pPr>
        <w:spacing w:line="600" w:lineRule="exact"/>
        <w:ind w:firstLine="640"/>
        <w:outlineLvl w:val="1"/>
        <w:rPr>
          <w:rFonts w:ascii="仿宋_GB2312" w:eastAsia="仿宋_GB2312"/>
          <w:color w:val="000000"/>
          <w:sz w:val="32"/>
          <w:szCs w:val="32"/>
        </w:rPr>
      </w:pPr>
      <w:bookmarkStart w:id="46" w:name="_Toc15396610"/>
      <w:bookmarkStart w:id="47" w:name="_Toc15377218"/>
      <w:r>
        <w:rPr>
          <w:rFonts w:hint="eastAsia" w:ascii="仿宋_GB2312" w:eastAsia="仿宋_GB2312"/>
          <w:color w:val="000000"/>
          <w:sz w:val="32"/>
          <w:szCs w:val="32"/>
        </w:rPr>
        <w:t>主要用于执行公务、开展业务活动开支的交通费、住宿费、用餐费等。国内公务接待235批次，2000人次（不包括陪同人员），共计支出11.88万元，具体内容包括：开展工作交流，迎检，脱贫攻坚巡查，上级工作指导等方面工作。其中：</w:t>
      </w:r>
    </w:p>
    <w:p>
      <w:pPr>
        <w:spacing w:line="600" w:lineRule="exact"/>
        <w:ind w:firstLine="640"/>
        <w:outlineLvl w:val="1"/>
        <w:rPr>
          <w:rFonts w:ascii="仿宋_GB2312" w:eastAsia="仿宋_GB2312"/>
          <w:color w:val="000000"/>
          <w:sz w:val="32"/>
          <w:szCs w:val="32"/>
        </w:rPr>
      </w:pPr>
      <w:r>
        <w:rPr>
          <w:rFonts w:hint="eastAsia" w:ascii="仿宋_GB2312" w:eastAsia="仿宋_GB2312"/>
          <w:color w:val="000000"/>
          <w:sz w:val="32"/>
          <w:szCs w:val="32"/>
        </w:rPr>
        <w:t>外事接待支出0元，外事接待0批次，0人，共计支出0万元。</w:t>
      </w:r>
    </w:p>
    <w:p>
      <w:pPr>
        <w:spacing w:line="600" w:lineRule="exact"/>
        <w:ind w:firstLine="640"/>
        <w:outlineLvl w:val="1"/>
        <w:rPr>
          <w:rFonts w:ascii="仿宋_GB2312" w:eastAsia="仿宋_GB2312"/>
          <w:color w:val="000000"/>
          <w:sz w:val="32"/>
          <w:szCs w:val="32"/>
        </w:rPr>
      </w:pPr>
      <w:r>
        <w:rPr>
          <w:rFonts w:hint="eastAsia" w:ascii="仿宋_GB2312" w:eastAsia="仿宋_GB2312"/>
          <w:color w:val="000000"/>
          <w:sz w:val="32"/>
          <w:szCs w:val="32"/>
        </w:rPr>
        <w:t>其他国内公务接待支出0万元。</w:t>
      </w:r>
    </w:p>
    <w:p>
      <w:pPr>
        <w:spacing w:line="600" w:lineRule="exact"/>
        <w:ind w:firstLine="640"/>
        <w:outlineLvl w:val="1"/>
        <w:rPr>
          <w:rStyle w:val="17"/>
          <w:rFonts w:ascii="黑体" w:eastAsia="黑体"/>
        </w:rPr>
      </w:pPr>
      <w:r>
        <w:rPr>
          <w:rFonts w:hint="eastAsia" w:ascii="黑体" w:eastAsia="黑体"/>
          <w:color w:val="000000"/>
          <w:sz w:val="32"/>
          <w:szCs w:val="32"/>
        </w:rPr>
        <w:t>八、</w:t>
      </w:r>
      <w:r>
        <w:rPr>
          <w:rStyle w:val="17"/>
          <w:rFonts w:hint="eastAsia" w:ascii="黑体" w:eastAsia="黑体"/>
          <w:b w:val="0"/>
        </w:rPr>
        <w:t>政府性基金预算支出决算情况说明</w:t>
      </w:r>
      <w:bookmarkEnd w:id="46"/>
      <w:bookmarkEnd w:id="47"/>
    </w:p>
    <w:p>
      <w:pPr>
        <w:spacing w:line="600" w:lineRule="exact"/>
        <w:ind w:firstLine="640"/>
        <w:rPr>
          <w:rFonts w:ascii="仿宋_GB2312" w:eastAsia="仿宋_GB2312"/>
          <w:color w:val="000000"/>
          <w:sz w:val="32"/>
          <w:szCs w:val="32"/>
        </w:rPr>
      </w:pPr>
      <w:r>
        <w:rPr>
          <w:rFonts w:ascii="仿宋_GB2312" w:eastAsia="仿宋_GB2312"/>
          <w:color w:val="000000"/>
          <w:sz w:val="32"/>
          <w:szCs w:val="32"/>
        </w:rPr>
        <w:t>201</w:t>
      </w:r>
      <w:r>
        <w:rPr>
          <w:rFonts w:hint="eastAsia" w:ascii="仿宋_GB2312" w:eastAsia="仿宋_GB2312"/>
          <w:color w:val="000000"/>
          <w:sz w:val="32"/>
          <w:szCs w:val="32"/>
        </w:rPr>
        <w:t>8年政府性基金预算拨款支出21万元。</w:t>
      </w:r>
    </w:p>
    <w:p>
      <w:pPr>
        <w:numPr>
          <w:ilvl w:val="0"/>
          <w:numId w:val="3"/>
        </w:numPr>
        <w:spacing w:line="600" w:lineRule="exact"/>
        <w:ind w:left="0" w:firstLine="640"/>
        <w:outlineLvl w:val="1"/>
        <w:rPr>
          <w:rStyle w:val="17"/>
          <w:rFonts w:ascii="黑体" w:eastAsia="黑体"/>
          <w:b w:val="0"/>
        </w:rPr>
      </w:pPr>
      <w:bookmarkStart w:id="48" w:name="_Toc15396611"/>
      <w:bookmarkStart w:id="49" w:name="_Toc15377219"/>
      <w:r>
        <w:rPr>
          <w:rStyle w:val="17"/>
          <w:rFonts w:hint="eastAsia" w:ascii="黑体" w:eastAsia="黑体"/>
          <w:b w:val="0"/>
        </w:rPr>
        <w:t>国有资本经营预算支出决算情况说明</w:t>
      </w:r>
      <w:bookmarkEnd w:id="48"/>
      <w:bookmarkEnd w:id="49"/>
    </w:p>
    <w:p>
      <w:pPr>
        <w:spacing w:line="600" w:lineRule="exact"/>
        <w:ind w:firstLine="640"/>
        <w:rPr>
          <w:rFonts w:ascii="仿宋_GB2312" w:eastAsia="仿宋_GB2312"/>
          <w:color w:val="000000"/>
          <w:sz w:val="32"/>
          <w:szCs w:val="32"/>
        </w:rPr>
      </w:pPr>
      <w:r>
        <w:rPr>
          <w:rFonts w:ascii="仿宋_GB2312" w:eastAsia="仿宋_GB2312"/>
          <w:color w:val="000000"/>
          <w:sz w:val="32"/>
          <w:szCs w:val="32"/>
        </w:rPr>
        <w:t>201</w:t>
      </w:r>
      <w:r>
        <w:rPr>
          <w:rFonts w:hint="eastAsia" w:ascii="仿宋_GB2312" w:eastAsia="仿宋_GB2312"/>
          <w:color w:val="000000"/>
          <w:sz w:val="32"/>
          <w:szCs w:val="32"/>
        </w:rPr>
        <w:t>8年国有资本经营预算拨款支出0万元。</w:t>
      </w:r>
    </w:p>
    <w:p>
      <w:pPr>
        <w:pStyle w:val="22"/>
        <w:numPr>
          <w:ilvl w:val="0"/>
          <w:numId w:val="4"/>
        </w:numPr>
        <w:spacing w:line="580" w:lineRule="exact"/>
        <w:ind w:firstLineChars="0"/>
        <w:rPr>
          <w:rStyle w:val="17"/>
          <w:rFonts w:ascii="黑体" w:eastAsia="黑体"/>
          <w:b w:val="0"/>
        </w:rPr>
      </w:pPr>
      <w:r>
        <w:rPr>
          <w:rStyle w:val="17"/>
          <w:rFonts w:hint="eastAsia" w:ascii="黑体" w:eastAsia="黑体"/>
          <w:b w:val="0"/>
        </w:rPr>
        <w:t>预算绩效情况说明</w:t>
      </w:r>
    </w:p>
    <w:p>
      <w:pPr>
        <w:numPr>
          <w:ilvl w:val="0"/>
          <w:numId w:val="5"/>
        </w:numPr>
        <w:spacing w:line="580" w:lineRule="exact"/>
        <w:ind w:left="0" w:firstLine="643" w:firstLineChars="200"/>
        <w:rPr>
          <w:rFonts w:ascii="仿宋" w:eastAsia="仿宋" w:cs="楷体_GB2312"/>
          <w:b/>
          <w:bCs/>
          <w:sz w:val="32"/>
          <w:szCs w:val="32"/>
        </w:rPr>
      </w:pPr>
      <w:r>
        <w:rPr>
          <w:rFonts w:hint="eastAsia" w:ascii="仿宋" w:eastAsia="仿宋" w:cs="楷体_GB2312"/>
          <w:b/>
          <w:bCs/>
          <w:sz w:val="32"/>
          <w:szCs w:val="32"/>
        </w:rPr>
        <w:t>预算绩效管理工作开展情况。</w:t>
      </w:r>
    </w:p>
    <w:p>
      <w:pPr>
        <w:spacing w:line="58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根据预算绩效管理要求，本部门（单位）在年初预算编制阶段，组织对预算项目开展了预算事前绩效评估，对1个项目编制了绩效目标，预算执行过程中，选取1个项目开展绩效监控，年终执行完毕后，对1个项目开展了绩效目标完成情况梳理填报。</w:t>
      </w:r>
    </w:p>
    <w:p>
      <w:pPr>
        <w:spacing w:line="58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本部门按要求对2018年部门整体支出开展绩效自评，从评价情况来看自评结果得分95分，但也存在一些问题：一是项目进度缓慢，归档不及时。二是对项目工程及时跟进，确保项目工程完成，下一步改进措施：一是加快项目进度，二是及时对项目资料进行归档。</w:t>
      </w:r>
    </w:p>
    <w:p>
      <w:pPr>
        <w:spacing w:line="580" w:lineRule="exact"/>
        <w:ind w:firstLine="643" w:firstLineChars="200"/>
        <w:rPr>
          <w:rFonts w:ascii="仿宋_GB2312" w:eastAsia="仿宋_GB2312" w:cs="仿宋_GB2312"/>
          <w:sz w:val="32"/>
          <w:szCs w:val="32"/>
        </w:rPr>
      </w:pPr>
      <w:r>
        <w:rPr>
          <w:rFonts w:hint="eastAsia" w:ascii="仿宋" w:eastAsia="仿宋" w:cs="楷体_GB2312"/>
          <w:b/>
          <w:bCs/>
          <w:sz w:val="32"/>
          <w:szCs w:val="32"/>
        </w:rPr>
        <w:t>（二）项目绩效目标完成情况。</w:t>
      </w:r>
      <w:r>
        <w:rPr>
          <w:rFonts w:hint="eastAsia" w:ascii="楷体_GB2312" w:eastAsia="楷体_GB2312" w:cs="楷体_GB2312"/>
          <w:b/>
          <w:bCs/>
          <w:sz w:val="32"/>
          <w:szCs w:val="32"/>
        </w:rPr>
        <w:br w:type="textWrapping"/>
      </w:r>
      <w:r>
        <w:rPr>
          <w:rFonts w:hint="eastAsia" w:ascii="仿宋_GB2312" w:eastAsia="仿宋_GB2312" w:cs="仿宋_GB2312"/>
          <w:sz w:val="32"/>
          <w:szCs w:val="32"/>
        </w:rPr>
        <w:t>本部门在2018年度部门决算中反映财力保障等5个项目绩效目标实际完成情况：</w:t>
      </w:r>
    </w:p>
    <w:p>
      <w:pPr>
        <w:spacing w:line="58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1、财力保障化债项目绩效目标完成情况综述。项目全年预算数1万元，执行数为1万元，完成预算的100%。通过项目实施，保障各项工作圆满完成，努力提高村民增收，巩固村民的经济稳增长，让百姓得到实惠，发现的主要问题：一是管理上还不够积极主动，不能够很好参与其中。下一步改进措施：一是在管理工作中积极主动，提高管理水平能力，做到人人参与其管理中去。</w:t>
      </w:r>
    </w:p>
    <w:tbl>
      <w:tblPr>
        <w:tblStyle w:val="12"/>
        <w:tblpPr w:leftFromText="180" w:rightFromText="180" w:vertAnchor="text" w:horzAnchor="page" w:tblpXSpec="center" w:tblpY="423"/>
        <w:tblOverlap w:val="never"/>
        <w:tblW w:w="99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390"/>
        <w:gridCol w:w="1367"/>
        <w:gridCol w:w="1025"/>
        <w:gridCol w:w="2392"/>
        <w:gridCol w:w="2394"/>
        <w:gridCol w:w="23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34" w:hRule="atLeast"/>
        </w:trPr>
        <w:tc>
          <w:tcPr>
            <w:tcW w:w="9960" w:type="dxa"/>
            <w:gridSpan w:val="6"/>
            <w:noWrap/>
            <w:tcMar>
              <w:top w:w="15" w:type="dxa"/>
              <w:left w:w="15" w:type="dxa"/>
              <w:right w:w="15" w:type="dxa"/>
            </w:tcMar>
            <w:vAlign w:val="center"/>
          </w:tcPr>
          <w:p>
            <w:pPr>
              <w:pStyle w:val="22"/>
              <w:widowControl/>
              <w:ind w:left="4173" w:leftChars="1310" w:hanging="1422" w:hangingChars="395"/>
              <w:textAlignment w:val="center"/>
              <w:rPr>
                <w:rFonts w:ascii="宋体" w:cs="宋体"/>
                <w:color w:val="000000"/>
                <w:sz w:val="36"/>
                <w:szCs w:val="36"/>
              </w:rPr>
            </w:pPr>
            <w:r>
              <w:rPr>
                <w:rFonts w:hint="eastAsia" w:ascii="黑体" w:eastAsia="黑体" w:cs="宋体"/>
                <w:bCs/>
                <w:color w:val="000000"/>
                <w:kern w:val="0"/>
                <w:sz w:val="36"/>
                <w:szCs w:val="36"/>
              </w:rPr>
              <w:t>项目支出绩效目标完成情况表（1）</w:t>
            </w:r>
            <w:r>
              <w:rPr>
                <w:rFonts w:hint="eastAsia" w:ascii="宋体" w:cs="宋体"/>
                <w:b/>
                <w:bCs/>
                <w:color w:val="000000"/>
                <w:kern w:val="0"/>
                <w:sz w:val="36"/>
                <w:szCs w:val="36"/>
              </w:rPr>
              <w:br w:type="textWrapping"/>
            </w:r>
            <w:r>
              <w:rPr>
                <w:rFonts w:hint="eastAsia" w:ascii="宋体" w:cs="宋体"/>
                <w:color w:val="000000"/>
                <w:kern w:val="0"/>
                <w:sz w:val="36"/>
                <w:szCs w:val="36"/>
              </w:rPr>
              <w:t>(2018年度)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黄庭乡2018年度财力保障化债项目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达州市达川区黄庭乡人民政府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预算数:</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1万元</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执行数:</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6"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239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1万元</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511"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239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0</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24"/>
              </w:rPr>
            </w:pPr>
            <w:r>
              <w:rPr>
                <w:rFonts w:hint="eastAsia" w:ascii="宋体" w:cs="宋体"/>
                <w:color w:val="000000"/>
                <w:sz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实际完成目标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59"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4784"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分年逐批化解建设欠款，巩固基层组织建设</w:t>
            </w:r>
          </w:p>
        </w:tc>
        <w:tc>
          <w:tcPr>
            <w:tcW w:w="478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42" w:hRule="atLeast"/>
        </w:trPr>
        <w:tc>
          <w:tcPr>
            <w:tcW w:w="39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实际完成指标值(包含数字及文字描述)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53"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数量指标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减少债务</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减少乡村级债务情况1万元</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已完成村级债务化解1万元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质量指标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帐务处理</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做到公平、透明，不得出现新的债务</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已完成相关任务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时效指标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年度目标任务完成率</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目标任务完成率达100%</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完成率</w:t>
            </w:r>
            <w:r>
              <w:rPr>
                <w:rFonts w:ascii="Arial" w:hAnsi="Arial" w:cs="Arial"/>
                <w:color w:val="000000"/>
                <w:sz w:val="24"/>
              </w:rPr>
              <w:t>≥</w:t>
            </w:r>
            <w:r>
              <w:rPr>
                <w:rFonts w:hint="eastAsia" w:ascii="宋体" w:cs="宋体"/>
                <w:color w:val="000000"/>
                <w:sz w:val="24"/>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kern w:val="0"/>
                <w:sz w:val="24"/>
              </w:rPr>
            </w:pPr>
            <w:r>
              <w:rPr>
                <w:rFonts w:hint="eastAsia" w:ascii="宋体" w:cs="宋体"/>
                <w:color w:val="000000"/>
                <w:kern w:val="0"/>
                <w:sz w:val="24"/>
              </w:rPr>
              <w:t>项目效益指标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经济效益指标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解决存在债务</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促进社会和谐发展</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解决实际债务提高经济。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32"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项目效益指标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社会效益指标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化解矛盾</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及时处理相关债务，调和基层政权和债权人的关系，提升社会满意度</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已完成相关债务，达到目标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项目效益指标</w:t>
            </w:r>
            <w:r>
              <w:rPr>
                <w:rFonts w:hint="eastAsia" w:ascii="宋体" w:cs="宋体"/>
                <w:color w:val="000000"/>
                <w:sz w:val="24"/>
              </w:rPr>
              <w:t>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生态效益指标意</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坚持绿色环保</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textAlignment w:val="center"/>
              <w:rPr>
                <w:rFonts w:ascii="宋体" w:cs="宋体"/>
                <w:color w:val="000000"/>
                <w:sz w:val="24"/>
              </w:rPr>
            </w:pPr>
            <w:r>
              <w:rPr>
                <w:rFonts w:hint="eastAsia" w:ascii="宋体" w:cs="宋体"/>
                <w:color w:val="000000"/>
                <w:sz w:val="24"/>
              </w:rPr>
              <w:t xml:space="preserve">     保障环境，不能以牺牲环境为代价</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已达到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项目效益指标</w:t>
            </w:r>
            <w:r>
              <w:rPr>
                <w:rFonts w:hint="eastAsia" w:ascii="宋体" w:cs="宋体"/>
                <w:color w:val="000000"/>
                <w:sz w:val="24"/>
              </w:rPr>
              <w:t>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可持续影响指标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后期经济发展</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持续提供经济发展动力</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Arial" w:hAnsi="Arial" w:cs="Arial"/>
                <w:color w:val="000000"/>
                <w:sz w:val="24"/>
              </w:rPr>
              <w:t>促进了当地经济发展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满意度指标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村民满意</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textAlignment w:val="center"/>
              <w:rPr>
                <w:rFonts w:ascii="宋体" w:cs="宋体"/>
                <w:color w:val="000000"/>
                <w:sz w:val="24"/>
              </w:rPr>
            </w:pPr>
            <w:r>
              <w:rPr>
                <w:rFonts w:hint="eastAsia" w:ascii="宋体" w:cs="宋体"/>
                <w:color w:val="000000"/>
                <w:sz w:val="24"/>
              </w:rPr>
              <w:t xml:space="preserve">       满意度</w:t>
            </w:r>
            <w:r>
              <w:rPr>
                <w:rFonts w:ascii="Arial" w:hAnsi="Arial" w:cs="Arial"/>
                <w:color w:val="000000"/>
                <w:sz w:val="24"/>
              </w:rPr>
              <w:t>≥</w:t>
            </w:r>
            <w:r>
              <w:rPr>
                <w:rFonts w:hint="eastAsia" w:ascii="宋体" w:cs="宋体"/>
                <w:color w:val="000000"/>
                <w:sz w:val="24"/>
              </w:rPr>
              <w:t>95%</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已达到满意度</w:t>
            </w:r>
            <w:r>
              <w:rPr>
                <w:rFonts w:ascii="Arial" w:hAnsi="Arial" w:cs="Arial"/>
                <w:color w:val="000000"/>
                <w:sz w:val="24"/>
              </w:rPr>
              <w:t>≥</w:t>
            </w:r>
            <w:r>
              <w:rPr>
                <w:rFonts w:hint="eastAsia" w:ascii="宋体" w:cs="宋体"/>
                <w:color w:val="000000"/>
                <w:sz w:val="24"/>
              </w:rPr>
              <w:t>95%</w:t>
            </w:r>
          </w:p>
        </w:tc>
      </w:tr>
    </w:tbl>
    <w:p>
      <w:pPr>
        <w:spacing w:line="580" w:lineRule="exact"/>
        <w:ind w:firstLine="640" w:firstLineChars="200"/>
        <w:rPr>
          <w:rFonts w:ascii="仿宋_GB2312" w:eastAsia="仿宋_GB2312" w:cs="仿宋_GB2312"/>
          <w:sz w:val="32"/>
          <w:szCs w:val="32"/>
        </w:rPr>
      </w:pPr>
    </w:p>
    <w:p>
      <w:pPr>
        <w:spacing w:line="58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2、财力保障环境综合治理项目绩效目标完成情况综述。项目全年预算数26万元，执行数为26万元，完成预算的100%。通过项目实施，给老百姓创造一个良好的生活环境，改善人文居住的环境，对环境进行综合治理。发现的主要问题：一是对周围环境保持不够好，爱护意识不够强，人人参与意识不浓。下一步改进措施：一是提高人人环保意识，让大家都参与其中，创造一个美丽和谐的环境。</w:t>
      </w:r>
    </w:p>
    <w:tbl>
      <w:tblPr>
        <w:tblStyle w:val="12"/>
        <w:tblpPr w:leftFromText="180" w:rightFromText="180" w:vertAnchor="text" w:horzAnchor="page" w:tblpXSpec="center" w:tblpY="423"/>
        <w:tblOverlap w:val="never"/>
        <w:tblW w:w="99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390"/>
        <w:gridCol w:w="1367"/>
        <w:gridCol w:w="1025"/>
        <w:gridCol w:w="2392"/>
        <w:gridCol w:w="2394"/>
        <w:gridCol w:w="23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34" w:hRule="atLeast"/>
        </w:trPr>
        <w:tc>
          <w:tcPr>
            <w:tcW w:w="9960" w:type="dxa"/>
            <w:gridSpan w:val="6"/>
            <w:noWrap/>
            <w:tcMar>
              <w:top w:w="15" w:type="dxa"/>
              <w:left w:w="15" w:type="dxa"/>
              <w:right w:w="15" w:type="dxa"/>
            </w:tcMar>
            <w:vAlign w:val="center"/>
          </w:tcPr>
          <w:p>
            <w:pPr>
              <w:pStyle w:val="22"/>
              <w:widowControl/>
              <w:ind w:left="4173" w:leftChars="1310" w:hanging="1422" w:hangingChars="395"/>
              <w:textAlignment w:val="center"/>
              <w:rPr>
                <w:rFonts w:ascii="宋体" w:cs="宋体"/>
                <w:color w:val="000000"/>
                <w:sz w:val="36"/>
                <w:szCs w:val="36"/>
              </w:rPr>
            </w:pPr>
            <w:r>
              <w:rPr>
                <w:rFonts w:hint="eastAsia" w:ascii="黑体" w:eastAsia="黑体" w:cs="宋体"/>
                <w:bCs/>
                <w:color w:val="000000"/>
                <w:kern w:val="0"/>
                <w:sz w:val="36"/>
                <w:szCs w:val="36"/>
              </w:rPr>
              <w:t>项目支出绩效目标完成情况表（2）</w:t>
            </w:r>
            <w:r>
              <w:rPr>
                <w:rFonts w:hint="eastAsia" w:ascii="宋体" w:cs="宋体"/>
                <w:b/>
                <w:bCs/>
                <w:color w:val="000000"/>
                <w:kern w:val="0"/>
                <w:sz w:val="36"/>
                <w:szCs w:val="36"/>
              </w:rPr>
              <w:br w:type="textWrapping"/>
            </w:r>
            <w:r>
              <w:rPr>
                <w:rFonts w:hint="eastAsia" w:ascii="宋体" w:cs="宋体"/>
                <w:color w:val="000000"/>
                <w:kern w:val="0"/>
                <w:sz w:val="36"/>
                <w:szCs w:val="36"/>
              </w:rPr>
              <w:t>(2018年度)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黄庭乡2018年度财力保障环境综合治理项目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达州市达川区黄庭乡人民政府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预算数:</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26万元</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执行数:</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26万元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6"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239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26万元</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26万元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511"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239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0</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24"/>
              </w:rPr>
            </w:pPr>
            <w:r>
              <w:rPr>
                <w:rFonts w:hint="eastAsia" w:ascii="宋体" w:cs="宋体"/>
                <w:color w:val="000000"/>
                <w:sz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实际完成目标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59"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4784"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24"/>
              </w:rPr>
            </w:pPr>
            <w:r>
              <w:rPr>
                <w:rFonts w:hint="eastAsia" w:ascii="宋体" w:cs="宋体"/>
                <w:color w:val="000000"/>
                <w:sz w:val="24"/>
              </w:rPr>
              <w:t>推进环保节能治理，建立健全农村生活垃圾处理长效机制，深入开展环境污染和面源污染治理。</w:t>
            </w:r>
            <w:r>
              <w:rPr>
                <w:rFonts w:hint="eastAsia" w:ascii="宋体" w:cs="宋体"/>
                <w:color w:val="000000"/>
                <w:sz w:val="24"/>
              </w:rPr>
              <w:tab/>
            </w:r>
            <w:r>
              <w:rPr>
                <w:rFonts w:hint="eastAsia" w:ascii="宋体" w:cs="宋体"/>
                <w:color w:val="000000"/>
                <w:sz w:val="24"/>
              </w:rPr>
              <w:tab/>
            </w:r>
            <w:r>
              <w:rPr>
                <w:rFonts w:hint="eastAsia" w:ascii="宋体" w:cs="宋体"/>
                <w:color w:val="000000"/>
                <w:sz w:val="24"/>
              </w:rPr>
              <w:tab/>
            </w:r>
          </w:p>
        </w:tc>
        <w:tc>
          <w:tcPr>
            <w:tcW w:w="478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42" w:hRule="atLeast"/>
        </w:trPr>
        <w:tc>
          <w:tcPr>
            <w:tcW w:w="39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实际完成指标值(包含数字及文字描述)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53"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数量指标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保洁工作、环境治理宣传活动</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落实社区保洁员2名，各村保洁员1名、宣传标语不低于24幅，会议每月一次</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已完成落实社区保洁员2名，各村保洁员1名、宣传标语不低于24幅，会议每月一次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质量指标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卫生保洁、垃圾清运、车辆停放</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做到场镇和村主要交通路干净，无污水，无垃圾。天天有人清扫做到垃圾日清，及时将垃圾运往佳境环保做无害化处理。</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已完成做到场镇和村主要交通路干净，无污水，无垃圾。天天有人清扫做到垃圾日清，及时将垃圾运往佳境环保做无害化处理。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时效指标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年度目标任务完成率</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目标任务完成率达100%</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完成率</w:t>
            </w:r>
            <w:r>
              <w:rPr>
                <w:rFonts w:ascii="Arial" w:hAnsi="Arial" w:cs="Arial"/>
                <w:color w:val="000000"/>
                <w:sz w:val="24"/>
              </w:rPr>
              <w:t>≥</w:t>
            </w:r>
            <w:r>
              <w:rPr>
                <w:rFonts w:hint="eastAsia" w:ascii="宋体" w:cs="宋体"/>
                <w:color w:val="000000"/>
                <w:sz w:val="24"/>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kern w:val="0"/>
                <w:sz w:val="24"/>
              </w:rPr>
            </w:pPr>
            <w:r>
              <w:rPr>
                <w:rFonts w:hint="eastAsia" w:asci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成本指标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垃圾处置费用、保洁员工资、垃圾清运车费</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严格按相关要求报账、严格按相关要求报账、严格按相关要求报账</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严格按相关要求报账、严格按相关要求报账、严格按相关要求报账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kern w:val="0"/>
                <w:sz w:val="24"/>
              </w:rPr>
            </w:pPr>
            <w:r>
              <w:rPr>
                <w:rFonts w:hint="eastAsia" w:ascii="宋体" w:cs="宋体"/>
                <w:color w:val="000000"/>
                <w:kern w:val="0"/>
                <w:sz w:val="24"/>
              </w:rPr>
              <w:t>项目效益指标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经济效益指标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投资环境</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为外来投资商创建一个干净、整治的投资环境，提升五四招商引资能力。</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32"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项目效益指标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社会效益指标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环境卫生整治</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改善人居环境，提升群众幸福生活指数</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改善了群众的人居环境，提升了幸福生活 指数。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项目效益指标</w:t>
            </w:r>
            <w:r>
              <w:rPr>
                <w:rFonts w:hint="eastAsia" w:ascii="宋体" w:cs="宋体"/>
                <w:color w:val="000000"/>
                <w:sz w:val="24"/>
              </w:rPr>
              <w:t>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生态效益指标意</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坚持绿色环保</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textAlignment w:val="center"/>
              <w:rPr>
                <w:rFonts w:ascii="宋体" w:cs="宋体"/>
                <w:color w:val="000000"/>
                <w:sz w:val="24"/>
              </w:rPr>
            </w:pPr>
            <w:r>
              <w:rPr>
                <w:rFonts w:hint="eastAsia" w:ascii="宋体" w:cs="宋体"/>
                <w:color w:val="000000"/>
                <w:sz w:val="24"/>
              </w:rPr>
              <w:t xml:space="preserve"> 垃圾日清，迅速处置</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做到了垃圾日清，垃圾池周清。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项目效益指标</w:t>
            </w:r>
            <w:r>
              <w:rPr>
                <w:rFonts w:hint="eastAsia" w:ascii="宋体" w:cs="宋体"/>
                <w:color w:val="000000"/>
                <w:sz w:val="24"/>
              </w:rPr>
              <w:t>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可持续影响指标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政策导向</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长期保障工作平稳进行</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Arial" w:hAnsi="Arial" w:cs="Arial"/>
                <w:color w:val="000000"/>
                <w:sz w:val="24"/>
              </w:rPr>
              <w:t>促进了全乡环境整治的发展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满意度指标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社会满意</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textAlignment w:val="center"/>
              <w:rPr>
                <w:rFonts w:ascii="宋体" w:cs="宋体"/>
                <w:color w:val="000000"/>
                <w:sz w:val="24"/>
              </w:rPr>
            </w:pPr>
            <w:r>
              <w:rPr>
                <w:rFonts w:hint="eastAsia" w:ascii="宋体" w:cs="宋体"/>
                <w:color w:val="000000"/>
                <w:sz w:val="24"/>
              </w:rPr>
              <w:t xml:space="preserve">  社会满意度</w:t>
            </w:r>
            <w:r>
              <w:rPr>
                <w:rFonts w:ascii="Arial" w:hAnsi="Arial" w:cs="Arial"/>
                <w:color w:val="000000"/>
                <w:sz w:val="24"/>
              </w:rPr>
              <w:t>≥</w:t>
            </w:r>
            <w:r>
              <w:rPr>
                <w:rFonts w:hint="eastAsia" w:ascii="宋体" w:cs="宋体"/>
                <w:color w:val="000000"/>
                <w:sz w:val="24"/>
              </w:rPr>
              <w:t>95%</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已达到满意度</w:t>
            </w:r>
            <w:r>
              <w:rPr>
                <w:rFonts w:ascii="Arial" w:hAnsi="Arial" w:cs="Arial"/>
                <w:color w:val="000000"/>
                <w:sz w:val="24"/>
              </w:rPr>
              <w:t>≥</w:t>
            </w:r>
            <w:r>
              <w:rPr>
                <w:rFonts w:hint="eastAsia" w:ascii="宋体" w:cs="宋体"/>
                <w:color w:val="000000"/>
                <w:sz w:val="24"/>
              </w:rPr>
              <w:t>95%</w:t>
            </w:r>
          </w:p>
        </w:tc>
      </w:tr>
    </w:tbl>
    <w:p>
      <w:pPr>
        <w:spacing w:line="580" w:lineRule="exact"/>
        <w:rPr>
          <w:rFonts w:ascii="仿宋_GB2312" w:eastAsia="仿宋_GB2312" w:cs="仿宋_GB2312"/>
          <w:sz w:val="32"/>
          <w:szCs w:val="32"/>
        </w:rPr>
      </w:pPr>
    </w:p>
    <w:p>
      <w:pPr>
        <w:spacing w:line="58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3、财力保障项促进发展项目绩效目标完成情况综述。项目全年预算数10万元，执行数为10万元，完成预算的100%。通过项目实施，巩固产业发展，让百姓参与其中，促进产业发展，让百姓得实惠，提高人均收入。发现的主要问题：一是在管理中还不是很到位，二是产业发展资金投入较少。下一步改进措施：提高人人参与到管理中来，切实抓好责任管理。</w:t>
      </w:r>
    </w:p>
    <w:tbl>
      <w:tblPr>
        <w:tblStyle w:val="12"/>
        <w:tblpPr w:leftFromText="180" w:rightFromText="180" w:vertAnchor="text" w:horzAnchor="page" w:tblpXSpec="center" w:tblpY="423"/>
        <w:tblOverlap w:val="never"/>
        <w:tblW w:w="99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390"/>
        <w:gridCol w:w="1367"/>
        <w:gridCol w:w="1025"/>
        <w:gridCol w:w="2392"/>
        <w:gridCol w:w="2394"/>
        <w:gridCol w:w="23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34" w:hRule="atLeast"/>
        </w:trPr>
        <w:tc>
          <w:tcPr>
            <w:tcW w:w="9960" w:type="dxa"/>
            <w:gridSpan w:val="6"/>
            <w:noWrap/>
            <w:tcMar>
              <w:top w:w="15" w:type="dxa"/>
              <w:left w:w="15" w:type="dxa"/>
              <w:right w:w="15" w:type="dxa"/>
            </w:tcMar>
            <w:vAlign w:val="center"/>
          </w:tcPr>
          <w:p>
            <w:pPr>
              <w:pStyle w:val="22"/>
              <w:widowControl/>
              <w:ind w:left="4173" w:leftChars="1310" w:hanging="1422" w:hangingChars="395"/>
              <w:textAlignment w:val="center"/>
              <w:rPr>
                <w:rFonts w:ascii="宋体" w:cs="宋体"/>
                <w:color w:val="000000"/>
                <w:sz w:val="36"/>
                <w:szCs w:val="36"/>
              </w:rPr>
            </w:pPr>
            <w:r>
              <w:rPr>
                <w:rFonts w:hint="eastAsia" w:ascii="黑体" w:eastAsia="黑体" w:cs="宋体"/>
                <w:bCs/>
                <w:color w:val="000000"/>
                <w:kern w:val="0"/>
                <w:sz w:val="36"/>
                <w:szCs w:val="36"/>
              </w:rPr>
              <w:t>项目支出绩效目标完成情况表（3）</w:t>
            </w:r>
            <w:r>
              <w:rPr>
                <w:rFonts w:hint="eastAsia" w:ascii="宋体" w:cs="宋体"/>
                <w:b/>
                <w:bCs/>
                <w:color w:val="000000"/>
                <w:kern w:val="0"/>
                <w:sz w:val="36"/>
                <w:szCs w:val="36"/>
              </w:rPr>
              <w:br w:type="textWrapping"/>
            </w:r>
            <w:r>
              <w:rPr>
                <w:rFonts w:hint="eastAsia" w:ascii="宋体" w:cs="宋体"/>
                <w:color w:val="000000"/>
                <w:kern w:val="0"/>
                <w:sz w:val="36"/>
                <w:szCs w:val="36"/>
              </w:rPr>
              <w:t>(2018年度)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2782"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黄庭乡2018年度财力保障促发展项目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达州市达川区黄庭乡人民政府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预算数:</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10万元</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执行数:</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6"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239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10万元</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511"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239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0</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24"/>
              </w:rPr>
            </w:pPr>
            <w:r>
              <w:rPr>
                <w:rFonts w:hint="eastAsia" w:ascii="宋体" w:cs="宋体"/>
                <w:color w:val="000000"/>
                <w:sz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实际完成目标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864"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4784"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24"/>
              </w:rPr>
            </w:pPr>
            <w:r>
              <w:rPr>
                <w:rFonts w:hint="eastAsia" w:ascii="宋体" w:cs="宋体"/>
                <w:color w:val="000000"/>
                <w:sz w:val="24"/>
              </w:rPr>
              <w:t>加大村级基础设施建设投入，改善农村基础设施状况，修建水利、道路，增强农村经济发展实力</w:t>
            </w:r>
          </w:p>
        </w:tc>
        <w:tc>
          <w:tcPr>
            <w:tcW w:w="478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22" w:hRule="atLeast"/>
        </w:trPr>
        <w:tc>
          <w:tcPr>
            <w:tcW w:w="39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实际完成指标值(包含数字及文字描述)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53"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数量指标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方便群众出行</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解决800余人出行</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已完成涉及800人的出行问题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07"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质量指标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工程标准</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24"/>
              </w:rPr>
            </w:pPr>
            <w:r>
              <w:rPr>
                <w:rFonts w:hint="eastAsia" w:ascii="宋体" w:cs="宋体"/>
                <w:color w:val="000000"/>
                <w:sz w:val="24"/>
              </w:rPr>
              <w:t>严格按照工程标准执行，以监理单位验收质量为准</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已完成相关任务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时效指标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年度目标任务完成率</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目标任务完成率达100%</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完成率</w:t>
            </w:r>
            <w:r>
              <w:rPr>
                <w:rFonts w:ascii="Arial" w:hAnsi="Arial" w:cs="Arial"/>
                <w:color w:val="000000"/>
                <w:sz w:val="24"/>
              </w:rPr>
              <w:t>≥</w:t>
            </w:r>
            <w:r>
              <w:rPr>
                <w:rFonts w:hint="eastAsia" w:ascii="宋体" w:cs="宋体"/>
                <w:color w:val="000000"/>
                <w:sz w:val="24"/>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kern w:val="0"/>
                <w:sz w:val="24"/>
              </w:rPr>
            </w:pPr>
            <w:r>
              <w:rPr>
                <w:rFonts w:hint="eastAsia" w:asci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成本指标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材料采购、人工费用、其他费用</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严格预算，最后以审计价为准、以当地人工费用标准为准、严格预算，最后以审计价为准</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严格预算，最后以审计价为准、以当地人工费用标准为准、严格预算，最后以审计价为准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kern w:val="0"/>
                <w:sz w:val="24"/>
              </w:rPr>
            </w:pPr>
            <w:r>
              <w:rPr>
                <w:rFonts w:hint="eastAsia" w:ascii="宋体" w:cs="宋体"/>
                <w:color w:val="000000"/>
                <w:kern w:val="0"/>
                <w:sz w:val="24"/>
              </w:rPr>
              <w:t>项目效益指标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经济效益指标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为经济发展提供基础</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提升运输能力，联通产业发展圈，提高运输迅速，节约运输成本，引起产业规模扩大，增加就业人员的工资水平，提高经济发展。</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提升运输能力，联通产业发展圈，提高运输迅速，节约运输成本，引起产业规模扩大，增加就业人员的工资水平，提高经济发展。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32"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项目效益指标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社会效益指标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改善出行</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方便群众出行，农产品物资运输更加方便快捷，提升物流速度，为社会提供安全便捷的运输条件。</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方便群众出行，农产品物资运输更加方便快捷，提升物流速度，为社会提供安全便捷的运输条件。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项目效益指标</w:t>
            </w:r>
            <w:r>
              <w:rPr>
                <w:rFonts w:hint="eastAsia" w:ascii="宋体" w:cs="宋体"/>
                <w:color w:val="000000"/>
                <w:sz w:val="24"/>
              </w:rPr>
              <w:t>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生态效益指标意</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坚持绿色环保</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textAlignment w:val="center"/>
              <w:rPr>
                <w:rFonts w:ascii="宋体" w:cs="宋体"/>
                <w:color w:val="000000"/>
                <w:sz w:val="24"/>
              </w:rPr>
            </w:pPr>
            <w:r>
              <w:rPr>
                <w:rFonts w:hint="eastAsia" w:ascii="宋体" w:cs="宋体"/>
                <w:color w:val="000000"/>
                <w:sz w:val="24"/>
              </w:rPr>
              <w:t xml:space="preserve">   道路建设规划合理，不能以牺牲环保为代价。</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已达到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项目效益指标</w:t>
            </w:r>
            <w:r>
              <w:rPr>
                <w:rFonts w:hint="eastAsia" w:ascii="宋体" w:cs="宋体"/>
                <w:color w:val="000000"/>
                <w:sz w:val="24"/>
              </w:rPr>
              <w:t>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可持续影响指标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后期经济发展</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将持续为该村提供经济发展动力</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Arial" w:hAnsi="Arial" w:cs="Arial"/>
                <w:color w:val="000000"/>
                <w:sz w:val="24"/>
              </w:rPr>
              <w:t>促进了当地经济发展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满意度指标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村民满意</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textAlignment w:val="center"/>
              <w:rPr>
                <w:rFonts w:ascii="宋体" w:cs="宋体"/>
                <w:color w:val="000000"/>
                <w:sz w:val="24"/>
              </w:rPr>
            </w:pPr>
            <w:r>
              <w:rPr>
                <w:rFonts w:hint="eastAsia" w:ascii="宋体" w:cs="宋体"/>
                <w:color w:val="000000"/>
                <w:sz w:val="24"/>
              </w:rPr>
              <w:t xml:space="preserve">       满意度</w:t>
            </w:r>
            <w:r>
              <w:rPr>
                <w:rFonts w:ascii="Arial" w:hAnsi="Arial" w:cs="Arial"/>
                <w:color w:val="000000"/>
                <w:sz w:val="24"/>
              </w:rPr>
              <w:t>≥</w:t>
            </w:r>
            <w:r>
              <w:rPr>
                <w:rFonts w:hint="eastAsia" w:ascii="宋体" w:cs="宋体"/>
                <w:color w:val="000000"/>
                <w:sz w:val="24"/>
              </w:rPr>
              <w:t>95%</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已达到满意度</w:t>
            </w:r>
            <w:r>
              <w:rPr>
                <w:rFonts w:ascii="Arial" w:hAnsi="Arial" w:cs="Arial"/>
                <w:color w:val="000000"/>
                <w:sz w:val="24"/>
              </w:rPr>
              <w:t>≥</w:t>
            </w:r>
            <w:r>
              <w:rPr>
                <w:rFonts w:hint="eastAsia" w:ascii="宋体" w:cs="宋体"/>
                <w:color w:val="000000"/>
                <w:sz w:val="24"/>
              </w:rPr>
              <w:t>95%</w:t>
            </w:r>
          </w:p>
        </w:tc>
      </w:tr>
    </w:tbl>
    <w:p>
      <w:pPr>
        <w:spacing w:line="580" w:lineRule="exact"/>
        <w:ind w:left="640"/>
        <w:rPr>
          <w:rFonts w:ascii="仿宋_GB2312" w:eastAsia="仿宋_GB2312" w:cs="仿宋_GB2312"/>
          <w:sz w:val="32"/>
          <w:szCs w:val="32"/>
        </w:rPr>
      </w:pPr>
    </w:p>
    <w:p>
      <w:pPr>
        <w:spacing w:line="58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4、财力保障项安全生产监管项目绩效目标完成情况综述。项目全年预算数4万元，执行数为4万元，完成预算的100%。通过项目实施，巩固保障辖区安全，为辖区营造良好的生活投资安全氛围。发现的主要问题：一是在管理中还不是很到位，二是投入力度较大，具体人员较少。下一步改进措施：提高人人参与到管理中来，切实抓好责任管理。</w:t>
      </w:r>
    </w:p>
    <w:tbl>
      <w:tblPr>
        <w:tblStyle w:val="12"/>
        <w:tblpPr w:leftFromText="180" w:rightFromText="180" w:vertAnchor="text" w:horzAnchor="page" w:tblpXSpec="center" w:tblpY="423"/>
        <w:tblOverlap w:val="never"/>
        <w:tblW w:w="99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390"/>
        <w:gridCol w:w="1367"/>
        <w:gridCol w:w="1025"/>
        <w:gridCol w:w="2392"/>
        <w:gridCol w:w="2394"/>
        <w:gridCol w:w="23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34" w:hRule="atLeast"/>
        </w:trPr>
        <w:tc>
          <w:tcPr>
            <w:tcW w:w="9960" w:type="dxa"/>
            <w:gridSpan w:val="6"/>
            <w:noWrap/>
            <w:tcMar>
              <w:top w:w="15" w:type="dxa"/>
              <w:left w:w="15" w:type="dxa"/>
              <w:right w:w="15" w:type="dxa"/>
            </w:tcMar>
            <w:vAlign w:val="center"/>
          </w:tcPr>
          <w:p>
            <w:pPr>
              <w:pStyle w:val="22"/>
              <w:widowControl/>
              <w:ind w:left="4173" w:leftChars="1310" w:hanging="1422" w:hangingChars="395"/>
              <w:textAlignment w:val="center"/>
              <w:rPr>
                <w:rFonts w:ascii="宋体" w:cs="宋体"/>
                <w:color w:val="000000"/>
                <w:sz w:val="36"/>
                <w:szCs w:val="36"/>
              </w:rPr>
            </w:pPr>
            <w:r>
              <w:rPr>
                <w:rFonts w:hint="eastAsia" w:ascii="黑体" w:eastAsia="黑体" w:cs="宋体"/>
                <w:bCs/>
                <w:color w:val="000000"/>
                <w:kern w:val="0"/>
                <w:sz w:val="36"/>
                <w:szCs w:val="36"/>
              </w:rPr>
              <w:t>项目支出绩效目标完成情况表（4）</w:t>
            </w:r>
            <w:r>
              <w:rPr>
                <w:rFonts w:hint="eastAsia" w:ascii="宋体" w:cs="宋体"/>
                <w:b/>
                <w:bCs/>
                <w:color w:val="000000"/>
                <w:kern w:val="0"/>
                <w:sz w:val="36"/>
                <w:szCs w:val="36"/>
              </w:rPr>
              <w:br w:type="textWrapping"/>
            </w:r>
            <w:r>
              <w:rPr>
                <w:rFonts w:hint="eastAsia" w:ascii="宋体" w:cs="宋体"/>
                <w:color w:val="000000"/>
                <w:kern w:val="0"/>
                <w:sz w:val="36"/>
                <w:szCs w:val="36"/>
              </w:rPr>
              <w:t>(2018年度)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财力保障-保运行-安全生产监管经费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达州市达川区黄庭乡人民政府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预算数:</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4万元</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执行数:</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4万元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6"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239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4万元</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4万元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511"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239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0</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24"/>
              </w:rPr>
            </w:pPr>
            <w:r>
              <w:rPr>
                <w:rFonts w:hint="eastAsia" w:ascii="宋体" w:cs="宋体"/>
                <w:color w:val="000000"/>
                <w:sz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实际完成目标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59"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4784"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24"/>
              </w:rPr>
            </w:pPr>
            <w:r>
              <w:rPr>
                <w:rFonts w:hint="eastAsia" w:ascii="宋体" w:cs="宋体"/>
                <w:color w:val="000000"/>
                <w:sz w:val="24"/>
              </w:rPr>
              <w:t>防范遏制生产安全事故为重点，切实落实企业主体责任、部门监管责任、党委政府领导责任，狠抓改革创新、依法治理、基础建设、专项整治和安全宣传教育，落实隐患排查治理体系、风险预防控制体系和社会共治体系建设等工作。</w:t>
            </w:r>
          </w:p>
        </w:tc>
        <w:tc>
          <w:tcPr>
            <w:tcW w:w="478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42" w:hRule="atLeast"/>
        </w:trPr>
        <w:tc>
          <w:tcPr>
            <w:tcW w:w="39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实际完成指标值(包含数字及文字描述)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53"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数量指标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学习宣传教育活动、开展打非治违和专项整治、专项排查，重点领域整治</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12次以上、6次以上、每月1次</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已完成排查12次以上、已完成宣传教育活动6次以上、对重点领域每月1次排查。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质量指标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责任落实、加大宣传、狠抓整治</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明确党委政府领导责任、镇安监所监管责任、各村社区、企业主体责任体系、每月召开一次安全专项会议、每月排查一次安全隐患，对隐患进行定人定责定时整改</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已完成责任体系、每月召开一次安全专项会议、每月排查一次安全隐患，对隐患进行定人定责定时整改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时效指标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年度目标任务完成率</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目标任务完成率达100%</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完成率</w:t>
            </w:r>
            <w:r>
              <w:rPr>
                <w:rFonts w:ascii="Arial" w:hAnsi="Arial" w:cs="Arial"/>
                <w:color w:val="000000"/>
                <w:sz w:val="24"/>
              </w:rPr>
              <w:t>≥</w:t>
            </w:r>
            <w:r>
              <w:rPr>
                <w:rFonts w:hint="eastAsia" w:ascii="宋体" w:cs="宋体"/>
                <w:color w:val="000000"/>
                <w:sz w:val="24"/>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kern w:val="0"/>
                <w:sz w:val="24"/>
              </w:rPr>
            </w:pPr>
            <w:r>
              <w:rPr>
                <w:rFonts w:hint="eastAsia" w:asci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成本指标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差旅费标准、会议培训会标准、宣传费用标准</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遵守达州市达川区差旅费有关标准、遵守达州市达川区会议费有关标准、遵守达州市达川区政府采购有关标准</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遵守达州市达川区差旅费有关标准、遵守达州市达川区会议费有关标准、遵守达州市达川区政府采购有关标准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kern w:val="0"/>
                <w:sz w:val="24"/>
              </w:rPr>
            </w:pPr>
            <w:r>
              <w:rPr>
                <w:rFonts w:hint="eastAsia" w:ascii="宋体" w:cs="宋体"/>
                <w:color w:val="000000"/>
                <w:kern w:val="0"/>
                <w:sz w:val="24"/>
              </w:rPr>
              <w:t>项目效益指标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经济效益指标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安全零事故，为经济保驾护航</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以安全生产为主要目标，防范各类事故发生，减少各类经济成本，确保经济稳步发展。</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完成安全生产为主要目标，防范各类事故发生，减少各类经济成本，确保经济稳步发展。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32"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项目效益指标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社会效益指标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有效防范和遏制各项事故发生</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及时处理相关债务，调和基层政权和债权人的关系，提升社会满意度</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为企业、群众提供一个安全的生产生活环境，保障人民群众生活财产安全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项目效益指标</w:t>
            </w:r>
            <w:r>
              <w:rPr>
                <w:rFonts w:hint="eastAsia" w:ascii="宋体" w:cs="宋体"/>
                <w:color w:val="000000"/>
                <w:sz w:val="24"/>
              </w:rPr>
              <w:t>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生态效益指标意</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坚持绿色环保</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textAlignment w:val="center"/>
              <w:rPr>
                <w:rFonts w:ascii="宋体" w:cs="宋体"/>
                <w:color w:val="000000"/>
                <w:sz w:val="24"/>
              </w:rPr>
            </w:pPr>
            <w:r>
              <w:rPr>
                <w:rFonts w:hint="eastAsia" w:ascii="宋体" w:cs="宋体"/>
                <w:color w:val="000000"/>
                <w:sz w:val="24"/>
              </w:rPr>
              <w:t xml:space="preserve"> 不得破坏生态和损害环境</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已达到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项目效益指标</w:t>
            </w:r>
            <w:r>
              <w:rPr>
                <w:rFonts w:hint="eastAsia" w:ascii="宋体" w:cs="宋体"/>
                <w:color w:val="000000"/>
                <w:sz w:val="24"/>
              </w:rPr>
              <w:t>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可持续影响指标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政策导向</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长期保障工作平稳进行</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Arial" w:hAnsi="Arial" w:cs="Arial"/>
                <w:color w:val="000000"/>
                <w:sz w:val="24"/>
              </w:rPr>
              <w:t>长期保障工作平稳进行展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满意度指标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村民满意</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textAlignment w:val="center"/>
              <w:rPr>
                <w:rFonts w:ascii="宋体" w:cs="宋体"/>
                <w:color w:val="000000"/>
                <w:sz w:val="24"/>
              </w:rPr>
            </w:pPr>
            <w:r>
              <w:rPr>
                <w:rFonts w:hint="eastAsia" w:ascii="宋体" w:cs="宋体"/>
                <w:color w:val="000000"/>
                <w:sz w:val="24"/>
              </w:rPr>
              <w:t xml:space="preserve">       满意度</w:t>
            </w:r>
            <w:r>
              <w:rPr>
                <w:rFonts w:ascii="Arial" w:hAnsi="Arial" w:cs="Arial"/>
                <w:color w:val="000000"/>
                <w:sz w:val="24"/>
              </w:rPr>
              <w:t>≥</w:t>
            </w:r>
            <w:r>
              <w:rPr>
                <w:rFonts w:hint="eastAsia" w:ascii="宋体" w:cs="宋体"/>
                <w:color w:val="000000"/>
                <w:sz w:val="24"/>
              </w:rPr>
              <w:t>95%</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已达到满意度</w:t>
            </w:r>
            <w:r>
              <w:rPr>
                <w:rFonts w:ascii="Arial" w:hAnsi="Arial" w:cs="Arial"/>
                <w:color w:val="000000"/>
                <w:sz w:val="24"/>
              </w:rPr>
              <w:t>≥</w:t>
            </w:r>
            <w:r>
              <w:rPr>
                <w:rFonts w:hint="eastAsia" w:ascii="宋体" w:cs="宋体"/>
                <w:color w:val="000000"/>
                <w:sz w:val="24"/>
              </w:rPr>
              <w:t>95%</w:t>
            </w:r>
          </w:p>
        </w:tc>
      </w:tr>
    </w:tbl>
    <w:p>
      <w:pPr>
        <w:spacing w:line="58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5、财力保障信访、维稳、扫黄、除黑、禁毒资金项目绩效目标完成情况综述。项目全年预算数4万元，执行数为4万元，完成预算的100%。通过项目实施，维护了辖区信访、维稳等工作开展，解决了群众合理诉求，打击黄、赌、毒，扫清黑恶势力，为人民群众塑造一个安定、和谐、稳定的社会环境。发现的主要问题：一是在管理中还不是很到位，二是投入力度较大，具体人员较少。下一步改进措施：提高人人参与到管理中来，切实抓好责任管理。</w:t>
      </w:r>
    </w:p>
    <w:tbl>
      <w:tblPr>
        <w:tblStyle w:val="12"/>
        <w:tblpPr w:leftFromText="180" w:rightFromText="180" w:vertAnchor="text" w:horzAnchor="page" w:tblpXSpec="center" w:tblpY="423"/>
        <w:tblOverlap w:val="never"/>
        <w:tblW w:w="99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390"/>
        <w:gridCol w:w="1367"/>
        <w:gridCol w:w="1025"/>
        <w:gridCol w:w="2392"/>
        <w:gridCol w:w="2394"/>
        <w:gridCol w:w="23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34" w:hRule="atLeast"/>
        </w:trPr>
        <w:tc>
          <w:tcPr>
            <w:tcW w:w="9960" w:type="dxa"/>
            <w:gridSpan w:val="6"/>
            <w:noWrap/>
            <w:tcMar>
              <w:top w:w="15" w:type="dxa"/>
              <w:left w:w="15" w:type="dxa"/>
              <w:right w:w="15" w:type="dxa"/>
            </w:tcMar>
            <w:vAlign w:val="center"/>
          </w:tcPr>
          <w:p>
            <w:pPr>
              <w:pStyle w:val="22"/>
              <w:widowControl/>
              <w:ind w:left="4173" w:leftChars="1310" w:hanging="1422" w:hangingChars="395"/>
              <w:textAlignment w:val="center"/>
              <w:rPr>
                <w:rFonts w:ascii="宋体" w:cs="宋体"/>
                <w:color w:val="000000"/>
                <w:sz w:val="36"/>
                <w:szCs w:val="36"/>
              </w:rPr>
            </w:pPr>
            <w:r>
              <w:rPr>
                <w:rFonts w:hint="eastAsia" w:ascii="黑体" w:eastAsia="黑体" w:cs="宋体"/>
                <w:bCs/>
                <w:color w:val="000000"/>
                <w:kern w:val="0"/>
                <w:sz w:val="36"/>
                <w:szCs w:val="36"/>
              </w:rPr>
              <w:t>项目支出绩效目标完成情况表（5）</w:t>
            </w:r>
            <w:r>
              <w:rPr>
                <w:rFonts w:hint="eastAsia" w:ascii="宋体" w:cs="宋体"/>
                <w:b/>
                <w:bCs/>
                <w:color w:val="000000"/>
                <w:kern w:val="0"/>
                <w:sz w:val="36"/>
                <w:szCs w:val="36"/>
              </w:rPr>
              <w:br w:type="textWrapping"/>
            </w:r>
            <w:r>
              <w:rPr>
                <w:rFonts w:hint="eastAsia" w:ascii="宋体" w:cs="宋体"/>
                <w:color w:val="000000"/>
                <w:kern w:val="0"/>
                <w:sz w:val="36"/>
                <w:szCs w:val="36"/>
              </w:rPr>
              <w:t>(2018年度)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黄庭乡2018年度信访、维稳、扫黄、除黑、禁毒资金项目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达州市达川区黄庭乡人民政府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预算数:</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4万元</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执行数:</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4万元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6"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239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4万元</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4万元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511"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239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0</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24"/>
              </w:rPr>
            </w:pPr>
            <w:r>
              <w:rPr>
                <w:rFonts w:hint="eastAsia" w:ascii="宋体" w:cs="宋体"/>
                <w:color w:val="000000"/>
                <w:sz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实际完成目标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59"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4784"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解决群众合理诉求，，打击黄、赌、毒，扫清黑恶势力，为人民群众塑造一个安定、和谐、稳定的社会环境</w:t>
            </w:r>
          </w:p>
        </w:tc>
        <w:tc>
          <w:tcPr>
            <w:tcW w:w="478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42" w:hRule="atLeast"/>
        </w:trPr>
        <w:tc>
          <w:tcPr>
            <w:tcW w:w="39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实际完成指标值(包含数字及文字描述)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53"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数量指标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开展教育宣传活动、组织专项行动</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12次、3次</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已完成全年开展了宣传活动12次，组织专项行动3次。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质量指标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eastAsia="宋体" w:cs="宋体"/>
                <w:color w:val="000000"/>
                <w:sz w:val="24"/>
                <w:lang w:eastAsia="zh-CN"/>
              </w:rPr>
            </w:pPr>
            <w:r>
              <w:rPr>
                <w:rFonts w:hint="eastAsia" w:ascii="宋体" w:cs="宋体"/>
                <w:color w:val="000000"/>
                <w:sz w:val="24"/>
              </w:rPr>
              <w:t>合理诉求、</w:t>
            </w:r>
            <w:r>
              <w:rPr>
                <w:rFonts w:hint="eastAsia" w:ascii="宋体" w:cs="宋体"/>
                <w:color w:val="000000"/>
                <w:sz w:val="24"/>
                <w:lang w:eastAsia="zh-CN"/>
              </w:rPr>
              <w:t>扫黑除恶</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及时处理，上报，将矛盾化解在萌芽状态。及时上报线索，配合民警开展工作</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已完成相关任务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时效指标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年度目标任务完成率</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目标任务完成率达100%</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完成率</w:t>
            </w:r>
            <w:r>
              <w:rPr>
                <w:rFonts w:ascii="Arial" w:hAnsi="Arial" w:cs="Arial"/>
                <w:color w:val="000000"/>
                <w:sz w:val="24"/>
              </w:rPr>
              <w:t>≥</w:t>
            </w:r>
            <w:r>
              <w:rPr>
                <w:rFonts w:hint="eastAsia" w:ascii="宋体" w:cs="宋体"/>
                <w:color w:val="000000"/>
                <w:sz w:val="24"/>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kern w:val="0"/>
                <w:sz w:val="24"/>
              </w:rPr>
            </w:pPr>
            <w:r>
              <w:rPr>
                <w:rFonts w:hint="eastAsia" w:asci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成本指标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差旅费标准、会议培训会标准、会议培训会标准</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遵守达州市达川区差旅费有关标准、遵守达州市达川区会议费有关标准、遵守达州市达川区政府采购有关标准</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遵守达州市达川区差旅费有关标准、遵守达州市达川区会议费有关标准、遵守达州市达川区政府采购有关标准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kern w:val="0"/>
                <w:sz w:val="24"/>
              </w:rPr>
            </w:pPr>
            <w:r>
              <w:rPr>
                <w:rFonts w:hint="eastAsia" w:ascii="宋体" w:cs="宋体"/>
                <w:color w:val="000000"/>
                <w:kern w:val="0"/>
                <w:sz w:val="24"/>
              </w:rPr>
              <w:t>项目效益指标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经济效益指标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经济投资环境</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保护投资人的利益不受损害。确保社会平安、稳定。</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保护投资人的利益不受损害。确保社会平安、稳定。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32"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项目效益指标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社会效益指标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营造良好社会风气</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合理信访，及时处置，</w:t>
            </w:r>
            <w:r>
              <w:rPr>
                <w:rFonts w:hint="eastAsia" w:ascii="宋体" w:cs="宋体"/>
                <w:color w:val="000000"/>
                <w:sz w:val="24"/>
                <w:lang w:eastAsia="zh-CN"/>
              </w:rPr>
              <w:t>扫黑除恶</w:t>
            </w:r>
            <w:r>
              <w:rPr>
                <w:rFonts w:hint="eastAsia" w:ascii="宋体" w:cs="宋体"/>
                <w:color w:val="000000"/>
                <w:sz w:val="24"/>
              </w:rPr>
              <w:t>，综合治理，塑造了公平、正义、平安、和谐的社会。</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合理信访，及时处置，</w:t>
            </w:r>
            <w:r>
              <w:rPr>
                <w:rFonts w:hint="eastAsia" w:ascii="宋体" w:cs="宋体"/>
                <w:color w:val="000000"/>
                <w:sz w:val="24"/>
                <w:lang w:eastAsia="zh-CN"/>
              </w:rPr>
              <w:t>扫黑除恶</w:t>
            </w:r>
            <w:r>
              <w:rPr>
                <w:rFonts w:hint="eastAsia" w:ascii="宋体" w:cs="宋体"/>
                <w:color w:val="000000"/>
                <w:sz w:val="24"/>
              </w:rPr>
              <w:t>，综合治理，塑造了公平、正义、平安、和谐的社会。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项目效益指标</w:t>
            </w:r>
            <w:r>
              <w:rPr>
                <w:rFonts w:hint="eastAsia" w:ascii="宋体" w:cs="宋体"/>
                <w:color w:val="000000"/>
                <w:sz w:val="24"/>
              </w:rPr>
              <w:t>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生态效益指标意</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坚持绿色环保</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textAlignment w:val="center"/>
              <w:rPr>
                <w:rFonts w:ascii="宋体" w:cs="宋体"/>
                <w:color w:val="000000"/>
                <w:sz w:val="24"/>
              </w:rPr>
            </w:pPr>
            <w:r>
              <w:rPr>
                <w:rFonts w:hint="eastAsia" w:ascii="宋体" w:cs="宋体"/>
                <w:color w:val="000000"/>
                <w:sz w:val="24"/>
              </w:rPr>
              <w:t xml:space="preserve"> 保障环境，不能以牺牲环境为代价</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已达到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47"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项目效益指标</w:t>
            </w:r>
            <w:r>
              <w:rPr>
                <w:rFonts w:hint="eastAsia" w:ascii="宋体" w:cs="宋体"/>
                <w:color w:val="000000"/>
                <w:sz w:val="24"/>
              </w:rPr>
              <w:t>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可持续影响指标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政策导向</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长期保障工作平稳进行</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Arial" w:hAnsi="Arial" w:cs="Arial"/>
                <w:color w:val="000000"/>
                <w:sz w:val="24"/>
              </w:rPr>
              <w:t>已保障工作平稳进行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满意度指标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村民满意</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textAlignment w:val="center"/>
              <w:rPr>
                <w:rFonts w:ascii="宋体" w:cs="宋体"/>
                <w:color w:val="000000"/>
                <w:sz w:val="24"/>
              </w:rPr>
            </w:pPr>
            <w:r>
              <w:rPr>
                <w:rFonts w:hint="eastAsia" w:ascii="宋体" w:cs="宋体"/>
                <w:color w:val="000000"/>
                <w:sz w:val="24"/>
              </w:rPr>
              <w:t xml:space="preserve">       满意度</w:t>
            </w:r>
            <w:r>
              <w:rPr>
                <w:rFonts w:ascii="Arial" w:hAnsi="Arial" w:cs="Arial"/>
                <w:color w:val="000000"/>
                <w:sz w:val="24"/>
              </w:rPr>
              <w:t>≥</w:t>
            </w:r>
            <w:r>
              <w:rPr>
                <w:rFonts w:hint="eastAsia" w:ascii="宋体" w:cs="宋体"/>
                <w:color w:val="000000"/>
                <w:sz w:val="24"/>
              </w:rPr>
              <w:t>95%</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已达到满意度</w:t>
            </w:r>
            <w:r>
              <w:rPr>
                <w:rFonts w:ascii="Arial" w:hAnsi="Arial" w:cs="Arial"/>
                <w:color w:val="000000"/>
                <w:sz w:val="24"/>
              </w:rPr>
              <w:t>≥</w:t>
            </w:r>
            <w:r>
              <w:rPr>
                <w:rFonts w:hint="eastAsia" w:ascii="宋体" w:cs="宋体"/>
                <w:color w:val="000000"/>
                <w:sz w:val="24"/>
              </w:rPr>
              <w:t>95%</w:t>
            </w:r>
          </w:p>
        </w:tc>
      </w:tr>
    </w:tbl>
    <w:p>
      <w:pPr>
        <w:spacing w:line="580" w:lineRule="exact"/>
        <w:ind w:firstLine="643" w:firstLineChars="200"/>
        <w:rPr>
          <w:rFonts w:ascii="仿宋" w:eastAsia="仿宋" w:cs="楷体_GB2312"/>
          <w:b/>
          <w:bCs/>
          <w:sz w:val="32"/>
          <w:szCs w:val="32"/>
        </w:rPr>
      </w:pPr>
      <w:bookmarkStart w:id="50" w:name="_Toc15377221"/>
      <w:bookmarkStart w:id="51" w:name="_Toc15396612"/>
    </w:p>
    <w:p>
      <w:pPr>
        <w:spacing w:line="580" w:lineRule="exact"/>
        <w:ind w:firstLine="643" w:firstLineChars="200"/>
        <w:rPr>
          <w:rFonts w:ascii="仿宋" w:eastAsia="仿宋" w:cs="仿宋_GB2312"/>
          <w:sz w:val="32"/>
          <w:szCs w:val="32"/>
        </w:rPr>
      </w:pPr>
      <w:r>
        <w:rPr>
          <w:rFonts w:hint="eastAsia" w:ascii="仿宋" w:eastAsia="仿宋" w:cs="楷体_GB2312"/>
          <w:b/>
          <w:bCs/>
          <w:sz w:val="32"/>
          <w:szCs w:val="32"/>
        </w:rPr>
        <w:t>（三）部门开展绩效评价结果。</w:t>
      </w:r>
    </w:p>
    <w:p>
      <w:pPr>
        <w:spacing w:line="58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本部门按要求对2018年部门整体支出绩效评价情况开展自评，《达川区黄庭乡部门2018年部门整体支出绩效评价报告》见附件。</w:t>
      </w:r>
    </w:p>
    <w:p>
      <w:pPr>
        <w:spacing w:line="600" w:lineRule="exact"/>
        <w:ind w:firstLine="800" w:firstLineChars="250"/>
        <w:outlineLvl w:val="1"/>
        <w:rPr>
          <w:rFonts w:ascii="黑体" w:eastAsia="黑体"/>
          <w:color w:val="000000"/>
          <w:sz w:val="32"/>
          <w:szCs w:val="32"/>
        </w:rPr>
      </w:pPr>
      <w:r>
        <w:rPr>
          <w:rFonts w:hint="eastAsia" w:ascii="仿宋_GB2312" w:eastAsia="仿宋_GB2312" w:cs="仿宋_GB2312"/>
          <w:sz w:val="32"/>
          <w:szCs w:val="32"/>
        </w:rPr>
        <w:t>本部门自行组织对财力保障项目开展了绩效评价，《黄庭乡2018项目年绩效评价报告》见附件。</w:t>
      </w:r>
    </w:p>
    <w:p>
      <w:pPr>
        <w:spacing w:line="600" w:lineRule="exact"/>
        <w:ind w:firstLine="800" w:firstLineChars="250"/>
        <w:outlineLvl w:val="1"/>
        <w:rPr>
          <w:rStyle w:val="17"/>
          <w:rFonts w:ascii="黑体" w:eastAsia="黑体"/>
        </w:rPr>
      </w:pPr>
      <w:r>
        <w:rPr>
          <w:rFonts w:hint="eastAsia" w:ascii="黑体" w:eastAsia="黑体"/>
          <w:color w:val="000000"/>
          <w:sz w:val="32"/>
          <w:szCs w:val="32"/>
        </w:rPr>
        <w:t>十</w:t>
      </w:r>
      <w:r>
        <w:rPr>
          <w:rStyle w:val="17"/>
          <w:rFonts w:hint="eastAsia" w:ascii="黑体" w:eastAsia="黑体"/>
        </w:rPr>
        <w:t>一、</w:t>
      </w:r>
      <w:r>
        <w:rPr>
          <w:rStyle w:val="17"/>
          <w:rFonts w:hint="eastAsia" w:ascii="黑体" w:eastAsia="黑体"/>
          <w:b w:val="0"/>
        </w:rPr>
        <w:t>其他重要事项的情况说明</w:t>
      </w:r>
      <w:bookmarkEnd w:id="50"/>
      <w:bookmarkEnd w:id="51"/>
    </w:p>
    <w:p>
      <w:pPr>
        <w:spacing w:line="600" w:lineRule="exact"/>
        <w:ind w:firstLine="643" w:firstLineChars="200"/>
        <w:outlineLvl w:val="2"/>
        <w:rPr>
          <w:rFonts w:ascii="仿宋" w:eastAsia="仿宋"/>
          <w:color w:val="000000"/>
          <w:sz w:val="32"/>
          <w:szCs w:val="32"/>
        </w:rPr>
      </w:pPr>
      <w:bookmarkStart w:id="52" w:name="_Toc15377222"/>
      <w:r>
        <w:rPr>
          <w:rFonts w:hint="eastAsia" w:ascii="仿宋" w:eastAsia="仿宋"/>
          <w:b/>
          <w:color w:val="000000"/>
          <w:sz w:val="32"/>
          <w:szCs w:val="32"/>
        </w:rPr>
        <w:t>（一）机关运行经费支出情况</w:t>
      </w:r>
      <w:bookmarkEnd w:id="52"/>
    </w:p>
    <w:p>
      <w:pPr>
        <w:spacing w:line="600" w:lineRule="exact"/>
        <w:ind w:firstLine="640" w:firstLineChars="200"/>
        <w:rPr>
          <w:rFonts w:ascii="仿宋_GB2312" w:eastAsia="仿宋_GB2312"/>
          <w:color w:val="000000"/>
          <w:sz w:val="32"/>
          <w:szCs w:val="32"/>
        </w:rPr>
      </w:pPr>
      <w:r>
        <w:rPr>
          <w:rFonts w:ascii="仿宋_GB2312" w:eastAsia="仿宋_GB2312"/>
          <w:color w:val="000000"/>
          <w:sz w:val="32"/>
          <w:szCs w:val="32"/>
        </w:rPr>
        <w:t>201</w:t>
      </w:r>
      <w:r>
        <w:rPr>
          <w:rFonts w:hint="eastAsia" w:ascii="仿宋_GB2312" w:eastAsia="仿宋_GB2312"/>
          <w:color w:val="000000"/>
          <w:sz w:val="32"/>
          <w:szCs w:val="32"/>
        </w:rPr>
        <w:t>8年，达州市达川区黄庭乡人民政府机关运行经费支出131.38万元，比</w:t>
      </w:r>
      <w:r>
        <w:rPr>
          <w:rFonts w:ascii="仿宋_GB2312" w:eastAsia="仿宋_GB2312"/>
          <w:color w:val="000000"/>
          <w:sz w:val="32"/>
          <w:szCs w:val="32"/>
        </w:rPr>
        <w:t>201</w:t>
      </w:r>
      <w:r>
        <w:rPr>
          <w:rFonts w:hint="eastAsia" w:ascii="仿宋_GB2312" w:eastAsia="仿宋_GB2312"/>
          <w:color w:val="000000"/>
          <w:sz w:val="32"/>
          <w:szCs w:val="32"/>
        </w:rPr>
        <w:t>7年减少15.12万元，下降10.32</w:t>
      </w:r>
      <w:r>
        <w:rPr>
          <w:rFonts w:ascii="仿宋_GB2312" w:eastAsia="仿宋_GB2312"/>
          <w:color w:val="000000"/>
          <w:sz w:val="32"/>
          <w:szCs w:val="32"/>
        </w:rPr>
        <w:t>%</w:t>
      </w:r>
      <w:r>
        <w:rPr>
          <w:rFonts w:hint="eastAsia" w:ascii="仿宋_GB2312" w:eastAsia="仿宋_GB2312"/>
          <w:color w:val="000000"/>
          <w:sz w:val="32"/>
          <w:szCs w:val="32"/>
        </w:rPr>
        <w:t>。主要原因是加大了机关运行的管理，严格节约开支。</w:t>
      </w:r>
    </w:p>
    <w:p>
      <w:pPr>
        <w:autoSpaceDE w:val="0"/>
        <w:autoSpaceDN w:val="0"/>
        <w:adjustRightInd w:val="0"/>
        <w:spacing w:line="600" w:lineRule="exact"/>
        <w:ind w:firstLine="643" w:firstLineChars="200"/>
        <w:jc w:val="left"/>
        <w:outlineLvl w:val="2"/>
        <w:rPr>
          <w:rFonts w:ascii="仿宋" w:eastAsia="仿宋"/>
          <w:b/>
          <w:color w:val="000000"/>
          <w:sz w:val="32"/>
          <w:szCs w:val="32"/>
        </w:rPr>
      </w:pPr>
      <w:bookmarkStart w:id="53" w:name="_Toc15377223"/>
      <w:r>
        <w:rPr>
          <w:rFonts w:hint="eastAsia" w:ascii="仿宋" w:eastAsia="仿宋"/>
          <w:b/>
          <w:color w:val="000000"/>
          <w:sz w:val="32"/>
          <w:szCs w:val="32"/>
        </w:rPr>
        <w:t>（二）政府采购支出情况</w:t>
      </w:r>
      <w:bookmarkEnd w:id="53"/>
    </w:p>
    <w:p>
      <w:pPr>
        <w:spacing w:line="600" w:lineRule="exact"/>
        <w:ind w:firstLine="640" w:firstLineChars="200"/>
        <w:rPr>
          <w:rFonts w:ascii="仿宋_GB2312" w:eastAsia="仿宋_GB2312"/>
          <w:color w:val="000000"/>
          <w:sz w:val="32"/>
          <w:szCs w:val="32"/>
        </w:rPr>
      </w:pPr>
      <w:r>
        <w:rPr>
          <w:rFonts w:ascii="仿宋_GB2312" w:eastAsia="仿宋_GB2312"/>
          <w:color w:val="000000"/>
          <w:sz w:val="32"/>
          <w:szCs w:val="32"/>
        </w:rPr>
        <w:t>201</w:t>
      </w:r>
      <w:r>
        <w:rPr>
          <w:rFonts w:hint="eastAsia" w:ascii="仿宋_GB2312" w:eastAsia="仿宋_GB2312"/>
          <w:color w:val="000000"/>
          <w:sz w:val="32"/>
          <w:szCs w:val="32"/>
        </w:rPr>
        <w:t>8年，达州市达川区黄庭乡人民政府采购支出总额0万元，其中：政府采购货物支出0万元、政府采购工程支出0万元、政府采购服务支出0万元。主要用于2018年政府日常办公设备的购置。</w:t>
      </w:r>
    </w:p>
    <w:p>
      <w:pPr>
        <w:autoSpaceDE w:val="0"/>
        <w:autoSpaceDN w:val="0"/>
        <w:adjustRightInd w:val="0"/>
        <w:spacing w:line="600" w:lineRule="exact"/>
        <w:ind w:firstLine="643" w:firstLineChars="200"/>
        <w:jc w:val="left"/>
        <w:outlineLvl w:val="2"/>
        <w:rPr>
          <w:rFonts w:ascii="仿宋" w:eastAsia="仿宋"/>
          <w:b/>
          <w:color w:val="000000"/>
          <w:sz w:val="32"/>
          <w:szCs w:val="32"/>
        </w:rPr>
      </w:pPr>
      <w:bookmarkStart w:id="54" w:name="_Toc15377224"/>
      <w:r>
        <w:rPr>
          <w:rFonts w:hint="eastAsia" w:ascii="仿宋" w:eastAsia="仿宋"/>
          <w:b/>
          <w:color w:val="000000"/>
          <w:sz w:val="32"/>
          <w:szCs w:val="32"/>
        </w:rPr>
        <w:t>（三）国有资产占有使用情况</w:t>
      </w:r>
      <w:bookmarkEnd w:id="54"/>
    </w:p>
    <w:p>
      <w:pPr>
        <w:autoSpaceDE w:val="0"/>
        <w:autoSpaceDN w:val="0"/>
        <w:adjustRightInd w:val="0"/>
        <w:spacing w:line="600" w:lineRule="exact"/>
        <w:ind w:firstLine="640" w:firstLineChars="200"/>
        <w:jc w:val="left"/>
        <w:rPr>
          <w:rFonts w:ascii="仿宋_GB2312" w:eastAsia="仿宋_GB2312"/>
          <w:color w:val="000000"/>
          <w:sz w:val="32"/>
          <w:szCs w:val="32"/>
        </w:rPr>
      </w:pPr>
      <w:r>
        <w:rPr>
          <w:rFonts w:hint="eastAsia" w:ascii="仿宋_GB2312" w:eastAsia="仿宋_GB2312"/>
          <w:color w:val="000000"/>
          <w:sz w:val="32"/>
          <w:szCs w:val="32"/>
        </w:rPr>
        <w:t>截至</w:t>
      </w:r>
      <w:r>
        <w:rPr>
          <w:rFonts w:ascii="仿宋_GB2312" w:eastAsia="仿宋_GB2312"/>
          <w:color w:val="000000"/>
          <w:sz w:val="32"/>
          <w:szCs w:val="32"/>
        </w:rPr>
        <w:t>201</w:t>
      </w:r>
      <w:r>
        <w:rPr>
          <w:rFonts w:hint="eastAsia" w:ascii="仿宋_GB2312" w:eastAsia="仿宋_GB2312"/>
          <w:color w:val="000000"/>
          <w:sz w:val="32"/>
          <w:szCs w:val="32"/>
        </w:rPr>
        <w:t>8年</w:t>
      </w:r>
      <w:r>
        <w:rPr>
          <w:rFonts w:ascii="仿宋_GB2312" w:eastAsia="仿宋_GB2312"/>
          <w:color w:val="000000"/>
          <w:sz w:val="32"/>
          <w:szCs w:val="32"/>
        </w:rPr>
        <w:t>12</w:t>
      </w:r>
      <w:r>
        <w:rPr>
          <w:rFonts w:hint="eastAsia" w:ascii="仿宋_GB2312" w:eastAsia="仿宋_GB2312"/>
          <w:color w:val="000000"/>
          <w:sz w:val="32"/>
          <w:szCs w:val="32"/>
        </w:rPr>
        <w:t>月</w:t>
      </w:r>
      <w:r>
        <w:rPr>
          <w:rFonts w:ascii="仿宋_GB2312" w:eastAsia="仿宋_GB2312"/>
          <w:color w:val="000000"/>
          <w:sz w:val="32"/>
          <w:szCs w:val="32"/>
        </w:rPr>
        <w:t>31</w:t>
      </w:r>
      <w:r>
        <w:rPr>
          <w:rFonts w:hint="eastAsia" w:ascii="仿宋_GB2312" w:eastAsia="仿宋_GB2312"/>
          <w:color w:val="000000"/>
          <w:sz w:val="32"/>
          <w:szCs w:val="32"/>
        </w:rPr>
        <w:t>日，黄庭乡共有车辆1辆，其中：部级领导干部用车0辆、一般公务用车0辆、一般执法执勤用车0辆、特种专业技术用车0辆、其他用车1辆，其他用车主要是用于场镇垃圾清理用车，但本单位未使用，故未产生公务车运行维护费。单价</w:t>
      </w:r>
      <w:r>
        <w:rPr>
          <w:rFonts w:ascii="仿宋_GB2312" w:eastAsia="仿宋_GB2312"/>
          <w:color w:val="000000"/>
          <w:sz w:val="32"/>
          <w:szCs w:val="32"/>
        </w:rPr>
        <w:t>50</w:t>
      </w:r>
      <w:r>
        <w:rPr>
          <w:rFonts w:hint="eastAsia" w:ascii="仿宋_GB2312" w:eastAsia="仿宋_GB2312"/>
          <w:color w:val="000000"/>
          <w:sz w:val="32"/>
          <w:szCs w:val="32"/>
        </w:rPr>
        <w:t>万元以上通用设备0台（套），单价</w:t>
      </w:r>
      <w:r>
        <w:rPr>
          <w:rFonts w:ascii="仿宋_GB2312" w:eastAsia="仿宋_GB2312"/>
          <w:color w:val="000000"/>
          <w:sz w:val="32"/>
          <w:szCs w:val="32"/>
        </w:rPr>
        <w:t>100</w:t>
      </w:r>
      <w:r>
        <w:rPr>
          <w:rFonts w:hint="eastAsia" w:ascii="仿宋_GB2312" w:eastAsia="仿宋_GB2312"/>
          <w:color w:val="000000"/>
          <w:sz w:val="32"/>
          <w:szCs w:val="32"/>
        </w:rPr>
        <w:t>万元以上专用设备0台（套）。</w:t>
      </w:r>
    </w:p>
    <w:p>
      <w:pPr>
        <w:spacing w:line="600" w:lineRule="exact"/>
        <w:outlineLvl w:val="0"/>
        <w:rPr>
          <w:rFonts w:ascii="黑体" w:eastAsia="黑体"/>
          <w:b/>
          <w:color w:val="000000"/>
          <w:sz w:val="44"/>
          <w:szCs w:val="44"/>
        </w:rPr>
      </w:pPr>
      <w:bookmarkStart w:id="55" w:name="_Toc15396613"/>
      <w:bookmarkStart w:id="56" w:name="_Toc15377225"/>
    </w:p>
    <w:p>
      <w:pPr>
        <w:spacing w:line="600" w:lineRule="exact"/>
        <w:jc w:val="center"/>
        <w:outlineLvl w:val="0"/>
        <w:rPr>
          <w:rFonts w:ascii="黑体" w:eastAsia="黑体"/>
          <w:b/>
          <w:color w:val="000000"/>
          <w:sz w:val="44"/>
          <w:szCs w:val="44"/>
        </w:rPr>
      </w:pPr>
    </w:p>
    <w:p>
      <w:pPr>
        <w:spacing w:line="600" w:lineRule="exact"/>
        <w:jc w:val="center"/>
        <w:outlineLvl w:val="0"/>
        <w:rPr>
          <w:rFonts w:ascii="黑体" w:eastAsia="黑体"/>
          <w:b/>
          <w:color w:val="000000"/>
          <w:sz w:val="44"/>
          <w:szCs w:val="44"/>
        </w:rPr>
      </w:pPr>
    </w:p>
    <w:p>
      <w:pPr>
        <w:spacing w:line="600" w:lineRule="exact"/>
        <w:jc w:val="center"/>
        <w:outlineLvl w:val="0"/>
        <w:rPr>
          <w:rFonts w:ascii="黑体" w:eastAsia="黑体"/>
          <w:b/>
          <w:color w:val="000000"/>
          <w:sz w:val="44"/>
          <w:szCs w:val="44"/>
        </w:rPr>
      </w:pPr>
    </w:p>
    <w:p>
      <w:pPr>
        <w:spacing w:line="600" w:lineRule="exact"/>
        <w:jc w:val="center"/>
        <w:outlineLvl w:val="0"/>
        <w:rPr>
          <w:rFonts w:ascii="黑体" w:eastAsia="黑体"/>
          <w:b/>
          <w:color w:val="000000"/>
          <w:sz w:val="44"/>
          <w:szCs w:val="44"/>
        </w:rPr>
      </w:pPr>
    </w:p>
    <w:p>
      <w:pPr>
        <w:spacing w:line="600" w:lineRule="exact"/>
        <w:jc w:val="center"/>
        <w:outlineLvl w:val="0"/>
        <w:rPr>
          <w:rFonts w:ascii="黑体" w:eastAsia="黑体"/>
          <w:b/>
          <w:color w:val="000000"/>
          <w:sz w:val="44"/>
          <w:szCs w:val="44"/>
        </w:rPr>
      </w:pPr>
    </w:p>
    <w:p>
      <w:pPr>
        <w:spacing w:line="600" w:lineRule="exact"/>
        <w:jc w:val="center"/>
        <w:outlineLvl w:val="0"/>
        <w:rPr>
          <w:rFonts w:ascii="黑体" w:eastAsia="黑体"/>
          <w:b/>
          <w:color w:val="000000"/>
          <w:sz w:val="44"/>
          <w:szCs w:val="44"/>
        </w:rPr>
      </w:pPr>
    </w:p>
    <w:p>
      <w:pPr>
        <w:spacing w:line="600" w:lineRule="exact"/>
        <w:jc w:val="center"/>
        <w:outlineLvl w:val="0"/>
        <w:rPr>
          <w:rFonts w:ascii="黑体" w:eastAsia="黑体"/>
          <w:b/>
          <w:color w:val="000000"/>
          <w:sz w:val="44"/>
          <w:szCs w:val="44"/>
        </w:rPr>
      </w:pPr>
    </w:p>
    <w:p>
      <w:pPr>
        <w:spacing w:line="600" w:lineRule="exact"/>
        <w:jc w:val="center"/>
        <w:outlineLvl w:val="0"/>
        <w:rPr>
          <w:rFonts w:ascii="黑体" w:eastAsia="黑体"/>
          <w:b/>
          <w:color w:val="000000"/>
          <w:sz w:val="44"/>
          <w:szCs w:val="44"/>
        </w:rPr>
      </w:pPr>
    </w:p>
    <w:p>
      <w:pPr>
        <w:spacing w:line="600" w:lineRule="exact"/>
        <w:jc w:val="center"/>
        <w:outlineLvl w:val="0"/>
        <w:rPr>
          <w:rFonts w:ascii="黑体" w:eastAsia="黑体"/>
          <w:b/>
          <w:color w:val="000000"/>
          <w:sz w:val="44"/>
          <w:szCs w:val="44"/>
        </w:rPr>
      </w:pPr>
    </w:p>
    <w:p>
      <w:pPr>
        <w:spacing w:line="600" w:lineRule="exact"/>
        <w:jc w:val="center"/>
        <w:outlineLvl w:val="0"/>
        <w:rPr>
          <w:rFonts w:ascii="黑体" w:eastAsia="黑体"/>
          <w:b/>
          <w:color w:val="000000"/>
          <w:sz w:val="44"/>
          <w:szCs w:val="44"/>
        </w:rPr>
      </w:pPr>
    </w:p>
    <w:p>
      <w:pPr>
        <w:spacing w:line="600" w:lineRule="exact"/>
        <w:jc w:val="center"/>
        <w:outlineLvl w:val="0"/>
        <w:rPr>
          <w:rFonts w:ascii="黑体" w:eastAsia="黑体"/>
          <w:b/>
          <w:color w:val="000000"/>
          <w:sz w:val="44"/>
          <w:szCs w:val="44"/>
        </w:rPr>
      </w:pPr>
    </w:p>
    <w:p>
      <w:pPr>
        <w:spacing w:line="600" w:lineRule="exact"/>
        <w:jc w:val="center"/>
        <w:outlineLvl w:val="0"/>
        <w:rPr>
          <w:rFonts w:ascii="黑体" w:eastAsia="黑体"/>
          <w:b/>
          <w:color w:val="000000"/>
          <w:sz w:val="44"/>
          <w:szCs w:val="44"/>
        </w:rPr>
      </w:pPr>
    </w:p>
    <w:p>
      <w:pPr>
        <w:spacing w:line="600" w:lineRule="exact"/>
        <w:jc w:val="center"/>
        <w:outlineLvl w:val="0"/>
        <w:rPr>
          <w:rFonts w:ascii="黑体" w:eastAsia="黑体"/>
          <w:b/>
          <w:color w:val="000000"/>
          <w:sz w:val="44"/>
          <w:szCs w:val="44"/>
        </w:rPr>
      </w:pPr>
    </w:p>
    <w:p>
      <w:pPr>
        <w:spacing w:line="600" w:lineRule="exact"/>
        <w:jc w:val="center"/>
        <w:outlineLvl w:val="0"/>
        <w:rPr>
          <w:rFonts w:ascii="黑体" w:eastAsia="黑体"/>
          <w:b/>
          <w:color w:val="000000"/>
          <w:sz w:val="44"/>
          <w:szCs w:val="44"/>
        </w:rPr>
      </w:pPr>
    </w:p>
    <w:p>
      <w:pPr>
        <w:spacing w:line="600" w:lineRule="exact"/>
        <w:jc w:val="center"/>
        <w:outlineLvl w:val="0"/>
        <w:rPr>
          <w:rFonts w:ascii="黑体" w:eastAsia="黑体"/>
          <w:b/>
          <w:color w:val="000000"/>
          <w:sz w:val="44"/>
          <w:szCs w:val="44"/>
        </w:rPr>
      </w:pPr>
    </w:p>
    <w:p>
      <w:pPr>
        <w:spacing w:line="600" w:lineRule="exact"/>
        <w:jc w:val="center"/>
        <w:outlineLvl w:val="0"/>
        <w:rPr>
          <w:rFonts w:ascii="黑体" w:eastAsia="黑体"/>
          <w:b/>
          <w:color w:val="000000"/>
          <w:sz w:val="44"/>
          <w:szCs w:val="44"/>
        </w:rPr>
      </w:pPr>
    </w:p>
    <w:p>
      <w:pPr>
        <w:spacing w:line="600" w:lineRule="exact"/>
        <w:jc w:val="center"/>
        <w:outlineLvl w:val="0"/>
        <w:rPr>
          <w:rFonts w:ascii="黑体" w:eastAsia="黑体"/>
          <w:b/>
          <w:color w:val="000000"/>
          <w:sz w:val="44"/>
          <w:szCs w:val="44"/>
        </w:rPr>
      </w:pPr>
    </w:p>
    <w:p>
      <w:pPr>
        <w:spacing w:line="600" w:lineRule="exact"/>
        <w:jc w:val="center"/>
        <w:outlineLvl w:val="0"/>
        <w:rPr>
          <w:rFonts w:ascii="黑体" w:eastAsia="黑体"/>
          <w:b/>
          <w:color w:val="000000"/>
          <w:sz w:val="44"/>
          <w:szCs w:val="44"/>
        </w:rPr>
      </w:pPr>
    </w:p>
    <w:p>
      <w:pPr>
        <w:spacing w:line="600" w:lineRule="exact"/>
        <w:jc w:val="center"/>
        <w:outlineLvl w:val="0"/>
        <w:rPr>
          <w:rFonts w:ascii="黑体" w:eastAsia="黑体"/>
          <w:b/>
          <w:color w:val="000000"/>
          <w:sz w:val="44"/>
          <w:szCs w:val="44"/>
        </w:rPr>
      </w:pPr>
    </w:p>
    <w:p>
      <w:pPr>
        <w:spacing w:line="600" w:lineRule="exact"/>
        <w:jc w:val="center"/>
        <w:outlineLvl w:val="0"/>
        <w:rPr>
          <w:rFonts w:ascii="黑体" w:eastAsia="黑体"/>
          <w:b/>
          <w:color w:val="000000"/>
          <w:sz w:val="44"/>
          <w:szCs w:val="44"/>
        </w:rPr>
      </w:pPr>
    </w:p>
    <w:p>
      <w:pPr>
        <w:spacing w:line="600" w:lineRule="exact"/>
        <w:jc w:val="center"/>
        <w:outlineLvl w:val="0"/>
        <w:rPr>
          <w:rFonts w:ascii="黑体" w:eastAsia="黑体"/>
          <w:b/>
          <w:color w:val="000000"/>
          <w:sz w:val="44"/>
          <w:szCs w:val="44"/>
        </w:rPr>
      </w:pPr>
    </w:p>
    <w:p>
      <w:pPr>
        <w:spacing w:line="600" w:lineRule="exact"/>
        <w:jc w:val="center"/>
        <w:outlineLvl w:val="0"/>
        <w:rPr>
          <w:rFonts w:ascii="宋体"/>
          <w:b/>
          <w:color w:val="000000"/>
          <w:sz w:val="44"/>
          <w:szCs w:val="44"/>
        </w:rPr>
      </w:pPr>
      <w:r>
        <w:rPr>
          <w:rFonts w:hint="eastAsia" w:ascii="黑体" w:eastAsia="黑体"/>
          <w:b/>
          <w:color w:val="000000"/>
          <w:sz w:val="44"/>
          <w:szCs w:val="44"/>
        </w:rPr>
        <w:t>第三部分名</w:t>
      </w:r>
      <w:r>
        <w:rPr>
          <w:rStyle w:val="16"/>
          <w:rFonts w:hint="eastAsia" w:ascii="黑体" w:eastAsia="黑体"/>
          <w:b w:val="0"/>
        </w:rPr>
        <w:t>词解释</w:t>
      </w:r>
      <w:bookmarkEnd w:id="55"/>
      <w:bookmarkEnd w:id="56"/>
    </w:p>
    <w:p>
      <w:pPr>
        <w:spacing w:line="600" w:lineRule="exact"/>
        <w:ind w:firstLine="640" w:firstLineChars="200"/>
        <w:jc w:val="left"/>
        <w:outlineLvl w:val="0"/>
        <w:rPr>
          <w:rFonts w:ascii="仿宋_GB2312" w:eastAsia="仿宋_GB2312"/>
          <w:sz w:val="32"/>
          <w:szCs w:val="32"/>
        </w:rPr>
      </w:pPr>
      <w:bookmarkStart w:id="57" w:name="_Toc15377226"/>
      <w:r>
        <w:rPr>
          <w:rFonts w:hint="eastAsia" w:ascii="仿宋_GB2312" w:eastAsia="仿宋_GB2312"/>
          <w:sz w:val="32"/>
          <w:szCs w:val="32"/>
        </w:rPr>
        <w:t>1、财政拨款收入：指区级财政当年拨付的资金。</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2、一般公共服务（类）政府办公厅（室）及相关机构事务（款）行政运行（项）：反映行政单位（包括实行公务员管理的事业单位）的基本支出。</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3、 一般公共服务支出（类）政府办公厅（室）及相关机构事务（款）一般行政管理事务（项）：反应行政单位行政管理事物方面的支出。</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4、一般公共服务（类）财政事务（款）行政运行（项）：反映财政方面的支出。</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5、文化体育与传媒支出（类）文化（款）其他文化支出（项）：反映群众文化方面的支出，包括基层文化馆（站）免费开放支出等。</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 xml:space="preserve">6、文化体育与传媒支出（类）新闻出版广播影视（款）广播（项）：反映广播系统职工工资及影视方面的支出。 </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7、社会保障和就业支出（类）行政事业单位离退休（款）  机关事业单位基本养老保险缴费支出★（项）：反映机关事业单位基本养老保险缴费。</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8、社会保障和就业支出（类）行政事业单位离退休（款）机关事业单位职业年金缴费支出★（项）：反应机关事业</w:t>
      </w:r>
      <w:r>
        <w:rPr>
          <w:rStyle w:val="14"/>
          <w:rFonts w:hint="eastAsia" w:ascii="仿宋" w:eastAsia="仿宋"/>
          <w:b w:val="0"/>
          <w:bCs/>
          <w:color w:val="000000"/>
          <w:sz w:val="32"/>
          <w:szCs w:val="32"/>
        </w:rPr>
        <w:t>单位职业年金单位部分缴费情况。</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9、社会保障和就业支出（类）抚恤（款）在乡复员、退伍军人生活补助（项）：反映复员、退伍军人领取的生活补助等方面的支出。</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10、社会保障和就业支出（类）残疾人事业（款）其他残疾人事业支出（项）：主要反应残疾人专职委员相关工资福利费开支。</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 xml:space="preserve">11、社会保障和就业支出（类）抚恤（款）义务兵优待（项）：反映义务兵优待方面的支出。 </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12、社会保障和就业支出（类）特困人员救助供养★（款）农村特困人员救助供养支出★（项）：反映用于城乡五保人员的生活补助支出。</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13、医疗卫生与计划生育支出（类）计划生育事务（款）计划生育机构（项）：反映卫生和计划生育部门所属计划生育机构的支出。</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14、医疗卫生与计划生育支出（类）行政事业单位医疗（款）行政单位医疗（项）：反映财政部门集中安排的行政单位基本医疗保险缴费经费，未参加医疗保险的行政单位的公费医疗经费，按国家规定享受离休人员、红军老战士待遇的人员的医疗经费。</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15、医疗卫生与计划生育支出（类）行政事业单位医疗（款）事业单位医疗（项）：反映财政部门集中安排的事业单位的公费医疗经费，按国家规定享受离休人员待遇的医疗经费。</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16、医疗卫生与计划生育支出（类）行政事业单位医疗（款）公务员医疗补助★（项）：主要反映本单位公务员医疗补助缴费的情况。</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17、医疗卫生与计划生育支出（类）计划生育事务（款）其他计划生育事物支出（项）：反应计划生育机构事业单位部门等发生的支出。</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18、城乡社区支出（类）城乡社区环境卫生（款）  城乡社区环境卫生（项）：主要反映本单位辖区城乡社区环境整治等费用支出。</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19、城乡社区支出（类）国有土地使用权出让收入及对应专项债务收入安排的支出（款）其他国有土地使用权出让收入安排的支出（项）：反映一事一议等安排与社区建设发展的其他支出。</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20、城乡社区支出（类）其他城乡社区支出（款）其他城乡社区支出（项）：反应城乡社区其他方面支出。</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21、农林水支出（类）农业（款）事业运行（项）：反映用于农业事业单位基本支出，事业单位设施、系统运行与资产维护等方面的支出。</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22、农林水支出（类）扶贫（款）其他扶贫支出（项）：反映用于农村脱贫攻坚中的支出。</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23、农林水支出（类）农村综合改革（款）对村级一事一议的补助（项）：反映农村对村级一事一议财政奖补情况的支出。</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24、农林水支出（类）农村综合改革（款）对村民委员会和村支部的补助（项）：反映各级财政对村民委员会和村党支部的补助支出。</w:t>
      </w:r>
    </w:p>
    <w:p>
      <w:pPr>
        <w:spacing w:line="600" w:lineRule="exact"/>
        <w:ind w:firstLine="640" w:firstLineChars="200"/>
        <w:jc w:val="left"/>
        <w:outlineLvl w:val="0"/>
        <w:rPr>
          <w:rFonts w:ascii="仿宋_GB2312" w:eastAsia="仿宋_GB2312"/>
          <w:sz w:val="32"/>
          <w:szCs w:val="32"/>
        </w:rPr>
      </w:pPr>
      <w:r>
        <w:rPr>
          <w:rStyle w:val="14"/>
          <w:rFonts w:hint="eastAsia" w:ascii="仿宋_GB2312" w:eastAsia="仿宋_GB2312"/>
          <w:b w:val="0"/>
          <w:bCs/>
          <w:color w:val="000000"/>
          <w:sz w:val="32"/>
          <w:szCs w:val="32"/>
        </w:rPr>
        <w:t>25、交通运输支出（类）公路水路运输（款）公路和运输安全（项）：</w:t>
      </w:r>
      <w:r>
        <w:rPr>
          <w:rFonts w:hint="eastAsia" w:ascii="仿宋_GB2312" w:eastAsia="仿宋_GB2312"/>
          <w:sz w:val="32"/>
          <w:szCs w:val="32"/>
        </w:rPr>
        <w:t>反应船管事业单位部门等发生的人员及公用支出。</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26、住房保障支出（类）住房改革支出（款）  住房公积金（项）：反映用于本乡职工住房公积金缴存等支出。</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27、其他支出（类）彩票公益金及对应专项债务收入安排的支出（款）用于体育事业的彩票公益金支出（项）：反映用于本乡维修维护支出。</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28、结余分配：指事业单位按规定提取的职工福利基金、事业基金和缴纳的所得税，以及建设单位按规定应交回的基本建设竣工项目结余资金。</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29、年末结转和结余：指本年度或以前年度预算安排、因客观条件发生变化无法按原计划实施，需延迟到以后年度按有关规定继续使用的资金。</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30、基本支出：指为保障机构正常运转、完成日常工作任务而发生的人员支出和公用支出。</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 xml:space="preserve">31、项目支出：指在基本支出之外为完成特定行政任务和事业发展目标所发生的支出。 </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32、经营支出：指事业单位在专业业务活动及其辅助活动之外开展非独立核算经营活动发生的支出。</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33、“三公”经费：纳入区级财政预决算管理的“三公”经费，是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34、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600" w:lineRule="exact"/>
        <w:ind w:firstLine="883" w:firstLineChars="200"/>
        <w:jc w:val="center"/>
        <w:outlineLvl w:val="0"/>
        <w:rPr>
          <w:rStyle w:val="16"/>
          <w:rFonts w:ascii="黑体" w:eastAsia="黑体"/>
          <w:b w:val="0"/>
        </w:rPr>
      </w:pPr>
      <w:r>
        <w:rPr>
          <w:rFonts w:ascii="宋体"/>
          <w:b/>
          <w:color w:val="000000"/>
          <w:sz w:val="44"/>
          <w:szCs w:val="44"/>
        </w:rPr>
        <w:br w:type="page"/>
      </w:r>
      <w:bookmarkStart w:id="58" w:name="_Toc15396614"/>
      <w:r>
        <w:rPr>
          <w:rFonts w:hint="eastAsia" w:ascii="黑体" w:eastAsia="黑体"/>
          <w:color w:val="000000"/>
          <w:sz w:val="44"/>
          <w:szCs w:val="44"/>
        </w:rPr>
        <w:t>第</w:t>
      </w:r>
      <w:r>
        <w:rPr>
          <w:rStyle w:val="16"/>
          <w:rFonts w:hint="eastAsia" w:ascii="黑体" w:eastAsia="黑体"/>
          <w:b w:val="0"/>
        </w:rPr>
        <w:t>四部分 附件</w:t>
      </w:r>
      <w:bookmarkEnd w:id="58"/>
    </w:p>
    <w:p>
      <w:pPr>
        <w:spacing w:line="600" w:lineRule="exact"/>
        <w:jc w:val="center"/>
        <w:outlineLvl w:val="0"/>
        <w:rPr>
          <w:rStyle w:val="16"/>
        </w:rPr>
      </w:pPr>
    </w:p>
    <w:p>
      <w:pPr>
        <w:pStyle w:val="3"/>
        <w:rPr>
          <w:rStyle w:val="16"/>
          <w:rFonts w:ascii="仿宋" w:eastAsia="仿宋"/>
          <w:b w:val="0"/>
          <w:bCs w:val="0"/>
          <w:sz w:val="32"/>
          <w:szCs w:val="32"/>
        </w:rPr>
      </w:pPr>
      <w:bookmarkStart w:id="59" w:name="_Toc15396615"/>
      <w:r>
        <w:rPr>
          <w:rStyle w:val="16"/>
          <w:rFonts w:hint="eastAsia" w:ascii="仿宋" w:eastAsia="仿宋"/>
          <w:b w:val="0"/>
          <w:bCs w:val="0"/>
          <w:sz w:val="32"/>
          <w:szCs w:val="32"/>
        </w:rPr>
        <w:t>附件1</w:t>
      </w:r>
      <w:bookmarkEnd w:id="59"/>
    </w:p>
    <w:p>
      <w:pPr>
        <w:spacing w:line="600" w:lineRule="exact"/>
        <w:jc w:val="center"/>
        <w:outlineLvl w:val="0"/>
        <w:rPr>
          <w:rFonts w:ascii="黑体" w:eastAsia="黑体" w:cs="方正小标宋简体"/>
          <w:sz w:val="36"/>
          <w:szCs w:val="36"/>
        </w:rPr>
      </w:pPr>
      <w:bookmarkStart w:id="60" w:name="_Toc15396616"/>
      <w:r>
        <w:rPr>
          <w:rFonts w:hint="eastAsia" w:ascii="黑体" w:eastAsia="黑体" w:cs="方正小标宋简体"/>
          <w:sz w:val="36"/>
          <w:szCs w:val="36"/>
        </w:rPr>
        <w:t>黄庭乡部门2018年部门整体支出绩效评价报告</w:t>
      </w:r>
      <w:bookmarkEnd w:id="60"/>
    </w:p>
    <w:p>
      <w:pPr>
        <w:spacing w:line="580" w:lineRule="exact"/>
        <w:ind w:firstLine="640" w:firstLineChars="200"/>
        <w:rPr>
          <w:rFonts w:ascii="黑体" w:eastAsia="黑体" w:cs="黑体"/>
          <w:sz w:val="32"/>
          <w:szCs w:val="32"/>
        </w:rPr>
      </w:pPr>
    </w:p>
    <w:p>
      <w:pPr>
        <w:spacing w:line="580" w:lineRule="exact"/>
        <w:ind w:firstLine="640" w:firstLineChars="200"/>
        <w:rPr>
          <w:rFonts w:ascii="黑体" w:eastAsia="黑体" w:cs="黑体"/>
          <w:sz w:val="32"/>
          <w:szCs w:val="32"/>
        </w:rPr>
      </w:pPr>
      <w:r>
        <w:rPr>
          <w:rFonts w:hint="eastAsia" w:ascii="黑体" w:eastAsia="黑体" w:cs="黑体"/>
          <w:sz w:val="32"/>
          <w:szCs w:val="32"/>
        </w:rPr>
        <w:t>一、部门（单位）概况</w:t>
      </w:r>
    </w:p>
    <w:p>
      <w:pPr>
        <w:spacing w:line="580" w:lineRule="exact"/>
        <w:ind w:firstLine="640" w:firstLineChars="200"/>
        <w:rPr>
          <w:rFonts w:ascii="仿宋" w:eastAsia="仿宋" w:cs="仿宋_GB2312"/>
          <w:sz w:val="32"/>
          <w:szCs w:val="32"/>
        </w:rPr>
      </w:pPr>
      <w:r>
        <w:rPr>
          <w:rFonts w:hint="eastAsia" w:ascii="仿宋" w:eastAsia="仿宋" w:cs="仿宋_GB2312"/>
          <w:sz w:val="32"/>
          <w:szCs w:val="32"/>
        </w:rPr>
        <w:t>黄庭乡政府位于达川区东南部，幅面积29平方公里，总人口9760人（其中农业人口9400人），辖8个村、67个社、1个居民委员会，2个居民小组。黄庭乡水田</w:t>
      </w:r>
      <w:r>
        <w:rPr>
          <w:rFonts w:hint="eastAsia" w:ascii="仿宋" w:eastAsia="仿宋" w:cs="仿宋_GB2312"/>
          <w:sz w:val="32"/>
          <w:szCs w:val="32"/>
          <w:lang w:val="en-US" w:eastAsia="zh-CN"/>
        </w:rPr>
        <w:t>3488</w:t>
      </w:r>
      <w:r>
        <w:rPr>
          <w:rFonts w:hint="eastAsia" w:ascii="仿宋" w:eastAsia="仿宋" w:cs="仿宋_GB2312"/>
          <w:sz w:val="32"/>
          <w:szCs w:val="32"/>
        </w:rPr>
        <w:t>亩，旱地</w:t>
      </w:r>
      <w:r>
        <w:rPr>
          <w:rFonts w:hint="eastAsia" w:ascii="仿宋" w:eastAsia="仿宋" w:cs="仿宋_GB2312"/>
          <w:sz w:val="32"/>
          <w:szCs w:val="32"/>
          <w:lang w:val="en-US" w:eastAsia="zh-CN"/>
        </w:rPr>
        <w:t>3314</w:t>
      </w:r>
      <w:r>
        <w:rPr>
          <w:rFonts w:hint="eastAsia" w:ascii="仿宋" w:eastAsia="仿宋" w:cs="仿宋_GB2312"/>
          <w:sz w:val="32"/>
          <w:szCs w:val="32"/>
        </w:rPr>
        <w:t>亩，园地</w:t>
      </w:r>
      <w:r>
        <w:rPr>
          <w:rFonts w:hint="eastAsia" w:ascii="仿宋" w:eastAsia="仿宋" w:cs="仿宋_GB2312"/>
          <w:sz w:val="32"/>
          <w:szCs w:val="32"/>
          <w:lang w:val="en-US" w:eastAsia="zh-CN"/>
        </w:rPr>
        <w:t>568</w:t>
      </w:r>
      <w:r>
        <w:rPr>
          <w:rFonts w:hint="eastAsia" w:ascii="仿宋" w:eastAsia="仿宋" w:cs="仿宋_GB2312"/>
          <w:sz w:val="32"/>
          <w:szCs w:val="32"/>
        </w:rPr>
        <w:t>亩，林地</w:t>
      </w:r>
      <w:r>
        <w:rPr>
          <w:rFonts w:hint="eastAsia" w:ascii="仿宋" w:eastAsia="仿宋" w:cs="仿宋_GB2312"/>
          <w:sz w:val="32"/>
          <w:szCs w:val="32"/>
          <w:lang w:val="en-US" w:eastAsia="zh-CN"/>
        </w:rPr>
        <w:t>2087</w:t>
      </w:r>
      <w:r>
        <w:rPr>
          <w:rFonts w:hint="eastAsia" w:ascii="仿宋" w:eastAsia="仿宋" w:cs="仿宋_GB2312"/>
          <w:sz w:val="32"/>
          <w:szCs w:val="32"/>
        </w:rPr>
        <w:t>亩。农业经济主要以种植、养殖业为主。</w:t>
      </w:r>
    </w:p>
    <w:p>
      <w:pPr>
        <w:spacing w:line="580" w:lineRule="exact"/>
        <w:ind w:firstLine="640" w:firstLineChars="200"/>
        <w:rPr>
          <w:rFonts w:ascii="仿宋" w:eastAsia="仿宋" w:cs="仿宋_GB2312"/>
          <w:sz w:val="32"/>
          <w:szCs w:val="32"/>
        </w:rPr>
      </w:pPr>
      <w:r>
        <w:rPr>
          <w:rFonts w:ascii="仿宋" w:eastAsia="仿宋" w:cs="仿宋_GB2312"/>
          <w:sz w:val="32"/>
          <w:szCs w:val="32"/>
        </w:rPr>
        <w:t>（一）机构组成。</w:t>
      </w:r>
    </w:p>
    <w:p>
      <w:pPr>
        <w:pStyle w:val="5"/>
        <w:adjustRightInd w:val="0"/>
        <w:snapToGrid w:val="0"/>
        <w:spacing w:before="93" w:beforeLines="0" w:line="578" w:lineRule="exact"/>
        <w:ind w:firstLine="668" w:firstLineChars="209"/>
        <w:rPr>
          <w:rFonts w:ascii="仿宋" w:eastAsia="仿宋" w:cs="仿宋_GB2312"/>
          <w:sz w:val="32"/>
          <w:szCs w:val="32"/>
        </w:rPr>
      </w:pPr>
      <w:r>
        <w:rPr>
          <w:rFonts w:hint="eastAsia"/>
          <w:sz w:val="32"/>
          <w:szCs w:val="32"/>
        </w:rPr>
        <w:t>黄庭乡下属二级单位4个，其中行政单位1个，其他事业单位3个。</w:t>
      </w:r>
    </w:p>
    <w:p>
      <w:pPr>
        <w:spacing w:line="580" w:lineRule="exact"/>
        <w:ind w:firstLine="640" w:firstLineChars="200"/>
        <w:rPr>
          <w:rFonts w:ascii="仿宋" w:eastAsia="仿宋" w:cs="仿宋_GB2312"/>
          <w:sz w:val="32"/>
          <w:szCs w:val="32"/>
        </w:rPr>
      </w:pPr>
      <w:r>
        <w:rPr>
          <w:rFonts w:hint="eastAsia" w:ascii="仿宋" w:eastAsia="仿宋" w:cs="仿宋_GB2312"/>
          <w:sz w:val="32"/>
          <w:szCs w:val="32"/>
        </w:rPr>
        <w:t>（二）</w:t>
      </w:r>
      <w:r>
        <w:rPr>
          <w:rFonts w:ascii="仿宋" w:eastAsia="仿宋" w:cs="仿宋_GB2312"/>
          <w:sz w:val="32"/>
          <w:szCs w:val="32"/>
        </w:rPr>
        <w:t>机构职能。</w:t>
      </w:r>
    </w:p>
    <w:p>
      <w:pPr>
        <w:spacing w:line="580" w:lineRule="exact"/>
        <w:ind w:firstLine="640" w:firstLineChars="200"/>
        <w:rPr>
          <w:rFonts w:ascii="仿宋" w:eastAsia="仿宋" w:cs="仿宋_GB2312"/>
          <w:sz w:val="32"/>
          <w:szCs w:val="32"/>
        </w:rPr>
      </w:pPr>
      <w:r>
        <w:rPr>
          <w:rFonts w:hint="eastAsia" w:ascii="仿宋" w:eastAsia="仿宋" w:cs="仿宋_GB2312"/>
          <w:sz w:val="32"/>
          <w:szCs w:val="32"/>
        </w:rPr>
        <w:t>黄庭乡政府主要职责、职能为贯彻落实党和政府各项路线方针政策；为经济发展提供服务；建立和健全农村社会化服务体系，为群众提供各项公共服务；进一步强化社会管理职能，加强辖区内的社会治安综合管理；进一步加强基层组织管理，加强基层领导班子、干部队伍的建设；法律、法规、规章和上级规定的其他事项。推进达川区黄庭乡经济发展、改善人民生活、保持农村社会稳定、偿还乡镇和村级债务、搞好场镇建设和加快新农村基础设施建设工作。</w:t>
      </w:r>
    </w:p>
    <w:p>
      <w:pPr>
        <w:spacing w:line="580" w:lineRule="exact"/>
        <w:ind w:left="420" w:leftChars="200"/>
        <w:rPr>
          <w:rFonts w:ascii="仿宋" w:eastAsia="仿宋" w:cs="仿宋_GB2312"/>
          <w:sz w:val="32"/>
          <w:szCs w:val="32"/>
        </w:rPr>
      </w:pPr>
      <w:r>
        <w:rPr>
          <w:rFonts w:hint="eastAsia" w:ascii="仿宋" w:eastAsia="仿宋" w:cs="仿宋_GB2312"/>
          <w:sz w:val="32"/>
          <w:szCs w:val="32"/>
        </w:rPr>
        <w:t>（三）</w:t>
      </w:r>
      <w:r>
        <w:rPr>
          <w:rFonts w:ascii="仿宋" w:eastAsia="仿宋" w:cs="仿宋_GB2312"/>
          <w:sz w:val="32"/>
          <w:szCs w:val="32"/>
        </w:rPr>
        <w:t>人员概况。</w:t>
      </w:r>
    </w:p>
    <w:p>
      <w:pPr>
        <w:spacing w:line="580" w:lineRule="exact"/>
        <w:ind w:firstLine="640" w:firstLineChars="200"/>
        <w:rPr>
          <w:rFonts w:ascii="仿宋" w:eastAsia="仿宋" w:cs="仿宋_GB2312"/>
          <w:sz w:val="32"/>
          <w:szCs w:val="32"/>
        </w:rPr>
      </w:pPr>
      <w:r>
        <w:rPr>
          <w:rFonts w:hint="eastAsia" w:ascii="仿宋" w:eastAsia="仿宋" w:cs="仿宋_GB2312"/>
          <w:sz w:val="32"/>
          <w:szCs w:val="32"/>
        </w:rPr>
        <w:t>黄庭乡编制人数30人，其中行政编制18人(含工勤1人)，事业编制12人；2018年末实有人数24人，其中公共预算财政拨款人数13人，公共预算财政补助开支人数11人。</w:t>
      </w:r>
    </w:p>
    <w:p>
      <w:pPr>
        <w:spacing w:line="580" w:lineRule="exact"/>
        <w:ind w:firstLine="640" w:firstLineChars="200"/>
        <w:rPr>
          <w:rFonts w:ascii="黑体" w:eastAsia="黑体" w:cs="黑体"/>
          <w:sz w:val="32"/>
          <w:szCs w:val="32"/>
        </w:rPr>
      </w:pPr>
      <w:r>
        <w:rPr>
          <w:rFonts w:ascii="黑体" w:eastAsia="黑体" w:cs="黑体"/>
          <w:sz w:val="32"/>
          <w:szCs w:val="32"/>
        </w:rPr>
        <w:t>二、部门财政资金收支情况</w:t>
      </w:r>
    </w:p>
    <w:p>
      <w:pPr>
        <w:spacing w:line="580" w:lineRule="exact"/>
        <w:ind w:firstLine="640" w:firstLineChars="200"/>
        <w:rPr>
          <w:rFonts w:ascii="仿宋" w:eastAsia="仿宋" w:cs="仿宋_GB2312"/>
          <w:sz w:val="32"/>
          <w:szCs w:val="32"/>
        </w:rPr>
      </w:pPr>
      <w:r>
        <w:rPr>
          <w:rFonts w:ascii="仿宋" w:eastAsia="仿宋" w:cs="仿宋_GB2312"/>
          <w:sz w:val="32"/>
          <w:szCs w:val="32"/>
        </w:rPr>
        <w:t>（一）部门财政资金收入情况。</w:t>
      </w:r>
    </w:p>
    <w:p>
      <w:pPr>
        <w:spacing w:line="580" w:lineRule="exact"/>
        <w:ind w:firstLine="640" w:firstLineChars="200"/>
        <w:rPr>
          <w:rFonts w:ascii="仿宋" w:eastAsia="仿宋" w:cs="仿宋_GB2312"/>
          <w:sz w:val="32"/>
          <w:szCs w:val="32"/>
        </w:rPr>
      </w:pPr>
      <w:r>
        <w:rPr>
          <w:rFonts w:hint="eastAsia" w:ascii="仿宋" w:eastAsia="仿宋" w:cs="仿宋_GB2312"/>
          <w:sz w:val="32"/>
          <w:szCs w:val="32"/>
        </w:rPr>
        <w:t>2018年本年收入合计891.74万元，其中：一般公共预算财政拨款收入870.74万元，占97.65%；政府性基金预算财政拨款收入21万元，占2.35%；国有资本经营预算财政拨款收入0万元，占0%；事业收入0万元，占0%；经营收入0万元，占0%；附属单位上缴收入0万元，占0%；其他收入0万元，占0%。</w:t>
      </w:r>
    </w:p>
    <w:p>
      <w:pPr>
        <w:numPr>
          <w:ilvl w:val="0"/>
          <w:numId w:val="5"/>
        </w:numPr>
        <w:spacing w:line="580" w:lineRule="exact"/>
        <w:ind w:left="0" w:firstLine="640" w:firstLineChars="200"/>
        <w:rPr>
          <w:rFonts w:ascii="仿宋" w:eastAsia="仿宋" w:cs="仿宋_GB2312"/>
          <w:sz w:val="32"/>
          <w:szCs w:val="32"/>
        </w:rPr>
      </w:pPr>
      <w:r>
        <w:rPr>
          <w:rFonts w:ascii="仿宋" w:eastAsia="仿宋" w:cs="仿宋_GB2312"/>
          <w:sz w:val="32"/>
          <w:szCs w:val="32"/>
        </w:rPr>
        <w:t>部门财政资金支出情况。</w:t>
      </w:r>
    </w:p>
    <w:p>
      <w:pPr>
        <w:spacing w:line="600" w:lineRule="exact"/>
        <w:ind w:firstLine="640"/>
        <w:rPr>
          <w:rFonts w:ascii="仿宋" w:eastAsia="仿宋" w:cs="仿宋_GB2312"/>
          <w:sz w:val="32"/>
          <w:szCs w:val="32"/>
        </w:rPr>
      </w:pPr>
      <w:r>
        <w:rPr>
          <w:rFonts w:ascii="仿宋" w:eastAsia="仿宋"/>
          <w:color w:val="000000"/>
          <w:sz w:val="32"/>
          <w:szCs w:val="32"/>
        </w:rPr>
        <w:t>201</w:t>
      </w:r>
      <w:r>
        <w:rPr>
          <w:rFonts w:hint="eastAsia" w:ascii="仿宋" w:eastAsia="仿宋"/>
          <w:color w:val="000000"/>
          <w:sz w:val="32"/>
          <w:szCs w:val="32"/>
        </w:rPr>
        <w:t>8年本年支出合计891.74万元，其中：基本支出677.66万元，占75.99</w:t>
      </w:r>
      <w:r>
        <w:rPr>
          <w:rFonts w:ascii="仿宋" w:eastAsia="仿宋"/>
          <w:color w:val="000000"/>
          <w:sz w:val="32"/>
          <w:szCs w:val="32"/>
        </w:rPr>
        <w:t>%</w:t>
      </w:r>
      <w:r>
        <w:rPr>
          <w:rFonts w:hint="eastAsia" w:ascii="仿宋" w:eastAsia="仿宋"/>
          <w:color w:val="000000"/>
          <w:sz w:val="32"/>
          <w:szCs w:val="32"/>
        </w:rPr>
        <w:t>；项目支出214.08万元，占24.01</w:t>
      </w:r>
      <w:r>
        <w:rPr>
          <w:rFonts w:ascii="仿宋" w:eastAsia="仿宋"/>
          <w:color w:val="000000"/>
          <w:sz w:val="32"/>
          <w:szCs w:val="32"/>
        </w:rPr>
        <w:t>%</w:t>
      </w:r>
      <w:r>
        <w:rPr>
          <w:rFonts w:hint="eastAsia" w:ascii="仿宋" w:eastAsia="仿宋"/>
          <w:color w:val="000000"/>
          <w:sz w:val="32"/>
          <w:szCs w:val="32"/>
        </w:rPr>
        <w:t>；上缴上级支出0万元，占0</w:t>
      </w:r>
      <w:r>
        <w:rPr>
          <w:rFonts w:ascii="仿宋" w:eastAsia="仿宋"/>
          <w:color w:val="000000"/>
          <w:sz w:val="32"/>
          <w:szCs w:val="32"/>
        </w:rPr>
        <w:t>%</w:t>
      </w:r>
      <w:r>
        <w:rPr>
          <w:rFonts w:hint="eastAsia" w:ascii="仿宋" w:eastAsia="仿宋"/>
          <w:color w:val="000000"/>
          <w:sz w:val="32"/>
          <w:szCs w:val="32"/>
        </w:rPr>
        <w:t>；经营支出0万元，占0</w:t>
      </w:r>
      <w:r>
        <w:rPr>
          <w:rFonts w:ascii="仿宋" w:eastAsia="仿宋"/>
          <w:color w:val="000000"/>
          <w:sz w:val="32"/>
          <w:szCs w:val="32"/>
        </w:rPr>
        <w:t>%</w:t>
      </w:r>
      <w:r>
        <w:rPr>
          <w:rFonts w:hint="eastAsia" w:ascii="仿宋" w:eastAsia="仿宋"/>
          <w:color w:val="000000"/>
          <w:sz w:val="32"/>
          <w:szCs w:val="32"/>
        </w:rPr>
        <w:t>；对附属单位补助支出0万元，占0</w:t>
      </w:r>
      <w:r>
        <w:rPr>
          <w:rFonts w:ascii="仿宋" w:eastAsia="仿宋"/>
          <w:color w:val="000000"/>
          <w:sz w:val="32"/>
          <w:szCs w:val="32"/>
        </w:rPr>
        <w:t>%</w:t>
      </w:r>
      <w:r>
        <w:rPr>
          <w:rFonts w:hint="eastAsia" w:ascii="仿宋" w:eastAsia="仿宋"/>
          <w:color w:val="000000"/>
          <w:sz w:val="32"/>
          <w:szCs w:val="32"/>
        </w:rPr>
        <w:t>。</w:t>
      </w:r>
    </w:p>
    <w:p>
      <w:pPr>
        <w:spacing w:line="580" w:lineRule="exact"/>
        <w:ind w:firstLine="640" w:firstLineChars="200"/>
        <w:rPr>
          <w:rFonts w:ascii="黑体" w:eastAsia="黑体" w:cs="黑体"/>
          <w:sz w:val="32"/>
          <w:szCs w:val="32"/>
        </w:rPr>
      </w:pPr>
      <w:r>
        <w:rPr>
          <w:rFonts w:ascii="黑体" w:eastAsia="黑体" w:cs="黑体"/>
          <w:sz w:val="32"/>
          <w:szCs w:val="32"/>
        </w:rPr>
        <w:t>三、部门整体预算绩效管理情况（根据适用指标体系进行调整）</w:t>
      </w:r>
    </w:p>
    <w:p>
      <w:pPr>
        <w:spacing w:line="580" w:lineRule="exact"/>
        <w:ind w:firstLine="640" w:firstLineChars="200"/>
        <w:rPr>
          <w:rFonts w:ascii="仿宋" w:eastAsia="仿宋" w:cs="仿宋_GB2312"/>
          <w:sz w:val="32"/>
          <w:szCs w:val="32"/>
        </w:rPr>
      </w:pPr>
      <w:r>
        <w:rPr>
          <w:rFonts w:ascii="仿宋" w:eastAsia="仿宋" w:cs="仿宋_GB2312"/>
          <w:sz w:val="32"/>
          <w:szCs w:val="32"/>
        </w:rPr>
        <w:t>（一）部门预算管理。</w:t>
      </w:r>
    </w:p>
    <w:p>
      <w:pPr>
        <w:spacing w:line="580" w:lineRule="exact"/>
        <w:ind w:firstLine="640" w:firstLineChars="200"/>
        <w:rPr>
          <w:rFonts w:ascii="仿宋" w:eastAsia="仿宋" w:cs="仿宋_GB2312"/>
          <w:sz w:val="32"/>
          <w:szCs w:val="32"/>
        </w:rPr>
      </w:pPr>
      <w:r>
        <w:rPr>
          <w:rFonts w:ascii="仿宋" w:eastAsia="仿宋" w:cs="仿宋_GB2312"/>
          <w:sz w:val="32"/>
          <w:szCs w:val="32"/>
        </w:rPr>
        <w:t>包括部门绩效目标制定、目标完成、预算编制准确、支出控制、预算动态调整、执行进度、预算完成情况和违规记录等情况。</w:t>
      </w:r>
    </w:p>
    <w:p>
      <w:pPr>
        <w:spacing w:line="580" w:lineRule="exact"/>
        <w:ind w:firstLine="640" w:firstLineChars="200"/>
        <w:rPr>
          <w:rFonts w:ascii="仿宋" w:eastAsia="仿宋" w:cs="仿宋_GB2312"/>
          <w:sz w:val="32"/>
          <w:szCs w:val="32"/>
        </w:rPr>
      </w:pPr>
      <w:r>
        <w:rPr>
          <w:rFonts w:ascii="仿宋" w:eastAsia="仿宋" w:cs="仿宋_GB2312"/>
          <w:sz w:val="32"/>
          <w:szCs w:val="32"/>
        </w:rPr>
        <w:t>（二）专项预算管理。</w:t>
      </w:r>
    </w:p>
    <w:p>
      <w:pPr>
        <w:spacing w:line="580" w:lineRule="exact"/>
        <w:ind w:firstLine="640" w:firstLineChars="200"/>
        <w:rPr>
          <w:rFonts w:ascii="仿宋" w:eastAsia="仿宋" w:cs="仿宋_GB2312"/>
          <w:sz w:val="32"/>
          <w:szCs w:val="32"/>
        </w:rPr>
      </w:pPr>
      <w:r>
        <w:rPr>
          <w:rFonts w:ascii="仿宋" w:eastAsia="仿宋" w:cs="仿宋_GB2312"/>
          <w:sz w:val="32"/>
          <w:szCs w:val="32"/>
        </w:rPr>
        <w:t>包括专项预算项目程序严密、规划合理、结果符合、分配科学、分配及时、专项预算绩效目标完成、实施绩效、违规记录等情况。</w:t>
      </w:r>
    </w:p>
    <w:p>
      <w:pPr>
        <w:spacing w:line="580" w:lineRule="exact"/>
        <w:ind w:firstLine="640" w:firstLineChars="200"/>
        <w:rPr>
          <w:rFonts w:ascii="仿宋" w:eastAsia="仿宋" w:cs="仿宋_GB2312"/>
          <w:sz w:val="32"/>
          <w:szCs w:val="32"/>
        </w:rPr>
      </w:pPr>
      <w:r>
        <w:rPr>
          <w:rFonts w:ascii="仿宋" w:eastAsia="仿宋" w:cs="仿宋_GB2312"/>
          <w:sz w:val="32"/>
          <w:szCs w:val="32"/>
        </w:rPr>
        <w:t>（三）结果应用情况。</w:t>
      </w:r>
    </w:p>
    <w:p>
      <w:pPr>
        <w:spacing w:line="580" w:lineRule="exact"/>
        <w:ind w:firstLine="640" w:firstLineChars="200"/>
        <w:rPr>
          <w:rFonts w:ascii="仿宋" w:eastAsia="仿宋" w:cs="仿宋_GB2312"/>
          <w:sz w:val="32"/>
          <w:szCs w:val="32"/>
        </w:rPr>
      </w:pPr>
      <w:r>
        <w:rPr>
          <w:rFonts w:ascii="仿宋" w:eastAsia="仿宋" w:cs="仿宋_GB2312"/>
          <w:sz w:val="32"/>
          <w:szCs w:val="32"/>
        </w:rPr>
        <w:t>包括部门自评质量、绩效目标公开和自评公开、评价结果整改和应用结果反馈等情况。</w:t>
      </w:r>
    </w:p>
    <w:p>
      <w:pPr>
        <w:spacing w:line="580" w:lineRule="exact"/>
        <w:ind w:firstLine="640" w:firstLineChars="200"/>
        <w:rPr>
          <w:rFonts w:ascii="黑体" w:eastAsia="黑体" w:cs="黑体"/>
          <w:sz w:val="32"/>
          <w:szCs w:val="32"/>
        </w:rPr>
      </w:pPr>
      <w:r>
        <w:rPr>
          <w:rFonts w:ascii="黑体" w:eastAsia="黑体" w:cs="黑体"/>
          <w:sz w:val="32"/>
          <w:szCs w:val="32"/>
        </w:rPr>
        <w:t>四、评价结论及建议</w:t>
      </w:r>
    </w:p>
    <w:p>
      <w:pPr>
        <w:spacing w:line="580" w:lineRule="exact"/>
        <w:ind w:firstLine="640" w:firstLineChars="200"/>
        <w:rPr>
          <w:rFonts w:ascii="仿宋" w:eastAsia="仿宋" w:cs="仿宋_GB2312"/>
          <w:sz w:val="32"/>
          <w:szCs w:val="32"/>
        </w:rPr>
      </w:pPr>
      <w:r>
        <w:rPr>
          <w:rFonts w:ascii="仿宋" w:eastAsia="仿宋" w:cs="仿宋_GB2312"/>
          <w:sz w:val="32"/>
          <w:szCs w:val="32"/>
        </w:rPr>
        <w:t>（一）评价结论。</w:t>
      </w:r>
    </w:p>
    <w:p>
      <w:pPr>
        <w:spacing w:line="580" w:lineRule="exact"/>
        <w:ind w:firstLine="640" w:firstLineChars="200"/>
        <w:rPr>
          <w:rFonts w:ascii="仿宋" w:eastAsia="仿宋" w:cs="仿宋_GB2312"/>
          <w:sz w:val="32"/>
          <w:szCs w:val="32"/>
        </w:rPr>
      </w:pPr>
      <w:r>
        <w:rPr>
          <w:rFonts w:hint="eastAsia" w:ascii="仿宋" w:eastAsia="仿宋" w:cs="仿宋"/>
          <w:sz w:val="32"/>
          <w:szCs w:val="32"/>
        </w:rPr>
        <w:t>总体看，我单位预算编制及执行决算较为准确，支出管理较为规范，财务管理制度较完善，部门整体绩效较好。部门支出绩效自评得分为95分。</w:t>
      </w:r>
    </w:p>
    <w:p>
      <w:pPr>
        <w:numPr>
          <w:ilvl w:val="0"/>
          <w:numId w:val="6"/>
        </w:numPr>
        <w:spacing w:line="580" w:lineRule="exact"/>
        <w:ind w:left="0" w:firstLine="640" w:firstLineChars="200"/>
        <w:rPr>
          <w:rFonts w:ascii="仿宋" w:eastAsia="仿宋" w:cs="仿宋_GB2312"/>
          <w:sz w:val="32"/>
          <w:szCs w:val="32"/>
        </w:rPr>
      </w:pPr>
      <w:r>
        <w:rPr>
          <w:rFonts w:ascii="仿宋" w:eastAsia="仿宋" w:cs="仿宋_GB2312"/>
          <w:sz w:val="32"/>
          <w:szCs w:val="32"/>
        </w:rPr>
        <w:t>存在问题。</w:t>
      </w:r>
    </w:p>
    <w:p>
      <w:pPr>
        <w:spacing w:line="578" w:lineRule="exact"/>
        <w:ind w:firstLine="640" w:firstLineChars="200"/>
        <w:rPr>
          <w:rFonts w:ascii="仿宋" w:eastAsia="仿宋" w:cs="仿宋"/>
          <w:sz w:val="32"/>
          <w:szCs w:val="32"/>
        </w:rPr>
      </w:pPr>
      <w:r>
        <w:rPr>
          <w:rFonts w:hint="eastAsia" w:ascii="仿宋" w:eastAsia="仿宋" w:cs="仿宋"/>
          <w:sz w:val="32"/>
          <w:szCs w:val="32"/>
        </w:rPr>
        <w:t>1、政府采购方面。政府采购方面存在等的思想，不能及时与上级沟通。</w:t>
      </w:r>
    </w:p>
    <w:p>
      <w:pPr>
        <w:spacing w:line="578" w:lineRule="exact"/>
        <w:ind w:firstLine="640" w:firstLineChars="200"/>
        <w:rPr>
          <w:rFonts w:ascii="仿宋" w:eastAsia="仿宋" w:cs="仿宋"/>
          <w:sz w:val="32"/>
          <w:szCs w:val="32"/>
        </w:rPr>
      </w:pPr>
      <w:r>
        <w:rPr>
          <w:rFonts w:hint="eastAsia" w:ascii="仿宋" w:eastAsia="仿宋" w:cs="仿宋"/>
          <w:sz w:val="32"/>
          <w:szCs w:val="32"/>
        </w:rPr>
        <w:t>2、资产管理方面。在平时工作中对资产管理的知识学习不够，经验不足。</w:t>
      </w:r>
    </w:p>
    <w:p>
      <w:pPr>
        <w:spacing w:line="578" w:lineRule="exact"/>
        <w:ind w:firstLine="640" w:firstLineChars="200"/>
        <w:rPr>
          <w:rFonts w:ascii="仿宋" w:eastAsia="仿宋" w:cs="仿宋"/>
          <w:sz w:val="32"/>
          <w:szCs w:val="32"/>
        </w:rPr>
      </w:pPr>
      <w:r>
        <w:rPr>
          <w:rFonts w:hint="eastAsia" w:ascii="仿宋" w:eastAsia="仿宋" w:cs="仿宋"/>
          <w:sz w:val="32"/>
          <w:szCs w:val="32"/>
        </w:rPr>
        <w:t>3、财务管理及会计核算方面。在工学矛盾处理不够好，就导致做账不够及时。</w:t>
      </w:r>
    </w:p>
    <w:p>
      <w:pPr>
        <w:spacing w:line="578" w:lineRule="exact"/>
        <w:ind w:firstLine="640" w:firstLineChars="200"/>
        <w:rPr>
          <w:rFonts w:ascii="仿宋" w:eastAsia="仿宋" w:cs="仿宋"/>
          <w:sz w:val="32"/>
          <w:szCs w:val="32"/>
        </w:rPr>
      </w:pPr>
      <w:r>
        <w:rPr>
          <w:rFonts w:hint="eastAsia" w:ascii="仿宋" w:eastAsia="仿宋" w:cs="仿宋"/>
          <w:sz w:val="32"/>
          <w:szCs w:val="32"/>
        </w:rPr>
        <w:t>4、人员管理方面。在平时工作中对人员管理还不是很严格，存在时紧时松的现象。</w:t>
      </w:r>
    </w:p>
    <w:p>
      <w:pPr>
        <w:spacing w:line="580" w:lineRule="exact"/>
        <w:ind w:firstLine="640" w:firstLineChars="200"/>
        <w:rPr>
          <w:rFonts w:ascii="仿宋" w:eastAsia="仿宋" w:cs="仿宋_GB2312"/>
          <w:sz w:val="32"/>
          <w:szCs w:val="32"/>
        </w:rPr>
      </w:pPr>
      <w:r>
        <w:rPr>
          <w:rFonts w:ascii="仿宋" w:eastAsia="仿宋" w:cs="仿宋_GB2312"/>
          <w:sz w:val="32"/>
          <w:szCs w:val="32"/>
        </w:rPr>
        <w:t>（三）改进建议。</w:t>
      </w:r>
    </w:p>
    <w:p>
      <w:pPr>
        <w:spacing w:line="578" w:lineRule="exact"/>
        <w:ind w:firstLine="640" w:firstLineChars="200"/>
        <w:rPr>
          <w:rFonts w:ascii="仿宋" w:eastAsia="仿宋" w:cs="仿宋"/>
          <w:sz w:val="32"/>
          <w:szCs w:val="32"/>
        </w:rPr>
      </w:pPr>
      <w:r>
        <w:rPr>
          <w:rFonts w:hint="eastAsia" w:ascii="仿宋" w:eastAsia="仿宋" w:cs="仿宋"/>
          <w:sz w:val="32"/>
          <w:szCs w:val="32"/>
        </w:rPr>
        <w:t>1、提高预算编制质量。严格按照年初的预算编制，落实好资金的分配，及时报送相关资料。</w:t>
      </w:r>
    </w:p>
    <w:p>
      <w:pPr>
        <w:spacing w:line="578" w:lineRule="exact"/>
        <w:ind w:firstLine="640" w:firstLineChars="200"/>
        <w:rPr>
          <w:rFonts w:ascii="仿宋" w:eastAsia="仿宋" w:cs="仿宋"/>
          <w:sz w:val="32"/>
          <w:szCs w:val="32"/>
        </w:rPr>
      </w:pPr>
      <w:r>
        <w:rPr>
          <w:rFonts w:hint="eastAsia" w:ascii="仿宋" w:eastAsia="仿宋" w:cs="仿宋"/>
          <w:sz w:val="32"/>
          <w:szCs w:val="32"/>
        </w:rPr>
        <w:t>2、严格执行政府采购。严格按照行政采购计划，采购程序进行采购。</w:t>
      </w:r>
    </w:p>
    <w:p>
      <w:pPr>
        <w:spacing w:line="578" w:lineRule="exact"/>
        <w:ind w:firstLine="640" w:firstLineChars="200"/>
        <w:rPr>
          <w:rFonts w:ascii="仿宋" w:eastAsia="仿宋" w:cs="仿宋"/>
          <w:sz w:val="32"/>
          <w:szCs w:val="32"/>
        </w:rPr>
      </w:pPr>
      <w:r>
        <w:rPr>
          <w:rFonts w:hint="eastAsia" w:ascii="仿宋" w:eastAsia="仿宋" w:cs="仿宋"/>
          <w:sz w:val="32"/>
          <w:szCs w:val="32"/>
        </w:rPr>
        <w:t>3、加强资产管理。加强资产管理的知识学习，严格遵守资产管理制度进行管理，并制定专人负责管理。</w:t>
      </w:r>
    </w:p>
    <w:p>
      <w:pPr>
        <w:spacing w:line="578" w:lineRule="exact"/>
        <w:ind w:firstLine="640" w:firstLineChars="200"/>
        <w:rPr>
          <w:rFonts w:ascii="仿宋" w:eastAsia="仿宋" w:cs="仿宋"/>
          <w:sz w:val="32"/>
          <w:szCs w:val="32"/>
        </w:rPr>
      </w:pPr>
      <w:r>
        <w:rPr>
          <w:rFonts w:hint="eastAsia" w:ascii="仿宋" w:eastAsia="仿宋" w:cs="仿宋"/>
          <w:sz w:val="32"/>
          <w:szCs w:val="32"/>
        </w:rPr>
        <w:t>4、强化资金财务管理。一是按月编制“银行存款余额调节表”，使单位账面余额与银行对账单余额调节相符。二是严把资金支付审核关，严格检查入账发票的准确性，核实原始凭证的完整性。</w:t>
      </w:r>
    </w:p>
    <w:p>
      <w:pPr>
        <w:spacing w:line="578" w:lineRule="exact"/>
        <w:ind w:firstLine="640" w:firstLineChars="200"/>
        <w:rPr>
          <w:rFonts w:ascii="仿宋" w:eastAsia="仿宋" w:cs="仿宋"/>
          <w:sz w:val="32"/>
          <w:szCs w:val="32"/>
        </w:rPr>
      </w:pPr>
      <w:r>
        <w:rPr>
          <w:rFonts w:hint="eastAsia" w:ascii="仿宋" w:eastAsia="仿宋" w:cs="仿宋"/>
          <w:sz w:val="32"/>
          <w:szCs w:val="32"/>
        </w:rPr>
        <w:t>5、人员管理。严格加强人员管理，坚持上下班制度，不迟到早退，遵守人员管理制度。</w:t>
      </w:r>
    </w:p>
    <w:p>
      <w:pPr>
        <w:spacing w:line="580" w:lineRule="exact"/>
        <w:rPr>
          <w:rFonts w:ascii="仿宋_GB2312" w:eastAsia="仿宋_GB2312" w:cs="仿宋_GB2312"/>
          <w:sz w:val="32"/>
          <w:szCs w:val="32"/>
        </w:rPr>
      </w:pPr>
    </w:p>
    <w:p>
      <w:pPr>
        <w:widowControl/>
        <w:jc w:val="left"/>
        <w:rPr>
          <w:rFonts w:ascii="仿宋_GB2312" w:eastAsia="仿宋_GB2312" w:cs="仿宋_GB2312"/>
          <w:sz w:val="32"/>
          <w:szCs w:val="32"/>
        </w:rPr>
      </w:pPr>
      <w:r>
        <w:rPr>
          <w:rFonts w:ascii="仿宋_GB2312" w:eastAsia="仿宋_GB2312" w:cs="仿宋_GB2312"/>
          <w:sz w:val="32"/>
          <w:szCs w:val="32"/>
        </w:rPr>
        <w:br w:type="page"/>
      </w:r>
    </w:p>
    <w:p>
      <w:pPr>
        <w:pStyle w:val="3"/>
        <w:rPr>
          <w:rStyle w:val="16"/>
          <w:rFonts w:ascii="仿宋" w:eastAsia="仿宋"/>
          <w:b w:val="0"/>
          <w:bCs w:val="0"/>
          <w:sz w:val="32"/>
          <w:szCs w:val="32"/>
        </w:rPr>
      </w:pPr>
      <w:bookmarkStart w:id="61" w:name="_Toc15396617"/>
      <w:r>
        <w:rPr>
          <w:rStyle w:val="16"/>
          <w:rFonts w:hint="eastAsia" w:ascii="仿宋" w:eastAsia="仿宋"/>
          <w:b w:val="0"/>
          <w:bCs w:val="0"/>
          <w:sz w:val="32"/>
          <w:szCs w:val="32"/>
        </w:rPr>
        <w:t>附件2</w:t>
      </w:r>
      <w:bookmarkEnd w:id="61"/>
    </w:p>
    <w:p>
      <w:pPr>
        <w:spacing w:line="580" w:lineRule="exact"/>
        <w:jc w:val="center"/>
        <w:rPr>
          <w:rFonts w:ascii="黑体" w:eastAsia="黑体" w:cs="方正小标宋简体"/>
          <w:sz w:val="44"/>
          <w:szCs w:val="44"/>
        </w:rPr>
      </w:pPr>
      <w:r>
        <w:rPr>
          <w:rFonts w:hint="eastAsia" w:ascii="黑体" w:eastAsia="黑体" w:cs="方正小标宋简体"/>
          <w:sz w:val="44"/>
          <w:szCs w:val="44"/>
        </w:rPr>
        <w:t>2018年达州市达川区黄庭乡项目支出绩效评价报告</w:t>
      </w:r>
    </w:p>
    <w:p>
      <w:pPr>
        <w:spacing w:line="580" w:lineRule="exact"/>
        <w:ind w:firstLine="640" w:firstLineChars="200"/>
        <w:rPr>
          <w:rFonts w:ascii="仿宋_GB2312" w:eastAsia="仿宋_GB2312" w:cs="仿宋_GB2312"/>
          <w:sz w:val="32"/>
          <w:szCs w:val="32"/>
        </w:rPr>
      </w:pPr>
    </w:p>
    <w:p>
      <w:pPr>
        <w:spacing w:line="580" w:lineRule="exact"/>
        <w:ind w:firstLine="640" w:firstLineChars="200"/>
        <w:rPr>
          <w:rFonts w:ascii="仿宋" w:eastAsia="仿宋" w:cs="仿宋_GB2312"/>
          <w:sz w:val="32"/>
          <w:szCs w:val="32"/>
        </w:rPr>
      </w:pPr>
      <w:r>
        <w:rPr>
          <w:rFonts w:hint="eastAsia" w:ascii="仿宋" w:eastAsia="仿宋" w:cs="仿宋_GB2312"/>
          <w:sz w:val="32"/>
          <w:szCs w:val="32"/>
        </w:rPr>
        <w:t>一</w:t>
      </w:r>
      <w:r>
        <w:rPr>
          <w:rFonts w:ascii="仿宋" w:eastAsia="仿宋" w:cs="仿宋_GB2312"/>
          <w:sz w:val="32"/>
          <w:szCs w:val="32"/>
        </w:rPr>
        <w:t>、评价工作开展及项目情况</w:t>
      </w:r>
    </w:p>
    <w:p>
      <w:pPr>
        <w:spacing w:line="580" w:lineRule="exact"/>
        <w:ind w:firstLine="640" w:firstLineChars="200"/>
        <w:rPr>
          <w:rFonts w:ascii="仿宋" w:eastAsia="仿宋" w:cs="仿宋_GB2312"/>
          <w:sz w:val="32"/>
          <w:szCs w:val="32"/>
        </w:rPr>
      </w:pPr>
      <w:r>
        <w:rPr>
          <w:rFonts w:hint="eastAsia" w:ascii="仿宋" w:eastAsia="仿宋" w:cs="仿宋_GB2312"/>
          <w:sz w:val="32"/>
          <w:szCs w:val="32"/>
        </w:rPr>
        <w:t>达川区黄庭乡2018年项目资金214.08万元，其中：保运行资金81万元，用于政府日常工作正常运转；促发展资金10万元，化债资金1万元，用于解决历年欠款；解困资金1万元，解决黄庭乡的一些困难户的救济；信访维稳资金4万元，用于全乡安全、信访、维稳。</w:t>
      </w:r>
    </w:p>
    <w:p>
      <w:pPr>
        <w:spacing w:line="580" w:lineRule="exact"/>
        <w:ind w:firstLine="640" w:firstLineChars="200"/>
        <w:rPr>
          <w:rFonts w:ascii="仿宋" w:eastAsia="仿宋" w:cs="仿宋_GB2312"/>
          <w:sz w:val="32"/>
          <w:szCs w:val="32"/>
        </w:rPr>
      </w:pPr>
      <w:r>
        <w:rPr>
          <w:rFonts w:hint="eastAsia" w:ascii="仿宋" w:eastAsia="仿宋" w:cs="仿宋_GB2312"/>
          <w:sz w:val="32"/>
          <w:szCs w:val="32"/>
        </w:rPr>
        <w:t>二</w:t>
      </w:r>
      <w:r>
        <w:rPr>
          <w:rFonts w:ascii="仿宋" w:eastAsia="仿宋" w:cs="仿宋_GB2312"/>
          <w:sz w:val="32"/>
          <w:szCs w:val="32"/>
        </w:rPr>
        <w:t>、评价结论及绩效分析</w:t>
      </w:r>
    </w:p>
    <w:p>
      <w:pPr>
        <w:spacing w:line="580" w:lineRule="exact"/>
        <w:ind w:firstLine="640" w:firstLineChars="200"/>
        <w:rPr>
          <w:rFonts w:ascii="仿宋" w:eastAsia="仿宋" w:cs="仿宋_GB2312"/>
          <w:sz w:val="32"/>
          <w:szCs w:val="32"/>
        </w:rPr>
      </w:pPr>
      <w:bookmarkStart w:id="62" w:name="_Toc15396618"/>
      <w:r>
        <w:rPr>
          <w:rFonts w:ascii="仿宋" w:eastAsia="仿宋" w:cs="仿宋_GB2312"/>
          <w:sz w:val="32"/>
          <w:szCs w:val="32"/>
        </w:rPr>
        <w:t>（一）评价结论</w:t>
      </w:r>
    </w:p>
    <w:p>
      <w:pPr>
        <w:spacing w:line="580" w:lineRule="exact"/>
        <w:ind w:firstLine="640" w:firstLineChars="200"/>
        <w:rPr>
          <w:rFonts w:ascii="仿宋" w:eastAsia="仿宋" w:cs="仿宋_GB2312"/>
          <w:sz w:val="32"/>
          <w:szCs w:val="32"/>
        </w:rPr>
      </w:pPr>
      <w:r>
        <w:rPr>
          <w:rFonts w:hint="eastAsia" w:ascii="仿宋" w:eastAsia="仿宋" w:cs="仿宋"/>
          <w:sz w:val="32"/>
          <w:szCs w:val="32"/>
        </w:rPr>
        <w:t>确保政府日常工作正常运转；进一步解决历年欠款债务，确保社会和谐，维护社会稳定；农村基础设施环境建设得到加强，改善农村生产生活条件，提高村民幸福生活指数，促进农村社会事业的发展和乡风文明水平的提高。</w:t>
      </w:r>
    </w:p>
    <w:p>
      <w:pPr>
        <w:spacing w:line="580" w:lineRule="exact"/>
        <w:ind w:firstLine="640" w:firstLineChars="200"/>
        <w:rPr>
          <w:rFonts w:ascii="仿宋" w:eastAsia="仿宋" w:cs="仿宋_GB2312"/>
          <w:sz w:val="32"/>
          <w:szCs w:val="32"/>
        </w:rPr>
      </w:pPr>
      <w:r>
        <w:rPr>
          <w:rFonts w:ascii="仿宋" w:eastAsia="仿宋" w:cs="仿宋_GB2312"/>
          <w:sz w:val="32"/>
          <w:szCs w:val="32"/>
        </w:rPr>
        <w:t>（二）绩效分析</w:t>
      </w:r>
    </w:p>
    <w:p>
      <w:pPr>
        <w:spacing w:line="580" w:lineRule="exact"/>
        <w:ind w:firstLine="640" w:firstLineChars="200"/>
        <w:rPr>
          <w:rFonts w:ascii="仿宋" w:eastAsia="仿宋" w:cs="仿宋_GB2312"/>
          <w:sz w:val="32"/>
          <w:szCs w:val="32"/>
        </w:rPr>
      </w:pPr>
      <w:r>
        <w:rPr>
          <w:rFonts w:ascii="仿宋" w:eastAsia="仿宋" w:cs="仿宋_GB2312"/>
          <w:sz w:val="32"/>
          <w:szCs w:val="32"/>
        </w:rPr>
        <w:t>1、项目决策</w:t>
      </w:r>
    </w:p>
    <w:p>
      <w:pPr>
        <w:spacing w:line="580" w:lineRule="exact"/>
        <w:ind w:firstLine="640" w:firstLineChars="200"/>
        <w:rPr>
          <w:rFonts w:ascii="仿宋" w:eastAsia="仿宋" w:cs="仿宋_GB2312"/>
          <w:sz w:val="32"/>
          <w:szCs w:val="32"/>
        </w:rPr>
      </w:pPr>
      <w:r>
        <w:rPr>
          <w:rFonts w:hint="eastAsia" w:ascii="仿宋" w:eastAsia="仿宋" w:cs="仿宋"/>
          <w:sz w:val="32"/>
          <w:szCs w:val="32"/>
        </w:rPr>
        <w:t>2018年</w:t>
      </w:r>
      <w:r>
        <w:rPr>
          <w:rFonts w:hint="eastAsia" w:ascii="仿宋" w:eastAsia="仿宋" w:cs="仿宋"/>
          <w:sz w:val="32"/>
          <w:szCs w:val="32"/>
          <w:lang w:val="zh-CN"/>
        </w:rPr>
        <w:t>项目申报严格按照上级要求明确绩效目标，控制成本，提高项目发挥作用，严格按照项目的程序进行申报，严格按照批复项目的内容，符合资金管理办法等相关规定</w:t>
      </w:r>
      <w:r>
        <w:rPr>
          <w:rFonts w:hint="eastAsia" w:ascii="仿宋" w:eastAsia="仿宋" w:cs="仿宋"/>
          <w:sz w:val="32"/>
          <w:szCs w:val="32"/>
        </w:rPr>
        <w:t>使用</w:t>
      </w:r>
      <w:r>
        <w:rPr>
          <w:rFonts w:hint="eastAsia" w:ascii="仿宋" w:eastAsia="仿宋" w:cs="仿宋"/>
          <w:sz w:val="32"/>
          <w:szCs w:val="32"/>
          <w:lang w:val="zh-CN"/>
        </w:rPr>
        <w:t>。</w:t>
      </w:r>
    </w:p>
    <w:p>
      <w:pPr>
        <w:spacing w:line="580" w:lineRule="exact"/>
        <w:ind w:firstLine="640" w:firstLineChars="200"/>
        <w:rPr>
          <w:rFonts w:ascii="仿宋" w:eastAsia="仿宋" w:cs="仿宋_GB2312"/>
          <w:sz w:val="32"/>
          <w:szCs w:val="32"/>
        </w:rPr>
      </w:pPr>
      <w:r>
        <w:rPr>
          <w:rFonts w:ascii="仿宋" w:eastAsia="仿宋" w:cs="仿宋_GB2312"/>
          <w:sz w:val="32"/>
          <w:szCs w:val="32"/>
        </w:rPr>
        <w:t>2、项目管理</w:t>
      </w:r>
    </w:p>
    <w:p>
      <w:pPr>
        <w:spacing w:line="578" w:lineRule="exact"/>
        <w:ind w:firstLine="640" w:firstLineChars="200"/>
        <w:rPr>
          <w:rFonts w:ascii="仿宋" w:eastAsia="仿宋" w:cs="仿宋_GB2312"/>
          <w:sz w:val="32"/>
          <w:szCs w:val="32"/>
        </w:rPr>
      </w:pPr>
      <w:r>
        <w:rPr>
          <w:rFonts w:hint="eastAsia" w:ascii="仿宋" w:eastAsia="仿宋" w:cs="仿宋"/>
          <w:sz w:val="32"/>
          <w:szCs w:val="32"/>
          <w:lang w:val="zh-CN"/>
        </w:rPr>
        <w:t>项目资金申报相符性项目申报内容与具体实施内容相符，且申报目标合理可行。资金分配科学合理，资金使用严格按照财务管理制度，严格财经制度管理办法约束。</w:t>
      </w:r>
    </w:p>
    <w:p>
      <w:pPr>
        <w:spacing w:line="580" w:lineRule="exact"/>
        <w:ind w:firstLine="640" w:firstLineChars="200"/>
        <w:rPr>
          <w:rFonts w:ascii="仿宋" w:eastAsia="仿宋" w:cs="仿宋_GB2312"/>
          <w:sz w:val="32"/>
          <w:szCs w:val="32"/>
        </w:rPr>
      </w:pPr>
      <w:r>
        <w:rPr>
          <w:rFonts w:ascii="仿宋" w:eastAsia="仿宋" w:cs="仿宋_GB2312"/>
          <w:sz w:val="32"/>
          <w:szCs w:val="32"/>
        </w:rPr>
        <w:t>3、项目绩效</w:t>
      </w:r>
    </w:p>
    <w:p>
      <w:pPr>
        <w:spacing w:line="578" w:lineRule="exact"/>
        <w:ind w:firstLine="640" w:firstLineChars="200"/>
        <w:rPr>
          <w:rFonts w:ascii="仿宋" w:eastAsia="仿宋" w:cs="仿宋"/>
          <w:sz w:val="32"/>
          <w:szCs w:val="32"/>
          <w:lang w:val="zh-CN"/>
        </w:rPr>
      </w:pPr>
      <w:r>
        <w:rPr>
          <w:rFonts w:hint="eastAsia" w:ascii="仿宋" w:eastAsia="仿宋" w:cs="仿宋"/>
          <w:sz w:val="32"/>
          <w:szCs w:val="32"/>
          <w:lang w:val="zh-CN"/>
        </w:rPr>
        <w:t>通过黄庭乡全体工作人员的努力下，各项工作圆满完成，</w:t>
      </w:r>
      <w:r>
        <w:rPr>
          <w:rFonts w:hint="eastAsia" w:ascii="仿宋" w:eastAsia="仿宋" w:cs="仿宋"/>
          <w:sz w:val="32"/>
          <w:szCs w:val="32"/>
        </w:rPr>
        <w:t>化解了以前的一些</w:t>
      </w:r>
      <w:r>
        <w:rPr>
          <w:rFonts w:hint="eastAsia" w:ascii="仿宋" w:eastAsia="仿宋" w:cs="仿宋"/>
          <w:sz w:val="32"/>
          <w:szCs w:val="32"/>
          <w:lang w:val="zh-CN"/>
        </w:rPr>
        <w:t>债务，促进黄庭乡脱贫攻坚中的产业发展，解决了黄庭乡的一些困难户的救济，解决了上访人员的一些实际困难，</w:t>
      </w:r>
      <w:r>
        <w:rPr>
          <w:rFonts w:hint="eastAsia" w:ascii="仿宋" w:eastAsia="仿宋" w:cs="仿宋"/>
          <w:sz w:val="32"/>
          <w:szCs w:val="32"/>
        </w:rPr>
        <w:t>确保了政府日常工作正常运转、社会和谐，维护了社会稳定。</w:t>
      </w:r>
      <w:r>
        <w:rPr>
          <w:rFonts w:hint="eastAsia" w:ascii="仿宋" w:eastAsia="仿宋" w:cs="仿宋"/>
          <w:sz w:val="32"/>
          <w:szCs w:val="32"/>
          <w:lang w:val="zh-CN"/>
        </w:rPr>
        <w:t>充分调动了民主参与，民主管理，民主管理的积极性。</w:t>
      </w:r>
    </w:p>
    <w:p>
      <w:pPr>
        <w:numPr>
          <w:ilvl w:val="0"/>
          <w:numId w:val="7"/>
        </w:numPr>
        <w:spacing w:line="580" w:lineRule="exact"/>
        <w:ind w:left="0" w:firstLine="640" w:firstLineChars="200"/>
        <w:rPr>
          <w:rFonts w:ascii="仿宋" w:eastAsia="仿宋" w:cs="仿宋_GB2312"/>
          <w:sz w:val="32"/>
          <w:szCs w:val="32"/>
        </w:rPr>
      </w:pPr>
      <w:r>
        <w:rPr>
          <w:rFonts w:ascii="仿宋" w:eastAsia="仿宋" w:cs="仿宋_GB2312"/>
          <w:sz w:val="32"/>
          <w:szCs w:val="32"/>
        </w:rPr>
        <w:t>存在主要问题</w:t>
      </w:r>
    </w:p>
    <w:p>
      <w:pPr>
        <w:spacing w:line="578" w:lineRule="exact"/>
        <w:ind w:firstLine="640" w:firstLineChars="200"/>
        <w:rPr>
          <w:rFonts w:ascii="仿宋" w:eastAsia="仿宋" w:cs="仿宋"/>
          <w:sz w:val="32"/>
          <w:szCs w:val="32"/>
          <w:lang w:val="zh-CN"/>
        </w:rPr>
      </w:pPr>
      <w:r>
        <w:rPr>
          <w:rFonts w:hint="eastAsia" w:ascii="仿宋" w:eastAsia="仿宋" w:cs="仿宋"/>
          <w:sz w:val="32"/>
          <w:szCs w:val="32"/>
        </w:rPr>
        <w:t>1、</w:t>
      </w:r>
      <w:r>
        <w:rPr>
          <w:rFonts w:hint="eastAsia" w:ascii="仿宋" w:eastAsia="仿宋" w:cs="仿宋"/>
          <w:sz w:val="32"/>
          <w:szCs w:val="32"/>
          <w:lang w:val="zh-CN"/>
        </w:rPr>
        <w:t>财政项目自评报告对于本单位来说是刚开展的一项工作，缺乏经验，资金管理制度没有完整的建立起来。</w:t>
      </w:r>
    </w:p>
    <w:p>
      <w:pPr>
        <w:spacing w:line="578" w:lineRule="exact"/>
        <w:ind w:firstLine="640" w:firstLineChars="200"/>
        <w:rPr>
          <w:rFonts w:ascii="仿宋" w:eastAsia="仿宋" w:cs="仿宋"/>
          <w:sz w:val="32"/>
          <w:szCs w:val="32"/>
          <w:lang w:val="zh-CN"/>
        </w:rPr>
      </w:pPr>
      <w:r>
        <w:rPr>
          <w:rFonts w:hint="eastAsia" w:ascii="仿宋" w:eastAsia="仿宋" w:cs="仿宋"/>
          <w:sz w:val="32"/>
          <w:szCs w:val="32"/>
        </w:rPr>
        <w:t>2、</w:t>
      </w:r>
      <w:r>
        <w:rPr>
          <w:rFonts w:hint="eastAsia" w:ascii="仿宋" w:eastAsia="仿宋" w:cs="仿宋"/>
          <w:sz w:val="32"/>
          <w:szCs w:val="32"/>
          <w:lang w:val="zh-CN"/>
        </w:rPr>
        <w:t>历年存在欠款的现象，主要是历年的一些债务较多，乡党委政府无力偿还，也没其他的收入，只有等财政拨款收入才能去偿还，有一些等靠思想，积极主动性还不够。</w:t>
      </w:r>
    </w:p>
    <w:p>
      <w:pPr>
        <w:spacing w:line="580" w:lineRule="exact"/>
        <w:ind w:firstLine="640" w:firstLineChars="200"/>
        <w:rPr>
          <w:rFonts w:ascii="仿宋" w:eastAsia="仿宋" w:cs="仿宋_GB2312"/>
          <w:sz w:val="32"/>
          <w:szCs w:val="32"/>
        </w:rPr>
      </w:pPr>
      <w:r>
        <w:rPr>
          <w:rFonts w:hint="eastAsia" w:ascii="仿宋" w:eastAsia="仿宋" w:cs="仿宋"/>
          <w:sz w:val="32"/>
          <w:szCs w:val="32"/>
        </w:rPr>
        <w:t>3、在脱贫攻坚产业发展方面上，引进来，走出去的思想不够，缺乏一些产业技术扶持，不能够很好的去真正了解一些种植、养殖技术，缺乏专业性的指导。</w:t>
      </w:r>
    </w:p>
    <w:p>
      <w:pPr>
        <w:spacing w:line="580" w:lineRule="exact"/>
        <w:ind w:firstLine="640" w:firstLineChars="200"/>
        <w:rPr>
          <w:rFonts w:ascii="仿宋" w:eastAsia="仿宋" w:cs="仿宋_GB2312"/>
          <w:sz w:val="32"/>
          <w:szCs w:val="32"/>
        </w:rPr>
      </w:pPr>
      <w:r>
        <w:rPr>
          <w:rFonts w:hint="eastAsia" w:ascii="仿宋" w:eastAsia="仿宋" w:cs="仿宋_GB2312"/>
          <w:sz w:val="32"/>
          <w:szCs w:val="32"/>
        </w:rPr>
        <w:t>四</w:t>
      </w:r>
      <w:r>
        <w:rPr>
          <w:rFonts w:ascii="仿宋" w:eastAsia="仿宋" w:cs="仿宋_GB2312"/>
          <w:sz w:val="32"/>
          <w:szCs w:val="32"/>
        </w:rPr>
        <w:t>、相关措施建议</w:t>
      </w:r>
    </w:p>
    <w:p>
      <w:pPr>
        <w:spacing w:line="578" w:lineRule="exact"/>
        <w:ind w:firstLine="640" w:firstLineChars="200"/>
        <w:rPr>
          <w:rFonts w:ascii="仿宋" w:eastAsia="仿宋" w:cs="仿宋"/>
          <w:sz w:val="32"/>
          <w:szCs w:val="32"/>
        </w:rPr>
      </w:pPr>
      <w:r>
        <w:rPr>
          <w:rFonts w:hint="eastAsia" w:ascii="仿宋" w:eastAsia="仿宋" w:cs="仿宋"/>
          <w:sz w:val="32"/>
          <w:szCs w:val="32"/>
        </w:rPr>
        <w:t>1、乡党委政府积极主动多向上级部门领导汇报，结合乡的一些现实的情况与部门领导做好沟通汇报，力争早日解决好历年的欠款。</w:t>
      </w:r>
    </w:p>
    <w:p>
      <w:pPr>
        <w:spacing w:line="578" w:lineRule="exact"/>
        <w:ind w:firstLine="640" w:firstLineChars="200"/>
        <w:rPr>
          <w:rFonts w:ascii="仿宋" w:eastAsia="仿宋" w:cs="仿宋_GB2312"/>
          <w:sz w:val="32"/>
          <w:szCs w:val="32"/>
        </w:rPr>
      </w:pPr>
      <w:r>
        <w:rPr>
          <w:rFonts w:hint="eastAsia" w:ascii="仿宋" w:eastAsia="仿宋" w:cs="仿宋"/>
          <w:sz w:val="32"/>
          <w:szCs w:val="32"/>
        </w:rPr>
        <w:t>2、加强我乡的一些技术人员的学习，多向一些产业发展的较好的乡镇组织参观学习，做到引进来，走出去的思想，打破以前的一些陈旧的思想，切实把我乡的产业提高一个新台阶。</w:t>
      </w:r>
    </w:p>
    <w:p>
      <w:pPr>
        <w:spacing w:line="600" w:lineRule="exact"/>
        <w:jc w:val="center"/>
        <w:outlineLvl w:val="0"/>
        <w:rPr>
          <w:rFonts w:ascii="黑体" w:eastAsia="黑体"/>
          <w:color w:val="000000"/>
          <w:sz w:val="44"/>
          <w:szCs w:val="44"/>
        </w:rPr>
      </w:pPr>
    </w:p>
    <w:p>
      <w:pPr>
        <w:spacing w:line="600" w:lineRule="exact"/>
        <w:jc w:val="center"/>
        <w:outlineLvl w:val="0"/>
        <w:rPr>
          <w:rFonts w:ascii="黑体" w:eastAsia="黑体"/>
          <w:color w:val="000000"/>
          <w:sz w:val="44"/>
          <w:szCs w:val="44"/>
        </w:rPr>
      </w:pPr>
    </w:p>
    <w:p>
      <w:pPr>
        <w:spacing w:line="600" w:lineRule="exact"/>
        <w:jc w:val="center"/>
        <w:outlineLvl w:val="0"/>
        <w:rPr>
          <w:rFonts w:ascii="黑体" w:eastAsia="黑体"/>
          <w:color w:val="000000"/>
          <w:sz w:val="44"/>
          <w:szCs w:val="44"/>
        </w:rPr>
      </w:pPr>
    </w:p>
    <w:p>
      <w:pPr>
        <w:spacing w:line="600" w:lineRule="exact"/>
        <w:jc w:val="center"/>
        <w:outlineLvl w:val="0"/>
        <w:rPr>
          <w:rFonts w:ascii="黑体" w:eastAsia="黑体"/>
          <w:color w:val="000000"/>
          <w:sz w:val="44"/>
          <w:szCs w:val="44"/>
        </w:rPr>
      </w:pPr>
    </w:p>
    <w:p>
      <w:pPr>
        <w:spacing w:line="600" w:lineRule="exact"/>
        <w:jc w:val="center"/>
        <w:outlineLvl w:val="0"/>
        <w:rPr>
          <w:rFonts w:ascii="黑体" w:eastAsia="黑体"/>
          <w:color w:val="000000"/>
          <w:sz w:val="44"/>
          <w:szCs w:val="44"/>
        </w:rPr>
      </w:pPr>
    </w:p>
    <w:p>
      <w:pPr>
        <w:spacing w:line="600" w:lineRule="exact"/>
        <w:jc w:val="center"/>
        <w:outlineLvl w:val="0"/>
        <w:rPr>
          <w:rFonts w:ascii="黑体" w:eastAsia="黑体"/>
          <w:color w:val="000000"/>
          <w:sz w:val="44"/>
          <w:szCs w:val="44"/>
        </w:rPr>
      </w:pPr>
    </w:p>
    <w:p>
      <w:pPr>
        <w:spacing w:line="600" w:lineRule="exact"/>
        <w:jc w:val="center"/>
        <w:outlineLvl w:val="0"/>
        <w:rPr>
          <w:rFonts w:ascii="黑体" w:eastAsia="黑体"/>
          <w:color w:val="000000"/>
          <w:sz w:val="44"/>
          <w:szCs w:val="44"/>
        </w:rPr>
      </w:pPr>
    </w:p>
    <w:p>
      <w:pPr>
        <w:spacing w:line="600" w:lineRule="exact"/>
        <w:jc w:val="center"/>
        <w:outlineLvl w:val="0"/>
        <w:rPr>
          <w:rFonts w:ascii="黑体" w:eastAsia="黑体"/>
          <w:color w:val="000000"/>
          <w:sz w:val="44"/>
          <w:szCs w:val="44"/>
        </w:rPr>
      </w:pPr>
    </w:p>
    <w:p>
      <w:pPr>
        <w:spacing w:line="600" w:lineRule="exact"/>
        <w:jc w:val="center"/>
        <w:outlineLvl w:val="0"/>
        <w:rPr>
          <w:rFonts w:ascii="黑体" w:eastAsia="黑体"/>
          <w:color w:val="000000"/>
          <w:sz w:val="44"/>
          <w:szCs w:val="44"/>
        </w:rPr>
      </w:pPr>
    </w:p>
    <w:p>
      <w:pPr>
        <w:spacing w:line="600" w:lineRule="exact"/>
        <w:jc w:val="center"/>
        <w:outlineLvl w:val="0"/>
        <w:rPr>
          <w:rFonts w:ascii="黑体" w:eastAsia="黑体"/>
          <w:color w:val="000000"/>
          <w:sz w:val="44"/>
          <w:szCs w:val="44"/>
        </w:rPr>
      </w:pPr>
    </w:p>
    <w:p>
      <w:pPr>
        <w:spacing w:line="600" w:lineRule="exact"/>
        <w:jc w:val="center"/>
        <w:outlineLvl w:val="0"/>
        <w:rPr>
          <w:rFonts w:ascii="黑体" w:eastAsia="黑体"/>
          <w:color w:val="000000"/>
          <w:sz w:val="44"/>
          <w:szCs w:val="44"/>
        </w:rPr>
      </w:pPr>
    </w:p>
    <w:p>
      <w:pPr>
        <w:spacing w:line="600" w:lineRule="exact"/>
        <w:jc w:val="center"/>
        <w:outlineLvl w:val="0"/>
        <w:rPr>
          <w:rFonts w:ascii="黑体" w:eastAsia="黑体"/>
          <w:color w:val="000000"/>
          <w:sz w:val="44"/>
          <w:szCs w:val="44"/>
        </w:rPr>
      </w:pPr>
    </w:p>
    <w:p>
      <w:pPr>
        <w:spacing w:line="600" w:lineRule="exact"/>
        <w:jc w:val="center"/>
        <w:outlineLvl w:val="0"/>
        <w:rPr>
          <w:rFonts w:ascii="黑体" w:eastAsia="黑体"/>
          <w:color w:val="000000"/>
          <w:sz w:val="44"/>
          <w:szCs w:val="44"/>
        </w:rPr>
      </w:pPr>
    </w:p>
    <w:p>
      <w:pPr>
        <w:spacing w:line="600" w:lineRule="exact"/>
        <w:jc w:val="center"/>
        <w:outlineLvl w:val="0"/>
        <w:rPr>
          <w:rFonts w:ascii="黑体" w:eastAsia="黑体"/>
          <w:color w:val="000000"/>
          <w:sz w:val="44"/>
          <w:szCs w:val="44"/>
        </w:rPr>
      </w:pPr>
    </w:p>
    <w:p>
      <w:pPr>
        <w:spacing w:line="600" w:lineRule="exact"/>
        <w:jc w:val="center"/>
        <w:outlineLvl w:val="0"/>
        <w:rPr>
          <w:rFonts w:ascii="黑体" w:eastAsia="黑体"/>
          <w:color w:val="000000"/>
          <w:sz w:val="44"/>
          <w:szCs w:val="44"/>
        </w:rPr>
      </w:pPr>
    </w:p>
    <w:p>
      <w:pPr>
        <w:spacing w:line="600" w:lineRule="exact"/>
        <w:jc w:val="center"/>
        <w:outlineLvl w:val="0"/>
        <w:rPr>
          <w:rFonts w:ascii="黑体" w:eastAsia="黑体"/>
          <w:color w:val="000000"/>
          <w:sz w:val="44"/>
          <w:szCs w:val="44"/>
        </w:rPr>
      </w:pPr>
    </w:p>
    <w:p>
      <w:pPr>
        <w:spacing w:line="600" w:lineRule="exact"/>
        <w:jc w:val="center"/>
        <w:outlineLvl w:val="0"/>
        <w:rPr>
          <w:rFonts w:ascii="黑体" w:eastAsia="黑体"/>
          <w:color w:val="000000"/>
          <w:sz w:val="44"/>
          <w:szCs w:val="44"/>
        </w:rPr>
      </w:pPr>
    </w:p>
    <w:p>
      <w:pPr>
        <w:spacing w:line="600" w:lineRule="exact"/>
        <w:jc w:val="center"/>
        <w:outlineLvl w:val="0"/>
        <w:rPr>
          <w:rFonts w:ascii="黑体" w:eastAsia="黑体"/>
          <w:color w:val="000000"/>
          <w:sz w:val="44"/>
          <w:szCs w:val="44"/>
        </w:rPr>
      </w:pPr>
    </w:p>
    <w:p>
      <w:pPr>
        <w:spacing w:line="600" w:lineRule="exact"/>
        <w:jc w:val="center"/>
        <w:outlineLvl w:val="0"/>
        <w:rPr>
          <w:rFonts w:ascii="黑体" w:eastAsia="黑体"/>
          <w:color w:val="000000"/>
          <w:sz w:val="44"/>
          <w:szCs w:val="44"/>
        </w:rPr>
      </w:pPr>
    </w:p>
    <w:p>
      <w:pPr>
        <w:spacing w:line="600" w:lineRule="exact"/>
        <w:jc w:val="center"/>
        <w:outlineLvl w:val="0"/>
        <w:rPr>
          <w:rFonts w:ascii="黑体" w:eastAsia="黑体"/>
          <w:color w:val="000000"/>
          <w:sz w:val="44"/>
          <w:szCs w:val="44"/>
        </w:rPr>
      </w:pPr>
    </w:p>
    <w:p>
      <w:pPr>
        <w:spacing w:line="600" w:lineRule="exact"/>
        <w:jc w:val="center"/>
        <w:outlineLvl w:val="0"/>
        <w:rPr>
          <w:rStyle w:val="16"/>
          <w:rFonts w:ascii="黑体" w:eastAsia="黑体"/>
          <w:b w:val="0"/>
        </w:rPr>
      </w:pPr>
      <w:r>
        <w:rPr>
          <w:rFonts w:hint="eastAsia" w:ascii="黑体" w:eastAsia="黑体"/>
          <w:color w:val="000000"/>
          <w:sz w:val="44"/>
          <w:szCs w:val="44"/>
        </w:rPr>
        <w:t>第</w:t>
      </w:r>
      <w:r>
        <w:rPr>
          <w:rStyle w:val="16"/>
          <w:rFonts w:hint="eastAsia" w:ascii="黑体" w:eastAsia="黑体"/>
          <w:b w:val="0"/>
        </w:rPr>
        <w:t>五部分 附表</w:t>
      </w:r>
      <w:bookmarkEnd w:id="57"/>
      <w:bookmarkEnd w:id="62"/>
    </w:p>
    <w:p>
      <w:pPr>
        <w:pStyle w:val="3"/>
        <w:rPr>
          <w:rFonts w:ascii="仿宋" w:eastAsia="仿宋"/>
          <w:color w:val="000000"/>
        </w:rPr>
      </w:pPr>
      <w:bookmarkStart w:id="63" w:name="_Toc15396619"/>
      <w:r>
        <w:rPr>
          <w:rFonts w:hint="eastAsia" w:ascii="仿宋" w:eastAsia="仿宋"/>
          <w:b w:val="0"/>
          <w:color w:val="000000"/>
        </w:rPr>
        <w:t>一、收</w:t>
      </w:r>
      <w:r>
        <w:rPr>
          <w:rStyle w:val="17"/>
          <w:rFonts w:hint="eastAsia" w:ascii="仿宋" w:eastAsia="仿宋"/>
          <w:b w:val="0"/>
          <w:bCs w:val="0"/>
        </w:rPr>
        <w:t>入支出决算总表</w:t>
      </w:r>
      <w:bookmarkEnd w:id="63"/>
    </w:p>
    <w:p>
      <w:pPr>
        <w:pStyle w:val="3"/>
        <w:rPr>
          <w:rFonts w:ascii="仿宋" w:eastAsia="仿宋"/>
          <w:color w:val="000000"/>
        </w:rPr>
      </w:pPr>
      <w:bookmarkStart w:id="64" w:name="_Toc15396620"/>
      <w:r>
        <w:rPr>
          <w:rFonts w:hint="eastAsia" w:ascii="仿宋" w:eastAsia="仿宋"/>
          <w:b w:val="0"/>
          <w:color w:val="000000"/>
        </w:rPr>
        <w:t>二、收</w:t>
      </w:r>
      <w:r>
        <w:rPr>
          <w:rStyle w:val="17"/>
          <w:rFonts w:hint="eastAsia" w:ascii="仿宋" w:eastAsia="仿宋"/>
          <w:b w:val="0"/>
          <w:bCs w:val="0"/>
        </w:rPr>
        <w:t>入总表</w:t>
      </w:r>
      <w:bookmarkEnd w:id="64"/>
    </w:p>
    <w:p>
      <w:pPr>
        <w:pStyle w:val="3"/>
        <w:rPr>
          <w:rFonts w:ascii="仿宋" w:eastAsia="仿宋"/>
          <w:color w:val="000000"/>
        </w:rPr>
      </w:pPr>
      <w:bookmarkStart w:id="65" w:name="_Toc15396621"/>
      <w:r>
        <w:rPr>
          <w:rStyle w:val="17"/>
          <w:rFonts w:hint="eastAsia" w:ascii="仿宋" w:eastAsia="仿宋"/>
          <w:b w:val="0"/>
          <w:bCs w:val="0"/>
        </w:rPr>
        <w:t>三、</w:t>
      </w:r>
      <w:r>
        <w:rPr>
          <w:rFonts w:hint="eastAsia" w:ascii="仿宋" w:eastAsia="仿宋"/>
          <w:b w:val="0"/>
          <w:color w:val="000000"/>
        </w:rPr>
        <w:t>支</w:t>
      </w:r>
      <w:r>
        <w:rPr>
          <w:rStyle w:val="17"/>
          <w:rFonts w:hint="eastAsia" w:ascii="仿宋" w:eastAsia="仿宋"/>
          <w:b w:val="0"/>
          <w:bCs w:val="0"/>
        </w:rPr>
        <w:t>出总表</w:t>
      </w:r>
      <w:bookmarkEnd w:id="65"/>
    </w:p>
    <w:p>
      <w:pPr>
        <w:pStyle w:val="3"/>
        <w:rPr>
          <w:rFonts w:ascii="仿宋" w:eastAsia="仿宋"/>
          <w:b w:val="0"/>
          <w:color w:val="000000"/>
        </w:rPr>
      </w:pPr>
      <w:bookmarkStart w:id="66" w:name="_Toc15396622"/>
      <w:r>
        <w:rPr>
          <w:rStyle w:val="17"/>
          <w:rFonts w:hint="eastAsia" w:ascii="仿宋" w:eastAsia="仿宋"/>
          <w:b w:val="0"/>
          <w:bCs w:val="0"/>
        </w:rPr>
        <w:t>四、</w:t>
      </w:r>
      <w:r>
        <w:rPr>
          <w:rFonts w:hint="eastAsia" w:ascii="仿宋" w:eastAsia="仿宋"/>
          <w:b w:val="0"/>
          <w:color w:val="000000"/>
        </w:rPr>
        <w:t>财</w:t>
      </w:r>
      <w:r>
        <w:rPr>
          <w:rStyle w:val="17"/>
          <w:rFonts w:hint="eastAsia" w:ascii="仿宋" w:eastAsia="仿宋"/>
          <w:b w:val="0"/>
          <w:bCs w:val="0"/>
        </w:rPr>
        <w:t>政拨款收入支出决算总表</w:t>
      </w:r>
      <w:bookmarkEnd w:id="66"/>
    </w:p>
    <w:p>
      <w:pPr>
        <w:pStyle w:val="3"/>
        <w:rPr>
          <w:rFonts w:ascii="仿宋" w:eastAsia="仿宋"/>
          <w:color w:val="000000"/>
        </w:rPr>
      </w:pPr>
      <w:bookmarkStart w:id="67" w:name="_Toc15396623"/>
      <w:r>
        <w:rPr>
          <w:rStyle w:val="17"/>
          <w:rFonts w:hint="eastAsia" w:ascii="仿宋" w:eastAsia="仿宋"/>
          <w:b w:val="0"/>
          <w:bCs w:val="0"/>
        </w:rPr>
        <w:t>五、</w:t>
      </w:r>
      <w:r>
        <w:rPr>
          <w:rFonts w:hint="eastAsia" w:ascii="仿宋" w:eastAsia="仿宋"/>
          <w:b w:val="0"/>
          <w:color w:val="000000"/>
        </w:rPr>
        <w:t>财</w:t>
      </w:r>
      <w:r>
        <w:rPr>
          <w:rStyle w:val="17"/>
          <w:rFonts w:hint="eastAsia" w:ascii="仿宋" w:eastAsia="仿宋"/>
          <w:b w:val="0"/>
          <w:bCs w:val="0"/>
        </w:rPr>
        <w:t>政拨款支出决算明细表（政府经济分类科目）</w:t>
      </w:r>
      <w:bookmarkEnd w:id="67"/>
    </w:p>
    <w:p>
      <w:pPr>
        <w:pStyle w:val="3"/>
        <w:rPr>
          <w:rFonts w:ascii="仿宋" w:eastAsia="仿宋"/>
          <w:color w:val="000000"/>
        </w:rPr>
      </w:pPr>
      <w:bookmarkStart w:id="68" w:name="_Toc15396624"/>
      <w:r>
        <w:rPr>
          <w:rStyle w:val="17"/>
          <w:rFonts w:hint="eastAsia" w:ascii="仿宋" w:eastAsia="仿宋"/>
          <w:b w:val="0"/>
          <w:bCs w:val="0"/>
        </w:rPr>
        <w:t>六、</w:t>
      </w:r>
      <w:r>
        <w:rPr>
          <w:rFonts w:hint="eastAsia" w:ascii="仿宋" w:eastAsia="仿宋"/>
          <w:b w:val="0"/>
          <w:color w:val="000000"/>
        </w:rPr>
        <w:t>一</w:t>
      </w:r>
      <w:r>
        <w:rPr>
          <w:rStyle w:val="17"/>
          <w:rFonts w:hint="eastAsia" w:ascii="仿宋" w:eastAsia="仿宋"/>
          <w:b w:val="0"/>
          <w:bCs w:val="0"/>
        </w:rPr>
        <w:t>般公共预算财政拨款支出决算表</w:t>
      </w:r>
      <w:bookmarkEnd w:id="68"/>
    </w:p>
    <w:p>
      <w:pPr>
        <w:pStyle w:val="3"/>
        <w:rPr>
          <w:rFonts w:ascii="仿宋" w:eastAsia="仿宋"/>
          <w:color w:val="000000"/>
        </w:rPr>
      </w:pPr>
      <w:bookmarkStart w:id="69" w:name="_Toc15396625"/>
      <w:r>
        <w:rPr>
          <w:rStyle w:val="17"/>
          <w:rFonts w:hint="eastAsia" w:ascii="仿宋" w:eastAsia="仿宋"/>
          <w:b w:val="0"/>
          <w:bCs w:val="0"/>
        </w:rPr>
        <w:t>七、</w:t>
      </w:r>
      <w:r>
        <w:rPr>
          <w:rFonts w:hint="eastAsia" w:ascii="仿宋" w:eastAsia="仿宋"/>
          <w:b w:val="0"/>
          <w:color w:val="000000"/>
        </w:rPr>
        <w:t>一</w:t>
      </w:r>
      <w:r>
        <w:rPr>
          <w:rStyle w:val="17"/>
          <w:rFonts w:hint="eastAsia" w:ascii="仿宋" w:eastAsia="仿宋"/>
          <w:b w:val="0"/>
          <w:bCs w:val="0"/>
        </w:rPr>
        <w:t>般公共预算财政拨款支出决算明细表</w:t>
      </w:r>
      <w:bookmarkEnd w:id="69"/>
    </w:p>
    <w:p>
      <w:pPr>
        <w:pStyle w:val="3"/>
        <w:rPr>
          <w:rFonts w:ascii="仿宋" w:eastAsia="仿宋"/>
          <w:color w:val="000000"/>
        </w:rPr>
      </w:pPr>
      <w:bookmarkStart w:id="70" w:name="_Toc15396626"/>
      <w:r>
        <w:rPr>
          <w:rStyle w:val="17"/>
          <w:rFonts w:hint="eastAsia" w:ascii="仿宋" w:eastAsia="仿宋"/>
          <w:b w:val="0"/>
          <w:bCs w:val="0"/>
        </w:rPr>
        <w:t>八、</w:t>
      </w:r>
      <w:r>
        <w:rPr>
          <w:rFonts w:hint="eastAsia" w:ascii="仿宋" w:eastAsia="仿宋"/>
          <w:b w:val="0"/>
          <w:color w:val="000000"/>
        </w:rPr>
        <w:t>一</w:t>
      </w:r>
      <w:r>
        <w:rPr>
          <w:rStyle w:val="17"/>
          <w:rFonts w:hint="eastAsia" w:ascii="仿宋" w:eastAsia="仿宋"/>
          <w:b w:val="0"/>
          <w:bCs w:val="0"/>
        </w:rPr>
        <w:t>般公共预算财政拨款基本支出决算表</w:t>
      </w:r>
      <w:bookmarkEnd w:id="70"/>
    </w:p>
    <w:p>
      <w:pPr>
        <w:pStyle w:val="3"/>
        <w:rPr>
          <w:rFonts w:ascii="仿宋" w:eastAsia="仿宋"/>
          <w:color w:val="000000"/>
        </w:rPr>
      </w:pPr>
      <w:bookmarkStart w:id="71" w:name="_Toc15396627"/>
      <w:r>
        <w:rPr>
          <w:rStyle w:val="17"/>
          <w:rFonts w:hint="eastAsia" w:ascii="仿宋" w:eastAsia="仿宋"/>
          <w:b w:val="0"/>
          <w:bCs w:val="0"/>
        </w:rPr>
        <w:t>九、</w:t>
      </w:r>
      <w:r>
        <w:rPr>
          <w:rFonts w:hint="eastAsia" w:ascii="仿宋" w:eastAsia="仿宋"/>
          <w:b w:val="0"/>
          <w:color w:val="000000"/>
        </w:rPr>
        <w:t>一</w:t>
      </w:r>
      <w:r>
        <w:rPr>
          <w:rStyle w:val="17"/>
          <w:rFonts w:hint="eastAsia" w:ascii="仿宋" w:eastAsia="仿宋"/>
          <w:b w:val="0"/>
          <w:bCs w:val="0"/>
        </w:rPr>
        <w:t>般公共预算财政拨款项目支出决算表</w:t>
      </w:r>
      <w:bookmarkEnd w:id="71"/>
    </w:p>
    <w:p>
      <w:pPr>
        <w:pStyle w:val="3"/>
        <w:rPr>
          <w:rFonts w:ascii="仿宋" w:eastAsia="仿宋"/>
          <w:color w:val="000000"/>
        </w:rPr>
      </w:pPr>
      <w:bookmarkStart w:id="72" w:name="_Toc15396628"/>
      <w:r>
        <w:rPr>
          <w:rStyle w:val="17"/>
          <w:rFonts w:hint="eastAsia" w:ascii="仿宋" w:eastAsia="仿宋"/>
          <w:b w:val="0"/>
          <w:bCs w:val="0"/>
        </w:rPr>
        <w:t>十、</w:t>
      </w:r>
      <w:r>
        <w:rPr>
          <w:rFonts w:hint="eastAsia" w:ascii="仿宋" w:eastAsia="仿宋"/>
          <w:b w:val="0"/>
          <w:color w:val="000000"/>
        </w:rPr>
        <w:t>一</w:t>
      </w:r>
      <w:r>
        <w:rPr>
          <w:rStyle w:val="17"/>
          <w:rFonts w:hint="eastAsia" w:ascii="仿宋" w:eastAsia="仿宋"/>
          <w:b w:val="0"/>
          <w:bCs w:val="0"/>
        </w:rPr>
        <w:t>般公共预算财政拨款“三公”经费支出决算表</w:t>
      </w:r>
      <w:bookmarkEnd w:id="72"/>
    </w:p>
    <w:p>
      <w:pPr>
        <w:pStyle w:val="3"/>
        <w:rPr>
          <w:rFonts w:ascii="仿宋" w:eastAsia="仿宋"/>
          <w:color w:val="000000"/>
        </w:rPr>
      </w:pPr>
      <w:bookmarkStart w:id="73" w:name="_Toc15396629"/>
      <w:r>
        <w:rPr>
          <w:rStyle w:val="17"/>
          <w:rFonts w:hint="eastAsia" w:ascii="仿宋" w:eastAsia="仿宋"/>
          <w:b w:val="0"/>
          <w:bCs w:val="0"/>
        </w:rPr>
        <w:t>十一、</w:t>
      </w:r>
      <w:r>
        <w:rPr>
          <w:rFonts w:hint="eastAsia" w:ascii="仿宋" w:eastAsia="仿宋"/>
          <w:b w:val="0"/>
          <w:color w:val="000000"/>
        </w:rPr>
        <w:t>政</w:t>
      </w:r>
      <w:r>
        <w:rPr>
          <w:rStyle w:val="17"/>
          <w:rFonts w:hint="eastAsia" w:ascii="仿宋" w:eastAsia="仿宋"/>
          <w:b w:val="0"/>
          <w:bCs w:val="0"/>
        </w:rPr>
        <w:t>府性基金预算财政拨款收入支出决算表</w:t>
      </w:r>
      <w:bookmarkEnd w:id="73"/>
    </w:p>
    <w:p>
      <w:pPr>
        <w:pStyle w:val="3"/>
        <w:rPr>
          <w:rFonts w:ascii="仿宋" w:eastAsia="仿宋"/>
          <w:color w:val="000000"/>
        </w:rPr>
      </w:pPr>
      <w:bookmarkStart w:id="74" w:name="_Toc15396630"/>
      <w:r>
        <w:rPr>
          <w:rStyle w:val="17"/>
          <w:rFonts w:hint="eastAsia" w:ascii="仿宋" w:eastAsia="仿宋"/>
          <w:b w:val="0"/>
          <w:bCs w:val="0"/>
        </w:rPr>
        <w:t>十二、</w:t>
      </w:r>
      <w:r>
        <w:rPr>
          <w:rFonts w:hint="eastAsia" w:ascii="仿宋" w:eastAsia="仿宋"/>
          <w:b w:val="0"/>
          <w:color w:val="000000"/>
        </w:rPr>
        <w:t>政</w:t>
      </w:r>
      <w:r>
        <w:rPr>
          <w:rStyle w:val="17"/>
          <w:rFonts w:hint="eastAsia" w:ascii="仿宋" w:eastAsia="仿宋"/>
          <w:b w:val="0"/>
          <w:bCs w:val="0"/>
        </w:rPr>
        <w:t>府性基金预算财政拨款“三公”经费支出决算表</w:t>
      </w:r>
      <w:bookmarkEnd w:id="74"/>
    </w:p>
    <w:p>
      <w:pPr>
        <w:pStyle w:val="3"/>
        <w:rPr>
          <w:rFonts w:ascii="仿宋" w:eastAsia="仿宋"/>
          <w:color w:val="000000"/>
        </w:rPr>
      </w:pPr>
      <w:bookmarkStart w:id="75" w:name="_Toc15396631"/>
      <w:r>
        <w:rPr>
          <w:rStyle w:val="17"/>
          <w:rFonts w:hint="eastAsia" w:ascii="仿宋" w:eastAsia="仿宋"/>
          <w:b w:val="0"/>
          <w:bCs w:val="0"/>
        </w:rPr>
        <w:t>十三、</w:t>
      </w:r>
      <w:r>
        <w:rPr>
          <w:rFonts w:hint="eastAsia" w:ascii="仿宋" w:eastAsia="仿宋"/>
          <w:b w:val="0"/>
          <w:color w:val="000000"/>
        </w:rPr>
        <w:t>国</w:t>
      </w:r>
      <w:r>
        <w:rPr>
          <w:rStyle w:val="17"/>
          <w:rFonts w:hint="eastAsia" w:ascii="仿宋" w:eastAsia="仿宋"/>
          <w:b w:val="0"/>
          <w:bCs w:val="0"/>
        </w:rPr>
        <w:t>有资本经营预算支出决算表</w:t>
      </w:r>
      <w:bookmarkEnd w:id="75"/>
    </w:p>
    <w:sectPr>
      <w:headerReference r:id="rId3" w:type="default"/>
      <w:footerReference r:id="rId4" w:type="default"/>
      <w:pgSz w:w="11906" w:h="16838"/>
      <w:pgMar w:top="1440" w:right="1800" w:bottom="1440" w:left="1800" w:header="851" w:footer="992" w:gutter="0"/>
      <w:pgNumType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34771393"/>
    </w:sdtPr>
    <w:sdtContent>
      <w:p>
        <w:pPr>
          <w:pStyle w:val="8"/>
          <w:jc w:val="center"/>
        </w:pPr>
        <w:r>
          <w:fldChar w:fldCharType="begin"/>
        </w:r>
        <w:r>
          <w:instrText xml:space="preserve">PAGE   \* MERGEFORMAT</w:instrText>
        </w:r>
        <w:r>
          <w:fldChar w:fldCharType="separate"/>
        </w:r>
        <w:r>
          <w:rPr>
            <w:lang w:val="zh-CN"/>
          </w:rPr>
          <w:t>25</w:t>
        </w:r>
        <w:r>
          <w:fldChar w:fldCharType="end"/>
        </w:r>
      </w:p>
    </w:sdtContent>
  </w:sdt>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51FFE38"/>
    <w:multiLevelType w:val="singleLevel"/>
    <w:tmpl w:val="951FFE38"/>
    <w:lvl w:ilvl="0" w:tentative="0">
      <w:start w:val="1"/>
      <w:numFmt w:val="chineseCounting"/>
      <w:suff w:val="nothing"/>
      <w:lvlText w:val="%1、"/>
      <w:lvlJc w:val="left"/>
      <w:pPr>
        <w:tabs>
          <w:tab w:val="left" w:pos="0"/>
        </w:tabs>
        <w:ind w:left="0" w:firstLine="0"/>
      </w:pPr>
      <w:rPr>
        <w:rFonts w:hint="eastAsia"/>
      </w:rPr>
    </w:lvl>
  </w:abstractNum>
  <w:abstractNum w:abstractNumId="1">
    <w:nsid w:val="CF652CEC"/>
    <w:multiLevelType w:val="singleLevel"/>
    <w:tmpl w:val="CF652CEC"/>
    <w:lvl w:ilvl="0" w:tentative="0">
      <w:start w:val="9"/>
      <w:numFmt w:val="chineseCounting"/>
      <w:suff w:val="nothing"/>
      <w:lvlText w:val="%1、"/>
      <w:lvlJc w:val="left"/>
      <w:pPr>
        <w:tabs>
          <w:tab w:val="left" w:pos="0"/>
        </w:tabs>
        <w:ind w:left="0" w:firstLine="0"/>
      </w:pPr>
      <w:rPr>
        <w:rFonts w:hint="eastAsia"/>
      </w:rPr>
    </w:lvl>
  </w:abstractNum>
  <w:abstractNum w:abstractNumId="2">
    <w:nsid w:val="EC0BEF30"/>
    <w:multiLevelType w:val="singleLevel"/>
    <w:tmpl w:val="EC0BEF30"/>
    <w:lvl w:ilvl="0" w:tentative="0">
      <w:start w:val="1"/>
      <w:numFmt w:val="chineseCounting"/>
      <w:suff w:val="nothing"/>
      <w:lvlText w:val="（%1）"/>
      <w:lvlJc w:val="left"/>
      <w:pPr>
        <w:tabs>
          <w:tab w:val="left" w:pos="0"/>
        </w:tabs>
        <w:ind w:left="0" w:firstLine="0"/>
      </w:pPr>
      <w:rPr>
        <w:rFonts w:hint="eastAsia" w:ascii="楷体_GB2312" w:hAnsi="楷体_GB2312" w:eastAsia="楷体_GB2312" w:cs="楷体_GB2312"/>
        <w:b/>
        <w:bCs/>
        <w:sz w:val="32"/>
        <w:szCs w:val="32"/>
      </w:rPr>
    </w:lvl>
  </w:abstractNum>
  <w:abstractNum w:abstractNumId="3">
    <w:nsid w:val="0633A94B"/>
    <w:multiLevelType w:val="singleLevel"/>
    <w:tmpl w:val="0633A94B"/>
    <w:lvl w:ilvl="0" w:tentative="0">
      <w:start w:val="2"/>
      <w:numFmt w:val="chineseCounting"/>
      <w:suff w:val="nothing"/>
      <w:lvlText w:val="（%1）"/>
      <w:lvlJc w:val="left"/>
      <w:pPr>
        <w:tabs>
          <w:tab w:val="left" w:pos="0"/>
        </w:tabs>
        <w:ind w:left="0" w:firstLine="0"/>
      </w:pPr>
      <w:rPr>
        <w:rFonts w:hint="eastAsia"/>
      </w:rPr>
    </w:lvl>
  </w:abstractNum>
  <w:abstractNum w:abstractNumId="4">
    <w:nsid w:val="1272550B"/>
    <w:multiLevelType w:val="multilevel"/>
    <w:tmpl w:val="1272550B"/>
    <w:lvl w:ilvl="0" w:tentative="0">
      <w:start w:val="1"/>
      <w:numFmt w:val="japaneseCounting"/>
      <w:lvlText w:val="%1、"/>
      <w:lvlJc w:val="left"/>
      <w:pPr>
        <w:tabs>
          <w:tab w:val="left" w:pos="0"/>
        </w:tabs>
        <w:ind w:left="1360" w:hanging="720"/>
      </w:pPr>
      <w:rPr>
        <w:rFonts w:hint="default"/>
        <w:b w:val="0"/>
      </w:rPr>
    </w:lvl>
    <w:lvl w:ilvl="1" w:tentative="0">
      <w:start w:val="1"/>
      <w:numFmt w:val="lowerLetter"/>
      <w:lvlText w:val="%2)"/>
      <w:lvlJc w:val="left"/>
      <w:pPr>
        <w:tabs>
          <w:tab w:val="left" w:pos="0"/>
        </w:tabs>
        <w:ind w:left="1480" w:hanging="420"/>
      </w:pPr>
    </w:lvl>
    <w:lvl w:ilvl="2" w:tentative="0">
      <w:start w:val="1"/>
      <w:numFmt w:val="lowerRoman"/>
      <w:lvlText w:val="%3."/>
      <w:lvlJc w:val="right"/>
      <w:pPr>
        <w:tabs>
          <w:tab w:val="left" w:pos="0"/>
        </w:tabs>
        <w:ind w:left="1900" w:hanging="420"/>
      </w:pPr>
    </w:lvl>
    <w:lvl w:ilvl="3" w:tentative="0">
      <w:start w:val="1"/>
      <w:numFmt w:val="decimal"/>
      <w:lvlText w:val="%4."/>
      <w:lvlJc w:val="left"/>
      <w:pPr>
        <w:tabs>
          <w:tab w:val="left" w:pos="0"/>
        </w:tabs>
        <w:ind w:left="2320" w:hanging="420"/>
      </w:pPr>
    </w:lvl>
    <w:lvl w:ilvl="4" w:tentative="0">
      <w:start w:val="1"/>
      <w:numFmt w:val="lowerLetter"/>
      <w:lvlText w:val="%5)"/>
      <w:lvlJc w:val="left"/>
      <w:pPr>
        <w:tabs>
          <w:tab w:val="left" w:pos="0"/>
        </w:tabs>
        <w:ind w:left="2740" w:hanging="420"/>
      </w:pPr>
    </w:lvl>
    <w:lvl w:ilvl="5" w:tentative="0">
      <w:start w:val="1"/>
      <w:numFmt w:val="lowerRoman"/>
      <w:lvlText w:val="%6."/>
      <w:lvlJc w:val="right"/>
      <w:pPr>
        <w:tabs>
          <w:tab w:val="left" w:pos="0"/>
        </w:tabs>
        <w:ind w:left="3160" w:hanging="420"/>
      </w:pPr>
    </w:lvl>
    <w:lvl w:ilvl="6" w:tentative="0">
      <w:start w:val="1"/>
      <w:numFmt w:val="decimal"/>
      <w:lvlText w:val="%7."/>
      <w:lvlJc w:val="left"/>
      <w:pPr>
        <w:tabs>
          <w:tab w:val="left" w:pos="0"/>
        </w:tabs>
        <w:ind w:left="3580" w:hanging="420"/>
      </w:pPr>
    </w:lvl>
    <w:lvl w:ilvl="7" w:tentative="0">
      <w:start w:val="1"/>
      <w:numFmt w:val="lowerLetter"/>
      <w:lvlText w:val="%8)"/>
      <w:lvlJc w:val="left"/>
      <w:pPr>
        <w:tabs>
          <w:tab w:val="left" w:pos="0"/>
        </w:tabs>
        <w:ind w:left="4000" w:hanging="420"/>
      </w:pPr>
    </w:lvl>
    <w:lvl w:ilvl="8" w:tentative="0">
      <w:start w:val="1"/>
      <w:numFmt w:val="lowerRoman"/>
      <w:lvlText w:val="%9."/>
      <w:lvlJc w:val="right"/>
      <w:pPr>
        <w:tabs>
          <w:tab w:val="left" w:pos="0"/>
        </w:tabs>
        <w:ind w:left="4420" w:hanging="420"/>
      </w:pPr>
    </w:lvl>
  </w:abstractNum>
  <w:abstractNum w:abstractNumId="5">
    <w:nsid w:val="17F426B7"/>
    <w:multiLevelType w:val="multilevel"/>
    <w:tmpl w:val="17F426B7"/>
    <w:lvl w:ilvl="0" w:tentative="0">
      <w:start w:val="10"/>
      <w:numFmt w:val="japaneseCounting"/>
      <w:lvlText w:val="%1、"/>
      <w:lvlJc w:val="left"/>
      <w:pPr>
        <w:tabs>
          <w:tab w:val="left" w:pos="0"/>
        </w:tabs>
        <w:ind w:left="1429" w:hanging="720"/>
      </w:pPr>
      <w:rPr>
        <w:rFonts w:hint="default"/>
      </w:rPr>
    </w:lvl>
    <w:lvl w:ilvl="1" w:tentative="0">
      <w:start w:val="1"/>
      <w:numFmt w:val="lowerLetter"/>
      <w:lvlText w:val="%2)"/>
      <w:lvlJc w:val="left"/>
      <w:pPr>
        <w:tabs>
          <w:tab w:val="left" w:pos="0"/>
        </w:tabs>
        <w:ind w:left="1549" w:hanging="420"/>
      </w:pPr>
    </w:lvl>
    <w:lvl w:ilvl="2" w:tentative="0">
      <w:start w:val="1"/>
      <w:numFmt w:val="lowerRoman"/>
      <w:lvlText w:val="%3."/>
      <w:lvlJc w:val="right"/>
      <w:pPr>
        <w:tabs>
          <w:tab w:val="left" w:pos="0"/>
        </w:tabs>
        <w:ind w:left="1969" w:hanging="420"/>
      </w:pPr>
    </w:lvl>
    <w:lvl w:ilvl="3" w:tentative="0">
      <w:start w:val="1"/>
      <w:numFmt w:val="decimal"/>
      <w:lvlText w:val="%4."/>
      <w:lvlJc w:val="left"/>
      <w:pPr>
        <w:tabs>
          <w:tab w:val="left" w:pos="0"/>
        </w:tabs>
        <w:ind w:left="2389" w:hanging="420"/>
      </w:pPr>
    </w:lvl>
    <w:lvl w:ilvl="4" w:tentative="0">
      <w:start w:val="1"/>
      <w:numFmt w:val="lowerLetter"/>
      <w:lvlText w:val="%5)"/>
      <w:lvlJc w:val="left"/>
      <w:pPr>
        <w:tabs>
          <w:tab w:val="left" w:pos="0"/>
        </w:tabs>
        <w:ind w:left="2809" w:hanging="420"/>
      </w:pPr>
    </w:lvl>
    <w:lvl w:ilvl="5" w:tentative="0">
      <w:start w:val="1"/>
      <w:numFmt w:val="lowerRoman"/>
      <w:lvlText w:val="%6."/>
      <w:lvlJc w:val="right"/>
      <w:pPr>
        <w:tabs>
          <w:tab w:val="left" w:pos="0"/>
        </w:tabs>
        <w:ind w:left="3229" w:hanging="420"/>
      </w:pPr>
    </w:lvl>
    <w:lvl w:ilvl="6" w:tentative="0">
      <w:start w:val="1"/>
      <w:numFmt w:val="decimal"/>
      <w:lvlText w:val="%7."/>
      <w:lvlJc w:val="left"/>
      <w:pPr>
        <w:tabs>
          <w:tab w:val="left" w:pos="0"/>
        </w:tabs>
        <w:ind w:left="3649" w:hanging="420"/>
      </w:pPr>
    </w:lvl>
    <w:lvl w:ilvl="7" w:tentative="0">
      <w:start w:val="1"/>
      <w:numFmt w:val="lowerLetter"/>
      <w:lvlText w:val="%8)"/>
      <w:lvlJc w:val="left"/>
      <w:pPr>
        <w:tabs>
          <w:tab w:val="left" w:pos="0"/>
        </w:tabs>
        <w:ind w:left="4069" w:hanging="420"/>
      </w:pPr>
    </w:lvl>
    <w:lvl w:ilvl="8" w:tentative="0">
      <w:start w:val="1"/>
      <w:numFmt w:val="lowerRoman"/>
      <w:lvlText w:val="%9."/>
      <w:lvlJc w:val="right"/>
      <w:pPr>
        <w:tabs>
          <w:tab w:val="left" w:pos="0"/>
        </w:tabs>
        <w:ind w:left="4489" w:hanging="420"/>
      </w:pPr>
    </w:lvl>
  </w:abstractNum>
  <w:abstractNum w:abstractNumId="6">
    <w:nsid w:val="37096899"/>
    <w:multiLevelType w:val="singleLevel"/>
    <w:tmpl w:val="37096899"/>
    <w:lvl w:ilvl="0" w:tentative="0">
      <w:start w:val="1"/>
      <w:numFmt w:val="decimal"/>
      <w:lvlText w:val="%1."/>
      <w:lvlJc w:val="left"/>
      <w:pPr>
        <w:tabs>
          <w:tab w:val="left" w:pos="0"/>
        </w:tabs>
        <w:ind w:left="0" w:firstLine="0"/>
      </w:pPr>
    </w:lvl>
  </w:abstractNum>
  <w:num w:numId="1">
    <w:abstractNumId w:val="4"/>
  </w:num>
  <w:num w:numId="2">
    <w:abstractNumId w:val="6"/>
  </w:num>
  <w:num w:numId="3">
    <w:abstractNumId w:val="1"/>
  </w:num>
  <w:num w:numId="4">
    <w:abstractNumId w:val="5"/>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dit="readOnly" w:enforcement="0"/>
  <w:defaultTabStop w:val="420"/>
  <w:drawingGridHorizontalSpacing w:val="105"/>
  <w:drawingGridVerticalSpacing w:val="156"/>
  <w:displayHorizontalDrawingGridEvery w:val="0"/>
  <w:displayVerticalDrawingGridEvery w:val="1"/>
  <w:noPunctuationKerning w:val="1"/>
  <w:characterSpacingControl w:val="compressPunctuation"/>
  <w:compat>
    <w:spaceForUL/>
    <w:balanceSingleByteDoubleByteWidth/>
    <w:ulTrailSpace/>
    <w:doNotExpandShiftReturn/>
    <w:adjustLineHeightInTable/>
    <w:useFELayout/>
    <w:compatSetting w:name="compatibilityMode" w:uri="http://schemas.microsoft.com/office/word" w:val="15"/>
  </w:compat>
  <w:docVars>
    <w:docVar w:name="commondata" w:val="eyJoZGlkIjoiNmI0YjRjMzY4Y2EyMDI4MzcwODVjNmZjZTYyZTdiNzAifQ=="/>
  </w:docVars>
  <w:rsids>
    <w:rsidRoot w:val="00000000"/>
    <w:rsid w:val="40CE349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6"/>
    <w:qFormat/>
    <w:uiPriority w:val="0"/>
    <w:pPr>
      <w:keepNext/>
      <w:keepLines/>
      <w:widowControl w:val="0"/>
      <w:spacing w:before="340" w:after="330" w:line="578" w:lineRule="auto"/>
      <w:outlineLvl w:val="0"/>
    </w:pPr>
    <w:rPr>
      <w:b/>
      <w:bCs/>
      <w:kern w:val="44"/>
      <w:sz w:val="44"/>
      <w:szCs w:val="44"/>
    </w:rPr>
  </w:style>
  <w:style w:type="paragraph" w:styleId="3">
    <w:name w:val="heading 2"/>
    <w:basedOn w:val="1"/>
    <w:next w:val="1"/>
    <w:link w:val="17"/>
    <w:qFormat/>
    <w:uiPriority w:val="0"/>
    <w:pPr>
      <w:keepNext/>
      <w:keepLines/>
      <w:widowControl w:val="0"/>
      <w:spacing w:before="260" w:after="260" w:line="415" w:lineRule="auto"/>
      <w:outlineLvl w:val="1"/>
    </w:pPr>
    <w:rPr>
      <w:rFonts w:ascii="Cambria" w:hAnsi="Cambria" w:eastAsia="宋体" w:cs="Times New Roman"/>
      <w:b/>
      <w:bCs/>
      <w:sz w:val="32"/>
      <w:szCs w:val="32"/>
    </w:rPr>
  </w:style>
  <w:style w:type="paragraph" w:styleId="4">
    <w:name w:val="heading 3"/>
    <w:basedOn w:val="1"/>
    <w:next w:val="1"/>
    <w:qFormat/>
    <w:uiPriority w:val="0"/>
    <w:pPr>
      <w:keepNext/>
      <w:keepLines/>
      <w:widowControl w:val="0"/>
      <w:spacing w:before="260" w:after="260" w:line="415" w:lineRule="auto"/>
      <w:outlineLvl w:val="2"/>
    </w:pPr>
    <w:rPr>
      <w:b/>
      <w:bCs/>
      <w:sz w:val="32"/>
      <w:szCs w:val="32"/>
    </w:rPr>
  </w:style>
  <w:style w:type="character" w:default="1" w:styleId="13">
    <w:name w:val="Default Paragraph Font"/>
    <w:qFormat/>
    <w:uiPriority w:val="0"/>
  </w:style>
  <w:style w:type="table" w:default="1" w:styleId="12">
    <w:name w:val="Normal Table"/>
    <w:semiHidden/>
    <w:uiPriority w:val="0"/>
    <w:tblPr>
      <w:tblCellMar>
        <w:top w:w="0" w:type="dxa"/>
        <w:left w:w="108" w:type="dxa"/>
        <w:bottom w:w="0" w:type="dxa"/>
        <w:right w:w="108" w:type="dxa"/>
      </w:tblCellMar>
    </w:tblPr>
  </w:style>
  <w:style w:type="paragraph" w:styleId="5">
    <w:name w:val="Body Text"/>
    <w:basedOn w:val="1"/>
    <w:uiPriority w:val="0"/>
    <w:pPr>
      <w:spacing w:before="30" w:beforeLines="30"/>
    </w:pPr>
    <w:rPr>
      <w:rFonts w:ascii="仿宋_GB2312" w:eastAsia="仿宋_GB2312"/>
      <w:kern w:val="0"/>
      <w:sz w:val="30"/>
    </w:rPr>
  </w:style>
  <w:style w:type="paragraph" w:styleId="6">
    <w:name w:val="toc 3"/>
    <w:basedOn w:val="1"/>
    <w:next w:val="1"/>
    <w:uiPriority w:val="0"/>
    <w:pPr>
      <w:tabs>
        <w:tab w:val="right" w:leader="dot" w:pos="8296"/>
      </w:tabs>
      <w:ind w:left="400" w:leftChars="400"/>
    </w:pPr>
  </w:style>
  <w:style w:type="paragraph" w:styleId="7">
    <w:name w:val="Balloon Text"/>
    <w:basedOn w:val="1"/>
    <w:uiPriority w:val="0"/>
    <w:rPr>
      <w:sz w:val="18"/>
      <w:szCs w:val="18"/>
    </w:rPr>
  </w:style>
  <w:style w:type="paragraph" w:styleId="8">
    <w:name w:val="footer"/>
    <w:basedOn w:val="1"/>
    <w:uiPriority w:val="0"/>
    <w:pPr>
      <w:tabs>
        <w:tab w:val="center" w:pos="4153"/>
        <w:tab w:val="right" w:pos="8306"/>
      </w:tabs>
      <w:snapToGrid w:val="0"/>
      <w:jc w:val="left"/>
    </w:pPr>
    <w:rPr>
      <w:rFonts w:ascii="Calibri" w:hAnsi="Calibri"/>
      <w:kern w:val="0"/>
      <w:sz w:val="18"/>
      <w:szCs w:val="18"/>
    </w:rPr>
  </w:style>
  <w:style w:type="paragraph" w:styleId="9">
    <w:name w:val="header"/>
    <w:basedOn w:val="1"/>
    <w:uiPriority w:val="0"/>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iPriority w:val="0"/>
    <w:pPr>
      <w:tabs>
        <w:tab w:val="right" w:leader="dot" w:pos="8296"/>
      </w:tabs>
      <w:spacing w:before="93"/>
      <w:jc w:val="center"/>
    </w:pPr>
    <w:rPr>
      <w:rFonts w:ascii="仿宋" w:eastAsia="仿宋"/>
      <w:sz w:val="28"/>
      <w:szCs w:val="28"/>
    </w:rPr>
  </w:style>
  <w:style w:type="paragraph" w:styleId="11">
    <w:name w:val="toc 2"/>
    <w:basedOn w:val="1"/>
    <w:next w:val="1"/>
    <w:uiPriority w:val="0"/>
    <w:pPr>
      <w:tabs>
        <w:tab w:val="right" w:leader="dot" w:pos="8296"/>
      </w:tabs>
      <w:ind w:left="200" w:leftChars="200"/>
    </w:pPr>
  </w:style>
  <w:style w:type="character" w:styleId="14">
    <w:name w:val="Strong"/>
    <w:basedOn w:val="13"/>
    <w:uiPriority w:val="0"/>
    <w:rPr>
      <w:b/>
    </w:rPr>
  </w:style>
  <w:style w:type="character" w:styleId="15">
    <w:name w:val="Hyperlink"/>
    <w:basedOn w:val="13"/>
    <w:uiPriority w:val="0"/>
    <w:rPr>
      <w:color w:val="0000FF"/>
      <w:u w:val="single"/>
    </w:rPr>
  </w:style>
  <w:style w:type="character" w:customStyle="1" w:styleId="16">
    <w:name w:val="heading 1 Char"/>
    <w:basedOn w:val="13"/>
    <w:link w:val="2"/>
    <w:qFormat/>
    <w:uiPriority w:val="0"/>
    <w:rPr>
      <w:rFonts w:ascii="Times New Roman" w:hAnsi="Times New Roman" w:eastAsia="宋体" w:cs="Times New Roman"/>
      <w:b/>
      <w:bCs/>
      <w:kern w:val="44"/>
      <w:sz w:val="44"/>
      <w:szCs w:val="44"/>
      <w:lang w:val="en-US" w:eastAsia="zh-CN" w:bidi="ar-SA"/>
    </w:rPr>
  </w:style>
  <w:style w:type="character" w:customStyle="1" w:styleId="17">
    <w:name w:val="heading 2 Char"/>
    <w:basedOn w:val="13"/>
    <w:link w:val="3"/>
    <w:qFormat/>
    <w:uiPriority w:val="0"/>
    <w:rPr>
      <w:rFonts w:ascii="Cambria" w:hAnsi="Cambria" w:eastAsia="宋体" w:cs="Times New Roman"/>
      <w:b/>
      <w:bCs/>
      <w:kern w:val="2"/>
      <w:sz w:val="32"/>
      <w:szCs w:val="32"/>
      <w:lang w:val="en-US" w:eastAsia="zh-CN" w:bidi="ar-SA"/>
    </w:rPr>
  </w:style>
  <w:style w:type="character" w:customStyle="1" w:styleId="18">
    <w:name w:val="Header Char"/>
    <w:basedOn w:val="13"/>
    <w:uiPriority w:val="0"/>
    <w:rPr>
      <w:rFonts w:ascii="Times New Roman" w:hAnsi="Times New Roman"/>
      <w:sz w:val="18"/>
      <w:szCs w:val="18"/>
    </w:rPr>
  </w:style>
  <w:style w:type="character" w:customStyle="1" w:styleId="19">
    <w:name w:val="Footer Char"/>
    <w:basedOn w:val="13"/>
    <w:uiPriority w:val="0"/>
    <w:rPr>
      <w:rFonts w:ascii="Times New Roman" w:hAnsi="Times New Roman"/>
      <w:sz w:val="18"/>
      <w:szCs w:val="18"/>
    </w:rPr>
  </w:style>
  <w:style w:type="character" w:customStyle="1" w:styleId="20">
    <w:name w:val="Body Text Char"/>
    <w:basedOn w:val="13"/>
    <w:uiPriority w:val="0"/>
    <w:rPr>
      <w:rFonts w:ascii="Times New Roman" w:hAnsi="Times New Roman"/>
      <w:szCs w:val="24"/>
    </w:rPr>
  </w:style>
  <w:style w:type="paragraph" w:customStyle="1" w:styleId="21">
    <w:name w:val="Default"/>
    <w:uiPriority w:val="0"/>
    <w:pPr>
      <w:widowControl w:val="0"/>
      <w:autoSpaceDE w:val="0"/>
      <w:autoSpaceDN w:val="0"/>
      <w:adjustRightInd w:val="0"/>
    </w:pPr>
    <w:rPr>
      <w:rFonts w:ascii="仿宋" w:hAnsi="Times New Roman" w:eastAsia="仿宋" w:cs="仿宋"/>
      <w:color w:val="000000"/>
      <w:sz w:val="24"/>
      <w:szCs w:val="24"/>
      <w:lang w:val="en-US" w:eastAsia="zh-CN" w:bidi="ar-SA"/>
    </w:rPr>
  </w:style>
  <w:style w:type="paragraph" w:styleId="22">
    <w:name w:val="List Paragraph"/>
    <w:basedOn w:val="1"/>
    <w:uiPriority w:val="0"/>
    <w:pPr>
      <w:ind w:firstLine="200" w:firstLineChars="200"/>
    </w:pPr>
  </w:style>
  <w:style w:type="paragraph" w:customStyle="1" w:styleId="23">
    <w:name w:val="TOC 标题1"/>
    <w:basedOn w:val="2"/>
    <w:next w:val="1"/>
    <w:uiPriority w:val="0"/>
    <w:pPr>
      <w:keepNext/>
      <w:keepLines/>
      <w:widowControl/>
      <w:spacing w:before="480" w:after="0" w:line="276" w:lineRule="auto"/>
      <w:jc w:val="left"/>
      <w:outlineLvl w:val="9"/>
    </w:pPr>
    <w:rPr>
      <w:rFonts w:ascii="Cambria" w:hAnsi="Cambria" w:eastAsia="宋体" w:cs="Times New Roman"/>
      <w:color w:val="366091"/>
      <w:kern w:val="0"/>
      <w:sz w:val="28"/>
      <w:szCs w:val="2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Normal.eit</Template>
  <Company>四川省财政厅</Company>
  <Pages>43</Pages>
  <Words>17613</Words>
  <Characters>18715</Characters>
  <Lines>1460</Lines>
  <Paragraphs>634</Paragraphs>
  <TotalTime>30</TotalTime>
  <ScaleCrop>false</ScaleCrop>
  <LinksUpToDate>false</LinksUpToDate>
  <CharactersWithSpaces>18826</CharactersWithSpaces>
  <Application>WPS Office_11.1.0.12358_F1E327BC-269C-435d-A152-05C5408002CA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2019-08-01T01:14:00Z</dcterms:created>
  <dc:creator>张彬茜</dc:creator>
  <cp:lastModifiedBy>lenovo</cp:lastModifiedBy>
  <cp:lastPrinted>2019-08-01T00:48:00Z</cp:lastPrinted>
  <dcterms:modified xsi:type="dcterms:W3CDTF">2022-10-08T07:01:17Z</dcterms:modified>
  <dc:title>四川省***</dc:title>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7802C99E0F0C4CB3B91F45186C728239</vt:lpwstr>
  </property>
</Properties>
</file>