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四川省达川区石桥中学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关于2023年开展单位整体</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支出绩效评价的报告</w:t>
      </w:r>
    </w:p>
    <w:p>
      <w:pPr>
        <w:pStyle w:val="2"/>
        <w:rPr>
          <w:rFonts w:hint="default" w:ascii="Times New Roman" w:hAnsi="Times New Roman" w:cs="Times New Roman"/>
        </w:rPr>
      </w:pPr>
    </w:p>
    <w:p>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default" w:ascii="Times New Roman" w:hAnsi="Times New Roman" w:eastAsia="方正黑体简体" w:cs="Times New Roman"/>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简体"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简体" w:cs="Times New Roman"/>
          <w:color w:val="000000" w:themeColor="text1"/>
          <w:kern w:val="0"/>
          <w:sz w:val="32"/>
          <w:szCs w:val="32"/>
          <w:shd w:val="clear" w:color="auto" w:fill="FFFFFF"/>
          <w:lang w:val="en-US" w:eastAsia="zh-CN"/>
          <w14:textFill>
            <w14:solidFill>
              <w14:schemeClr w14:val="tx1"/>
            </w14:solidFill>
          </w14:textFill>
        </w:rPr>
        <w:t>一、</w:t>
      </w:r>
      <w:r>
        <w:rPr>
          <w:rFonts w:hint="default" w:ascii="Times New Roman" w:hAnsi="Times New Roman" w:eastAsia="方正黑体简体" w:cs="Times New Roman"/>
          <w:color w:val="000000" w:themeColor="text1"/>
          <w:kern w:val="0"/>
          <w:sz w:val="32"/>
          <w:szCs w:val="32"/>
          <w:shd w:val="clear" w:color="auto" w:fill="FFFFFF"/>
          <w14:textFill>
            <w14:solidFill>
              <w14:schemeClr w14:val="tx1"/>
            </w14:solidFill>
          </w14:textFill>
        </w:rPr>
        <w:t>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rPr>
      </w:pPr>
      <w:r>
        <w:rPr>
          <w:rFonts w:hint="eastAsia"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（一）</w:t>
      </w: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机构组成。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达州市达川区石桥中学单位是达川区一级预算单位。属行政单事业单位，内设主要机构8个，分别是办公室教务处、政教处、安办、总务处、教科室、团委等。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eastAsia"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（二）</w:t>
      </w: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机构职能。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根据达州市达川区三定方案，我单位的主要职能职责为：以“诚信﹒友善”为文化核心，以培养学生“德才兼备，博学多能”为目标，发扬“诚信、奉献”的精神。学校经常开展感恩、诚信、礼仪、廉洁自律、法律安全等教育活动，孩子们乐学积极向上，教职工求真友善，受到社会各界人士的好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（三）人员概况。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根据组织部（人社局）等相关编制批复文件，核定我单位事业编制205名；截至2022年年末实有在职人员224人，其中：事业编制224人。退休人员为74人，遗属10人。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简体"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简体" w:cs="Times New Roman"/>
          <w:color w:val="000000" w:themeColor="text1"/>
          <w:kern w:val="0"/>
          <w:sz w:val="32"/>
          <w:szCs w:val="32"/>
          <w:shd w:val="clear" w:color="auto" w:fill="FFFFFF"/>
          <w14:textFill>
            <w14:solidFill>
              <w14:schemeClr w14:val="tx1"/>
            </w14:solidFill>
          </w14:textFill>
        </w:rPr>
        <w:t>二、部门财政资金收支情况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rPr>
      </w:pPr>
      <w:r>
        <w:rPr>
          <w:rFonts w:hint="eastAsia"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（一）</w:t>
      </w: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部门财政资金收入情况</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2022年年初预算收入3025.85万元，年初结转和结余0万元，年中追加预算0万元，年终决算收入3025.85万元。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eastAsia"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（二）</w:t>
      </w:r>
      <w:bookmarkStart w:id="0" w:name="_GoBack"/>
      <w:bookmarkEnd w:id="0"/>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部门财政资金支出情况。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2022年决算总支出3025.85万元，基本支出3025.85万元（人员经费支出2796.5万元，公用经费支出229.35万元），项目支出0万元。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（三）部门财政收入结转结余情况。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2022年年末财政拨款结转和结余0万元。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简体"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简体" w:cs="Times New Roman"/>
          <w:color w:val="000000" w:themeColor="text1"/>
          <w:kern w:val="0"/>
          <w:sz w:val="32"/>
          <w:szCs w:val="32"/>
          <w:shd w:val="clear" w:color="auto" w:fill="FFFFFF"/>
          <w14:textFill>
            <w14:solidFill>
              <w14:schemeClr w14:val="tx1"/>
            </w14:solidFill>
          </w14:textFill>
        </w:rPr>
        <w:t>三、部门整体预算绩效管理情况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(一)总体工作情况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rPr>
      </w:pPr>
      <w:r>
        <w:rPr>
          <w:rFonts w:hint="default" w:ascii="Times New Roman" w:hAnsi="Times New Roman" w:eastAsia="方正仿宋简体" w:cs="Times New Roman"/>
          <w:kern w:val="0"/>
          <w:sz w:val="32"/>
          <w:szCs w:val="32"/>
        </w:rPr>
        <w:t>2022年，我单位设定的总体工作目标为全面贯彻教育方针使学生全面发展；建设合格的教师队伍，提高教师教学能力。2022年年终各项工作任务均全面完成，完成质量较好。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(二)部门预算管理情况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2022年，我单位的部门预算管理工作有序开展，现结合整体支出绩效评价指标体系，将主要情况总结如下: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15分，自评得分14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2.在“目标实现”方面，我单位2022年共1个部门预算项目，该项指标分值为15分，自评得分14分。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3.在“支出控制”方面，我单位2022年日常公用经费、项目支出中“办公费、印刷费、水费、电费、物业管理费”年初预算额229.35万元，年末决算数229.35万元，偏差度0%。该项指标分值为5分，年初预算数与决算数偏差程度在10%以内的，自评得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4.在“及时处置”方面，该项指标分值为10分，指标自评得分9分。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5.在“执行进度”方面，根据系统提取数据显示，我单位2022年6月、9月、11月执行进度分别为40%、67%、82.5%. 该项指标分值为5分，按其实际进度占目标进度的比重计算得分4分。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6.在“预算完成”方面，部门预算项目年末预算执行进度90%。该项指标分值为10分，按照实际进度量化计算得分9分。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7.在“资金结余率”方面，我单位部门预算项目共1项，资金余率小于0.1的项目数1项。该项指标分值为5分，按照相应量化计算得分5分。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8.在违规记录上，我单位2022年没有出现部门预算管理方面违纪违规问题。该项指标分值为5分，自评得分5分。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（三）专项预算管理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1.专项绩效的预算情况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2022年度共有1个项目，含0个追加项目，主要专项绩效预算情况为：1、营养餐项目105.45万元，全年目标为完成全年营养餐工作任务，已完成100%。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2.专项绩效的执行情况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绩效目标项目年初有1个，开展绩效评价项目1个，开展自评项目数1个，完成绩效评价数1个；应填报绩效目标的项目数1个（年中追加0个）、应开展绩效监控的项目1个和应开展绩效自评项目1个，应完成绩效工作数为1个。1个项目执行达100%的项目1项。项目综合完成率为100%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专项预算管理分值为40分，自评得分为38.4分。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(四)结果应用情况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在“预算挂钩”方面，我单位已出台全面实施预算绩效管理工作方案，细化考核内容，加强各业务股室与绩效管理工作的联系，明确考核及绩效结果与专项预算安排挂钩举措，推动绩效管理工作更好的实施。该项指标分值为6分，自评得分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在“自评公开”方面，我单位严格按照预决算编制要求编制绩效目标，填列绩效目标完成情况，开展绩效自评工作，并按要求将相关绩效信息随部门预算决一并在厅门户网站公开。该项指.标分值为4分，自评得分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3.在“问题整改”方面，结合部门预算项目实际情况，绩效目标设置要素完整也基本做到细化量化;对发现执行进度偏低的项目，要求各办公室加快预算执行进度;针对我单位原内部考核办法有关预算绩效考核的内容不够完善且难以量化考核的情况，及时完善了相关考核办法，细化考核指标。该项指标分值为5分，自评得分4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4.在应用反馈上，我单位已按要求在规定时间内将预算绩效结果应用结果向财政反馈。该项指标分值为5分，自评得分5分。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(五)自评质量情况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我单位整体支出自评准确率较高，且全面开展自评。自评质量分值为10分，由主管部门、财政部门考评，单位自评实际总分为90分。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rPr>
      </w:pPr>
      <w:r>
        <w:rPr>
          <w:rFonts w:hint="default" w:ascii="Times New Roman" w:hAnsi="Times New Roman" w:eastAsia="方正仿宋简体" w:cs="Times New Roman"/>
          <w:kern w:val="0"/>
          <w:sz w:val="32"/>
          <w:szCs w:val="32"/>
        </w:rPr>
        <w:t>2022年我单位整体支出绩效自评得分实际为81分</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简体"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简体" w:cs="Times New Roman"/>
          <w:color w:val="000000" w:themeColor="text1"/>
          <w:kern w:val="0"/>
          <w:sz w:val="32"/>
          <w:szCs w:val="32"/>
          <w:shd w:val="clear" w:color="auto" w:fill="FFFFFF"/>
          <w14:textFill>
            <w14:solidFill>
              <w14:schemeClr w14:val="tx1"/>
            </w14:solidFill>
          </w14:textFill>
        </w:rPr>
        <w:t>四、评价结论及建议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(一)评价结论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rPr>
      </w:pPr>
      <w:r>
        <w:rPr>
          <w:rFonts w:hint="default" w:ascii="Times New Roman" w:hAnsi="Times New Roman" w:eastAsia="方正仿宋简体" w:cs="Times New Roman"/>
          <w:kern w:val="0"/>
          <w:sz w:val="32"/>
          <w:szCs w:val="32"/>
        </w:rPr>
        <w:t>按照2022年度区级部门整体支出绩效评价指标体系，绩效评价总分90分，我单位得分81分（详见《2023年整体支出绩效评价指标体系表》）。基本完成了年度预算绩效管理目标，扣分项主要涉及预算调整金额偏大和个别时间节点预算执行进度不高。</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rPr>
        <w:t>一是预算执行进度仍需提高。在 2022年采取了一系列加快预算执行进度的措施，预算执行情况有所改善，但由于疫情影响设备采购和政府采购程序较繁杂等原因，预算实际执行进度距预算执行目标进度的要求还是有一定距离，预算执行还需要提高。</w:t>
      </w:r>
      <w:r>
        <w:rPr>
          <w:rFonts w:hint="default" w:ascii="Times New Roman" w:hAnsi="Times New Roman" w:eastAsia="方正仿宋简体" w:cs="Times New Roman"/>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二是部分预算项目绩效目标编制不完善。在编制绩效目标时，未根据自身项目情况考虑周到，造成该项目绩效目标完成存在一定困难。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shd w:val="clear" w:color="auto" w:fill="FFFFFF"/>
          <w:lang w:val="zh-CN"/>
          <w14:textFill>
            <w14:solidFill>
              <w14:schemeClr w14:val="tx1"/>
            </w14:solidFill>
          </w14:textFill>
        </w:rPr>
        <w:t>(三)改进措施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1．进一步提高预算执行能力 ：一是杜绝“重预算轻执行”的思想，抓紧前期项目准备工作、 优化项目组织实施、加快项目验收。加强各单位预算执行管理监督考核，对资金使用和项目实施情况等进行监督管理，进一步提高预算执行力。二是及时对存量资金进行调整，盘活存量资金。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 xml:space="preserve">2．进一步强化单位预算绩效管理能力 ：加大力度做好预算编制基础工作，通过科学化、标准化、 精细化编制预算，从源头上增强预算执行的刚性和效果。加强部门预算编制与执行的有机结合，切实提高预算的年初到位率，规范预算追加。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3．进一步加强队伍能力建设 ：强化业务培训，提高预算编制的科学化和精细化程度。在财政部门的指导下，定期组织开展预算编制培训工作，增强财务人员预算精细化管理的意识，提高预算精细化管理的能力。</w:t>
      </w:r>
    </w:p>
    <w:p>
      <w:pPr>
        <w:keepNext w:val="0"/>
        <w:keepLines w:val="0"/>
        <w:pageBreakBefore w:val="0"/>
        <w:kinsoku/>
        <w:wordWrap/>
        <w:overflowPunct/>
        <w:topLinePunct w:val="0"/>
        <w:autoSpaceDE/>
        <w:autoSpaceDN/>
        <w:bidi w:val="0"/>
        <w:spacing w:line="578" w:lineRule="exact"/>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autoSpaceDE/>
        <w:autoSpaceDN/>
        <w:bidi w:val="0"/>
        <w:spacing w:line="578" w:lineRule="exact"/>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autoSpaceDE/>
        <w:autoSpaceDN/>
        <w:bidi w:val="0"/>
        <w:spacing w:line="578" w:lineRule="exact"/>
        <w:jc w:val="righ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 xml:space="preserve">    四川省达川区石桥中学</w:t>
      </w:r>
    </w:p>
    <w:p>
      <w:pPr>
        <w:keepNext w:val="0"/>
        <w:keepLines w:val="0"/>
        <w:pageBreakBefore w:val="0"/>
        <w:kinsoku/>
        <w:wordWrap/>
        <w:overflowPunct/>
        <w:topLinePunct w:val="0"/>
        <w:autoSpaceDE/>
        <w:autoSpaceDN/>
        <w:bidi w:val="0"/>
        <w:spacing w:line="578" w:lineRule="exact"/>
        <w:jc w:val="righ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2023年3月 29 日</w:t>
      </w:r>
    </w:p>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冬季の恋歌">
    <w:panose1 w:val="02000500000000000000"/>
    <w:charset w:val="86"/>
    <w:family w:val="auto"/>
    <w:pitch w:val="default"/>
    <w:sig w:usb0="A00002BF" w:usb1="18CF7CFB"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C52F4"/>
    <w:multiLevelType w:val="singleLevel"/>
    <w:tmpl w:val="1E4C52F4"/>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E5Mzc2YjQyYjkyOTE3NDY0Yjg4ZjFkNDJiNWYifQ=="/>
  </w:docVars>
  <w:rsids>
    <w:rsidRoot w:val="2A917B34"/>
    <w:rsid w:val="11DC45A3"/>
    <w:rsid w:val="29E15667"/>
    <w:rsid w:val="2A91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snapToGrid w:val="0"/>
      <w:jc w:val="left"/>
    </w:pPr>
    <w:rPr>
      <w:rFonts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2566</Words>
  <Characters>2733</Characters>
  <Lines>0</Lines>
  <Paragraphs>0</Paragraphs>
  <TotalTime>19</TotalTime>
  <ScaleCrop>false</ScaleCrop>
  <LinksUpToDate>false</LinksUpToDate>
  <CharactersWithSpaces>2753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2013-01-03T11:28:00Z</dcterms:created>
  <dc:creator>8Fhys</dc:creator>
  <cp:lastModifiedBy>蓝色永恒</cp:lastModifiedBy>
  <dcterms:modified xsi:type="dcterms:W3CDTF">2023-04-18T04:48:01Z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90037D9687D54125A672A2185BFB7B6A</vt:lpwstr>
  </property>
</Properties>
</file>