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黑体" w:hAnsi="黑体" w:eastAsia="黑体" w:cs="黑体"/>
          <w:szCs w:val="32"/>
        </w:rPr>
      </w:pP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达州市达川区残疾人联合会</w:t>
      </w: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关于2023年开展部门整体</w:t>
      </w:r>
    </w:p>
    <w:p>
      <w:pPr>
        <w:widowControl/>
        <w:spacing w:line="580" w:lineRule="exact"/>
        <w:contextualSpacing/>
        <w:jc w:val="center"/>
        <w:rPr>
          <w:rFonts w:ascii="宋体" w:hAnsi="宋体" w:eastAsia="宋体"/>
          <w:b/>
          <w:sz w:val="44"/>
          <w:szCs w:val="44"/>
          <w:shd w:val="clear" w:color="auto" w:fill="FFFFFF"/>
        </w:rPr>
      </w:pPr>
      <w:r>
        <w:rPr>
          <w:rFonts w:hint="eastAsia" w:ascii="宋体" w:hAnsi="宋体" w:eastAsia="宋体"/>
          <w:b/>
          <w:sz w:val="44"/>
          <w:szCs w:val="44"/>
          <w:shd w:val="clear" w:color="auto" w:fill="FFFFFF"/>
        </w:rPr>
        <w:t>支出绩效评价的报告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lang w:val="zh-CN"/>
        </w:rPr>
      </w:pPr>
      <w:r>
        <w:rPr>
          <w:rFonts w:hint="eastAsia" w:ascii="黑体" w:hAnsi="宋体" w:eastAsia="黑体" w:cs="宋体"/>
          <w:color w:val="000000"/>
          <w:kern w:val="0"/>
          <w:szCs w:val="32"/>
          <w:shd w:val="clear" w:color="auto" w:fill="FFFFFF"/>
        </w:rPr>
        <w:t>一、</w:t>
      </w:r>
      <w:r>
        <w:rPr>
          <w:rFonts w:hint="eastAsia" w:ascii="黑体" w:hAnsi="宋体" w:eastAsia="黑体" w:cs="宋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达州市达川区残疾人联合会属参公管理的一级预算单位，下属事业单位2个：达州市达川区残疾人康复中心和达州市达川区残疾人劳动就业服务所。达州市达川区残疾人联合会按照“三定方案”，内设机构6个，分别为办公室、康复股、教育就业股、维权股、组织宣传股、行政审批股。</w:t>
      </w:r>
    </w:p>
    <w:p>
      <w:pPr>
        <w:widowControl/>
        <w:numPr>
          <w:ilvl w:val="0"/>
          <w:numId w:val="1"/>
        </w:numPr>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机构职能。</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（1）按照《中国残疾人联合会章程》，在区委、区政府的领导和市残联的指导下开展工作，发展全区残疾人事业。</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（2）听取残疾人意见，反映残疾人需求，维护残疾人权益，为残疾人服务。</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（3）团结、教育残疾人遵纪守法，履行应尽义务，发扬乐观进取精神，自尊、自信、自强、自立，为社会主义现代化建设贡献力量。</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（4）弘扬人道主义，宣传残疾人事业，沟通政府、社会与残疾人之间的联系，动员社会理解、尊重、关心、帮助残疾人。</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（5）开展残疾人康复、教育、劳动就业、扶贫、文化、体育、用品用具供应、福利、社会服务、无障碍设施和残疾预防等工作，创造良好环境和条件，扶助残疾人平等参与社会生活。</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（6）协助政府研究、制定和实施残疾人事业发展规划，对有关业务领域进行指导管理。</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(7)承担区政府残疾人工作委员会工作，做好综合、组织、协调和服务。</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（8）负责对各类残疾人社会团体组织进行监督管理。</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（9）开展对残疾人事业的区内外交流与合作。</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（10）承担政府交办的其他工作。</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1、下达编制情况。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2022年末，残联人员编制48名，其中：参公人员1</w:t>
      </w:r>
      <w:r>
        <w:rPr>
          <w:rFonts w:hint="eastAsia" w:ascii="仿宋_GB2312" w:hAnsi="宋体" w:cs="宋体"/>
          <w:color w:val="000000"/>
          <w:kern w:val="0"/>
          <w:szCs w:val="32"/>
          <w:shd w:val="clear" w:color="auto" w:fill="FFFFFF"/>
        </w:rPr>
        <w:t>6</w:t>
      </w:r>
      <w:r>
        <w:rPr>
          <w:rFonts w:hint="eastAsia" w:ascii="仿宋_GB2312" w:hAnsi="宋体" w:cs="宋体"/>
          <w:color w:val="000000"/>
          <w:kern w:val="0"/>
          <w:szCs w:val="32"/>
          <w:shd w:val="clear" w:color="auto" w:fill="FFFFFF"/>
          <w:lang w:val="zh-CN"/>
        </w:rPr>
        <w:t>人，事业编制人员</w:t>
      </w:r>
      <w:r>
        <w:rPr>
          <w:rFonts w:hint="eastAsia" w:ascii="仿宋_GB2312" w:hAnsi="宋体" w:cs="宋体"/>
          <w:color w:val="000000"/>
          <w:kern w:val="0"/>
          <w:szCs w:val="32"/>
          <w:shd w:val="clear" w:color="auto" w:fill="FFFFFF"/>
        </w:rPr>
        <w:t>32</w:t>
      </w:r>
      <w:r>
        <w:rPr>
          <w:rFonts w:hint="eastAsia" w:ascii="仿宋_GB2312" w:hAnsi="宋体" w:cs="宋体"/>
          <w:color w:val="000000"/>
          <w:kern w:val="0"/>
          <w:szCs w:val="32"/>
          <w:shd w:val="clear" w:color="auto" w:fill="FFFFFF"/>
          <w:lang w:val="zh-CN"/>
        </w:rPr>
        <w:t>人。</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2、年末实有人员。</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2022年末，实有在职人数48人，其中参公人员1</w:t>
      </w:r>
      <w:r>
        <w:rPr>
          <w:rFonts w:hint="eastAsia" w:ascii="仿宋_GB2312" w:hAnsi="宋体" w:cs="宋体"/>
          <w:color w:val="000000"/>
          <w:kern w:val="0"/>
          <w:szCs w:val="32"/>
          <w:shd w:val="clear" w:color="auto" w:fill="FFFFFF"/>
        </w:rPr>
        <w:t>6</w:t>
      </w:r>
      <w:r>
        <w:rPr>
          <w:rFonts w:hint="eastAsia" w:ascii="仿宋_GB2312" w:hAnsi="宋体" w:cs="宋体"/>
          <w:color w:val="000000"/>
          <w:kern w:val="0"/>
          <w:szCs w:val="32"/>
          <w:shd w:val="clear" w:color="auto" w:fill="FFFFFF"/>
          <w:lang w:val="zh-CN"/>
        </w:rPr>
        <w:t>人，事业编制人员3</w:t>
      </w:r>
      <w:r>
        <w:rPr>
          <w:rFonts w:hint="eastAsia" w:ascii="仿宋_GB2312" w:hAnsi="宋体" w:cs="宋体"/>
          <w:color w:val="000000"/>
          <w:kern w:val="0"/>
          <w:szCs w:val="32"/>
          <w:shd w:val="clear" w:color="auto" w:fill="FFFFFF"/>
        </w:rPr>
        <w:t>2</w:t>
      </w:r>
      <w:r>
        <w:rPr>
          <w:rFonts w:hint="eastAsia" w:ascii="仿宋_GB2312" w:hAnsi="宋体" w:cs="宋体"/>
          <w:color w:val="000000"/>
          <w:kern w:val="0"/>
          <w:szCs w:val="32"/>
          <w:shd w:val="clear" w:color="auto" w:fill="FFFFFF"/>
          <w:lang w:val="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残联2022年收入预算总额1,863.07万元，其中：当年收入总额1,151.41万元，年初结转结余711.65万元（残疾人事业495.66万元、彩票公益金安排的支出216.00万元）。</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2022年残联本级本年支出1,151.41万元，其中：基本支出716.50万元（人员经费657.94万元和日常公用经费58.56万元），项目支出434.91万元。</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三、</w:t>
      </w:r>
      <w:r>
        <w:rPr>
          <w:rFonts w:hint="eastAsia" w:ascii="黑体" w:hAnsi="宋体" w:eastAsia="黑体" w:cs="宋体"/>
          <w:color w:val="000000" w:themeColor="text1"/>
          <w:kern w:val="0"/>
          <w:szCs w:val="32"/>
          <w:shd w:val="clear" w:color="auto" w:fill="FFFFFF"/>
        </w:rPr>
        <w:t>部门整体预算绩效管理情况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color w:val="000000"/>
          <w:kern w:val="0"/>
          <w:szCs w:val="32"/>
          <w:shd w:val="clear" w:color="auto" w:fill="FFFFFF"/>
          <w:lang w:val="zh-CN"/>
        </w:rPr>
        <w:t>（一）</w:t>
      </w:r>
      <w:r>
        <w:rPr>
          <w:rFonts w:hint="eastAsia" w:ascii="仿宋_GB2312" w:hAnsi="宋体" w:cs="宋体"/>
          <w:kern w:val="0"/>
          <w:szCs w:val="32"/>
          <w:shd w:val="clear" w:color="auto" w:fill="FFFFFF"/>
          <w:lang w:val="zh-CN"/>
        </w:rPr>
        <w:t>总体工作情况</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年，我单位设定的总体工作目标</w:t>
      </w:r>
      <w:r>
        <w:rPr>
          <w:rFonts w:hint="eastAsia" w:ascii="仿宋_GB2312" w:hAnsi="宋体" w:cs="宋体"/>
          <w:kern w:val="0"/>
          <w:szCs w:val="32"/>
          <w:shd w:val="clear" w:color="auto" w:fill="FFFFFF"/>
        </w:rPr>
        <w:t>为：预算经费支出总计566.98万元，主要是基本支出539.98万元、项目支出27万元。基本支出主要确保残联系统正常运行，保障残联系统全体职工工资、社保等基本支出，促进残联系统健康发展，持续保障残疾人各项权益；项目支出主要1.残疾人专项救助4万，对当年困难残疾人提供临时性救助，2.“智慧量服”手持终端资费项目20万元，主要开通量服宽带专线一条、开通量服办公邮电通讯11台，为360名残疾人工作者配备手持终端等通信工具，以便更便捷为全区残疾人服务，3.助残维权维稳资金项目3万元，主要为急迫需求残疾人提供入户、核查、维权等服务，增强残疾人政策法规知晓度、透明度，及时解决残疾人需求，促进社会和谐，维护社会稳定。</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年年终各项工作任务均全面完成，完成质量均达到年初预算目标任务要求。</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年，达川区残联的部门预算管理工作有序开展，现结合整体支出绩效评价指标体系，将主要情况总结如下: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1.在“目标制定”方面，残联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w:t>
      </w:r>
      <w:r>
        <w:rPr>
          <w:rFonts w:hint="eastAsia" w:ascii="仿宋_GB2312" w:hAnsi="宋体" w:cs="宋体"/>
          <w:kern w:val="0"/>
          <w:szCs w:val="32"/>
          <w:u w:val="single"/>
          <w:shd w:val="clear" w:color="auto" w:fill="FFFFFF"/>
          <w:lang w:val="zh-CN"/>
        </w:rPr>
        <w:t>分</w:t>
      </w:r>
      <w:r>
        <w:rPr>
          <w:rFonts w:hint="eastAsia" w:ascii="仿宋_GB2312" w:hAnsi="宋体" w:cs="宋体"/>
          <w:kern w:val="0"/>
          <w:szCs w:val="32"/>
          <w:u w:val="single"/>
          <w:shd w:val="clear" w:color="auto" w:fill="FFFFFF"/>
        </w:rPr>
        <w:t>5</w:t>
      </w:r>
      <w:r>
        <w:rPr>
          <w:rFonts w:hint="eastAsia" w:ascii="仿宋_GB2312" w:hAnsi="宋体" w:cs="宋体"/>
          <w:kern w:val="0"/>
          <w:szCs w:val="32"/>
          <w:u w:val="single"/>
          <w:shd w:val="clear" w:color="auto" w:fill="FFFFFF"/>
          <w:lang w:val="zh-CN"/>
        </w:rPr>
        <w:t>分</w:t>
      </w:r>
      <w:r>
        <w:rPr>
          <w:rFonts w:hint="eastAsia" w:ascii="仿宋_GB2312" w:hAnsi="宋体" w:cs="宋体"/>
          <w:kern w:val="0"/>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2.在“目标实现”方面，我单位202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年共</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个部门预算项目，均属于特定目标类项目。部门所有纳入绩效目标管理的部门预算项目中涉及数量指标共计</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个，已完成数量为</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个。该项指标分值为10分，自评得分</w:t>
      </w:r>
      <w:r>
        <w:rPr>
          <w:rFonts w:hint="eastAsia" w:ascii="仿宋_GB2312" w:hAnsi="宋体" w:cs="宋体"/>
          <w:kern w:val="0"/>
          <w:szCs w:val="32"/>
          <w:u w:val="single"/>
          <w:shd w:val="clear" w:color="auto" w:fill="FFFFFF"/>
        </w:rPr>
        <w:t>10</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kern w:val="0"/>
          <w:szCs w:val="32"/>
          <w:shd w:val="clear" w:color="auto" w:fill="FFFFFF"/>
          <w:lang w:val="zh-CN"/>
        </w:rPr>
        <w:t>3.在“支出控制”方面，我单位202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年日常公用经费、项目</w:t>
      </w:r>
      <w:r>
        <w:rPr>
          <w:rFonts w:hint="eastAsia" w:ascii="仿宋_GB2312" w:hAnsi="宋体" w:cs="宋体"/>
          <w:color w:val="000000" w:themeColor="text1"/>
          <w:kern w:val="0"/>
          <w:szCs w:val="32"/>
          <w:shd w:val="clear" w:color="auto" w:fill="FFFFFF"/>
          <w:lang w:val="zh-CN"/>
        </w:rPr>
        <w:t>支出中“办公费、印刷费、水费、电费、物业管理费”年初预算额</w:t>
      </w:r>
      <w:r>
        <w:rPr>
          <w:rFonts w:hint="eastAsia" w:ascii="仿宋_GB2312" w:hAnsi="宋体" w:cs="宋体"/>
          <w:color w:val="000000" w:themeColor="text1"/>
          <w:kern w:val="0"/>
          <w:szCs w:val="32"/>
          <w:shd w:val="clear" w:color="auto" w:fill="FFFFFF"/>
        </w:rPr>
        <w:t>16.48</w:t>
      </w:r>
      <w:r>
        <w:rPr>
          <w:rFonts w:hint="eastAsia" w:ascii="仿宋_GB2312" w:hAnsi="宋体" w:cs="宋体"/>
          <w:color w:val="000000" w:themeColor="text1"/>
          <w:kern w:val="0"/>
          <w:szCs w:val="32"/>
          <w:shd w:val="clear" w:color="auto" w:fill="FFFFFF"/>
          <w:lang w:val="zh-CN"/>
        </w:rPr>
        <w:t>万元，年末决算数</w:t>
      </w:r>
      <w:r>
        <w:rPr>
          <w:rFonts w:hint="eastAsia" w:ascii="仿宋_GB2312" w:hAnsi="宋体" w:cs="宋体"/>
          <w:color w:val="000000" w:themeColor="text1"/>
          <w:kern w:val="0"/>
          <w:szCs w:val="32"/>
          <w:shd w:val="clear" w:color="auto" w:fill="FFFFFF"/>
        </w:rPr>
        <w:t>9.81</w:t>
      </w:r>
      <w:r>
        <w:rPr>
          <w:rFonts w:hint="eastAsia" w:ascii="仿宋_GB2312" w:hAnsi="宋体" w:cs="宋体"/>
          <w:color w:val="000000" w:themeColor="text1"/>
          <w:kern w:val="0"/>
          <w:szCs w:val="32"/>
          <w:shd w:val="clear" w:color="auto" w:fill="FFFFFF"/>
          <w:lang w:val="zh-CN"/>
        </w:rPr>
        <w:t>万元，偏差度</w:t>
      </w:r>
      <w:r>
        <w:rPr>
          <w:rFonts w:hint="eastAsia" w:ascii="仿宋_GB2312" w:hAnsi="宋体" w:cs="宋体"/>
          <w:color w:val="000000" w:themeColor="text1"/>
          <w:kern w:val="0"/>
          <w:szCs w:val="32"/>
          <w:shd w:val="clear" w:color="auto" w:fill="FFFFFF"/>
        </w:rPr>
        <w:t>40</w:t>
      </w:r>
      <w:r>
        <w:rPr>
          <w:rFonts w:hint="eastAsia" w:ascii="仿宋_GB2312" w:hAnsi="宋体" w:cs="宋体"/>
          <w:color w:val="000000" w:themeColor="text1"/>
          <w:kern w:val="0"/>
          <w:szCs w:val="32"/>
          <w:shd w:val="clear" w:color="auto" w:fill="FFFFFF"/>
          <w:lang w:val="zh-CN"/>
        </w:rPr>
        <w:t>%。该项指标分值</w:t>
      </w:r>
      <w:r>
        <w:rPr>
          <w:rFonts w:hint="eastAsia" w:ascii="仿宋_GB2312" w:hAnsi="宋体" w:cs="宋体"/>
          <w:color w:val="000000" w:themeColor="text1"/>
          <w:kern w:val="0"/>
          <w:szCs w:val="32"/>
          <w:u w:val="single"/>
          <w:shd w:val="clear" w:color="auto" w:fill="FFFFFF"/>
          <w:lang w:val="zh-CN"/>
        </w:rPr>
        <w:t>为</w:t>
      </w:r>
      <w:r>
        <w:rPr>
          <w:rFonts w:hint="eastAsia" w:ascii="仿宋_GB2312" w:hAnsi="宋体" w:cs="宋体"/>
          <w:color w:val="000000" w:themeColor="text1"/>
          <w:kern w:val="0"/>
          <w:szCs w:val="32"/>
          <w:u w:val="single"/>
          <w:shd w:val="clear" w:color="auto" w:fill="FFFFFF"/>
        </w:rPr>
        <w:t>0</w:t>
      </w:r>
      <w:r>
        <w:rPr>
          <w:rFonts w:hint="eastAsia" w:ascii="仿宋_GB2312" w:hAnsi="宋体" w:cs="宋体"/>
          <w:color w:val="000000" w:themeColor="text1"/>
          <w:kern w:val="0"/>
          <w:szCs w:val="32"/>
          <w:u w:val="single"/>
          <w:shd w:val="clear" w:color="auto" w:fill="FFFFFF"/>
          <w:lang w:val="zh-CN"/>
        </w:rPr>
        <w:t>分</w:t>
      </w:r>
      <w:r>
        <w:rPr>
          <w:rFonts w:hint="eastAsia" w:ascii="仿宋_GB2312" w:hAnsi="宋体" w:cs="宋体"/>
          <w:color w:val="000000" w:themeColor="text1"/>
          <w:kern w:val="0"/>
          <w:szCs w:val="32"/>
          <w:shd w:val="clear" w:color="auto" w:fill="FFFFFF"/>
          <w:lang w:val="zh-CN"/>
        </w:rPr>
        <w:t>，年初预算数与决算数偏差程度在10%以内的，自评得2分。年初预算数与决算数偏差程度在10%</w:t>
      </w:r>
      <w:r>
        <w:rPr>
          <w:rFonts w:hint="eastAsia" w:ascii="仿宋_GB2312" w:hAnsi="宋体" w:cs="宋体"/>
          <w:color w:val="000000" w:themeColor="text1"/>
          <w:kern w:val="0"/>
          <w:szCs w:val="32"/>
          <w:shd w:val="clear" w:color="auto" w:fill="FFFFFF"/>
        </w:rPr>
        <w:t>-20%</w:t>
      </w:r>
      <w:r>
        <w:rPr>
          <w:rFonts w:hint="eastAsia" w:ascii="仿宋_GB2312" w:hAnsi="宋体" w:cs="宋体"/>
          <w:color w:val="000000" w:themeColor="text1"/>
          <w:kern w:val="0"/>
          <w:szCs w:val="32"/>
          <w:shd w:val="clear" w:color="auto" w:fill="FFFFFF"/>
          <w:lang w:val="zh-CN"/>
        </w:rPr>
        <w:t>的</w:t>
      </w:r>
      <w:r>
        <w:rPr>
          <w:rFonts w:hint="eastAsia" w:ascii="仿宋_GB2312" w:hAnsi="宋体" w:cs="宋体"/>
          <w:color w:val="000000" w:themeColor="text1"/>
          <w:kern w:val="0"/>
          <w:szCs w:val="32"/>
          <w:shd w:val="clear" w:color="auto" w:fill="FFFFFF"/>
        </w:rPr>
        <w:t>1分</w:t>
      </w:r>
      <w:r>
        <w:rPr>
          <w:rFonts w:hint="eastAsia" w:ascii="仿宋_GB2312" w:hAnsi="宋体" w:cs="宋体"/>
          <w:color w:val="000000" w:themeColor="text1"/>
          <w:kern w:val="0"/>
          <w:szCs w:val="32"/>
          <w:shd w:val="clear" w:color="auto" w:fill="FFFFFF"/>
          <w:lang w:val="zh-CN"/>
        </w:rPr>
        <w:t>，自评得</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4.在“及时处置”方面，当部门绩效监控调整取消额(</w:t>
      </w:r>
      <w:r>
        <w:rPr>
          <w:rFonts w:hint="eastAsia" w:ascii="仿宋_GB2312" w:hAnsi="宋体" w:cs="宋体"/>
          <w:kern w:val="0"/>
          <w:szCs w:val="32"/>
          <w:shd w:val="clear" w:color="auto" w:fill="FFFFFF"/>
        </w:rPr>
        <w:t>27</w:t>
      </w:r>
      <w:r>
        <w:rPr>
          <w:rFonts w:hint="eastAsia" w:ascii="仿宋_GB2312" w:hAnsi="宋体" w:cs="宋体"/>
          <w:kern w:val="0"/>
          <w:szCs w:val="32"/>
          <w:shd w:val="clear" w:color="auto" w:fill="FFFFFF"/>
          <w:lang w:val="zh-CN"/>
        </w:rPr>
        <w:t>万元)和结余注销额(</w:t>
      </w:r>
      <w:r>
        <w:rPr>
          <w:rFonts w:hint="eastAsia" w:ascii="仿宋_GB2312" w:hAnsi="宋体" w:cs="宋体"/>
          <w:kern w:val="0"/>
          <w:szCs w:val="32"/>
          <w:shd w:val="clear" w:color="auto" w:fill="FFFFFF"/>
        </w:rPr>
        <w:t>0</w:t>
      </w:r>
      <w:r>
        <w:rPr>
          <w:rFonts w:hint="eastAsia" w:ascii="仿宋_GB2312" w:hAnsi="宋体" w:cs="宋体"/>
          <w:kern w:val="0"/>
          <w:szCs w:val="32"/>
          <w:shd w:val="clear" w:color="auto" w:fill="FFFFFF"/>
          <w:lang w:val="zh-CN"/>
        </w:rPr>
        <w:t>万元)均不为零时，该项指标分值为4分，指标自评得分=</w:t>
      </w:r>
      <w:r>
        <w:rPr>
          <w:rFonts w:hint="eastAsia" w:ascii="仿宋_GB2312" w:hAnsi="宋体" w:cs="宋体"/>
          <w:kern w:val="0"/>
          <w:szCs w:val="32"/>
          <w:shd w:val="clear" w:color="auto" w:fill="FFFFFF"/>
        </w:rPr>
        <w:t>A/</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A</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B</w:t>
      </w:r>
      <w:r>
        <w:rPr>
          <w:rFonts w:hint="eastAsia" w:ascii="仿宋_GB2312" w:hAnsi="宋体" w:cs="宋体"/>
          <w:kern w:val="0"/>
          <w:szCs w:val="32"/>
          <w:shd w:val="clear" w:color="auto" w:fill="FFFFFF"/>
          <w:lang w:val="zh-CN"/>
        </w:rPr>
        <w:t>)*4=</w:t>
      </w:r>
      <w:r>
        <w:rPr>
          <w:rFonts w:hint="eastAsia" w:ascii="仿宋_GB2312" w:hAnsi="宋体" w:cs="宋体"/>
          <w:kern w:val="0"/>
          <w:szCs w:val="32"/>
          <w:u w:val="single"/>
          <w:shd w:val="clear" w:color="auto" w:fill="FFFFFF"/>
        </w:rPr>
        <w:t>4</w:t>
      </w:r>
      <w:r>
        <w:rPr>
          <w:rFonts w:hint="eastAsia" w:ascii="仿宋_GB2312" w:hAnsi="宋体" w:cs="宋体"/>
          <w:kern w:val="0"/>
          <w:szCs w:val="32"/>
          <w:u w:val="single"/>
          <w:shd w:val="clear" w:color="auto" w:fill="FFFFFF"/>
          <w:lang w:val="zh-CN"/>
        </w:rPr>
        <w:t>分</w:t>
      </w:r>
      <w:r>
        <w:rPr>
          <w:rFonts w:hint="eastAsia" w:ascii="仿宋_GB2312" w:hAnsi="宋体" w:cs="宋体"/>
          <w:kern w:val="0"/>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5.在“执行进度”方面，根据系统提取数据显示，我部门（单位）202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年6月、9月、11月执行进度分别为</w:t>
      </w:r>
      <w:r>
        <w:rPr>
          <w:rFonts w:hint="eastAsia" w:ascii="仿宋_GB2312" w:hAnsi="宋体" w:cs="宋体"/>
          <w:kern w:val="0"/>
          <w:szCs w:val="32"/>
          <w:shd w:val="clear" w:color="auto" w:fill="FFFFFF"/>
        </w:rPr>
        <w:t>31.08</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48.88</w:t>
      </w:r>
      <w:r>
        <w:rPr>
          <w:rFonts w:hint="eastAsia" w:ascii="仿宋_GB2312" w:hAnsi="宋体" w:cs="宋体"/>
          <w:kern w:val="0"/>
          <w:szCs w:val="32"/>
          <w:shd w:val="clear" w:color="auto" w:fill="FFFFFF"/>
          <w:lang w:val="zh-CN"/>
        </w:rPr>
        <w:t xml:space="preserve">%、 </w:t>
      </w:r>
      <w:r>
        <w:rPr>
          <w:rFonts w:hint="eastAsia" w:ascii="仿宋_GB2312" w:hAnsi="宋体" w:cs="宋体"/>
          <w:kern w:val="0"/>
          <w:szCs w:val="32"/>
          <w:shd w:val="clear" w:color="auto" w:fill="FFFFFF"/>
        </w:rPr>
        <w:t>58.86</w:t>
      </w:r>
      <w:r>
        <w:rPr>
          <w:rFonts w:hint="eastAsia" w:ascii="仿宋_GB2312" w:hAnsi="宋体" w:cs="宋体"/>
          <w:kern w:val="0"/>
          <w:szCs w:val="32"/>
          <w:shd w:val="clear" w:color="auto" w:fill="FFFFFF"/>
          <w:lang w:val="zh-CN"/>
        </w:rPr>
        <w:t>%. 该项指标分值为4分，按其实际进度占目标进度的比重计算得分</w:t>
      </w:r>
      <w:r>
        <w:rPr>
          <w:rFonts w:hint="eastAsia" w:ascii="仿宋_GB2312" w:hAnsi="宋体" w:cs="宋体"/>
          <w:kern w:val="0"/>
          <w:szCs w:val="32"/>
          <w:u w:val="single"/>
          <w:shd w:val="clear" w:color="auto" w:fill="FFFFFF"/>
        </w:rPr>
        <w:t>3.5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6.在“预算完成”方面，部门预算项目年末预算执行进度</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%。该项指标分值为5分，按照实际进度量化计算得分</w:t>
      </w:r>
      <w:r>
        <w:rPr>
          <w:rFonts w:hint="eastAsia" w:ascii="仿宋_GB2312" w:hAnsi="宋体" w:cs="宋体"/>
          <w:kern w:val="0"/>
          <w:szCs w:val="32"/>
          <w:u w:val="single"/>
          <w:shd w:val="clear" w:color="auto" w:fill="FFFFFF"/>
        </w:rPr>
        <w:t>4.5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7.在“资金结余率”方面，我部门（单位）部门预算项目共</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项，资金余率小于</w:t>
      </w:r>
      <w:r>
        <w:rPr>
          <w:rFonts w:hint="eastAsia" w:ascii="仿宋_GB2312" w:hAnsi="宋体" w:cs="宋体"/>
          <w:kern w:val="0"/>
          <w:szCs w:val="32"/>
          <w:shd w:val="clear" w:color="auto" w:fill="FFFFFF"/>
        </w:rPr>
        <w:t>10%</w:t>
      </w:r>
      <w:r>
        <w:rPr>
          <w:rFonts w:hint="eastAsia" w:ascii="仿宋_GB2312" w:hAnsi="宋体" w:cs="宋体"/>
          <w:kern w:val="0"/>
          <w:szCs w:val="32"/>
          <w:shd w:val="clear" w:color="auto" w:fill="FFFFFF"/>
          <w:lang w:val="zh-CN"/>
        </w:rPr>
        <w:t>的项目数</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项。该项指标分值为8分，按照相应量化计算得</w:t>
      </w:r>
      <w:r>
        <w:rPr>
          <w:rFonts w:hint="eastAsia" w:ascii="仿宋_GB2312" w:hAnsi="宋体" w:cs="宋体"/>
          <w:kern w:val="0"/>
          <w:szCs w:val="32"/>
          <w:u w:val="single"/>
          <w:shd w:val="clear" w:color="auto" w:fill="FFFFFF"/>
          <w:lang w:val="zh-CN"/>
        </w:rPr>
        <w:t>分</w:t>
      </w:r>
      <w:r>
        <w:rPr>
          <w:rFonts w:hint="eastAsia" w:ascii="仿宋_GB2312" w:hAnsi="宋体" w:cs="宋体"/>
          <w:kern w:val="0"/>
          <w:szCs w:val="32"/>
          <w:u w:val="single"/>
          <w:shd w:val="clear" w:color="auto" w:fill="FFFFFF"/>
        </w:rPr>
        <w:t>7.5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8.在违规记录上，我部门（单位）202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年没有出现部门预算管理方面违纪违规问题。该项指标分值为2分，自评得分</w:t>
      </w:r>
      <w:r>
        <w:rPr>
          <w:rFonts w:hint="eastAsia" w:ascii="仿宋_GB2312" w:hAnsi="宋体" w:cs="宋体"/>
          <w:kern w:val="0"/>
          <w:szCs w:val="32"/>
          <w:u w:val="single"/>
          <w:shd w:val="clear" w:color="auto" w:fill="FFFFFF"/>
          <w:lang w:val="zh-CN"/>
        </w:rPr>
        <w:t>2</w:t>
      </w:r>
      <w:r>
        <w:rPr>
          <w:rFonts w:hint="eastAsia" w:ascii="仿宋_GB2312" w:hAnsi="宋体" w:cs="宋体"/>
          <w:kern w:val="0"/>
          <w:szCs w:val="32"/>
          <w:shd w:val="clear" w:color="auto" w:fill="FFFFFF"/>
          <w:lang w:val="zh-CN"/>
        </w:rPr>
        <w:t>分。</w:t>
      </w:r>
    </w:p>
    <w:p>
      <w:pPr>
        <w:spacing w:line="600" w:lineRule="exact"/>
        <w:ind w:firstLine="643" w:firstLineChars="200"/>
        <w:outlineLvl w:val="2"/>
        <w:rPr>
          <w:rFonts w:eastAsia="仿宋"/>
          <w:b/>
          <w:bCs/>
          <w:kern w:val="0"/>
          <w:szCs w:val="32"/>
        </w:rPr>
      </w:pPr>
      <w:r>
        <w:rPr>
          <w:rFonts w:eastAsia="仿宋"/>
          <w:b/>
          <w:bCs/>
          <w:kern w:val="0"/>
          <w:szCs w:val="32"/>
        </w:rPr>
        <w:t>（</w:t>
      </w:r>
      <w:r>
        <w:rPr>
          <w:rFonts w:hint="eastAsia" w:eastAsia="仿宋"/>
          <w:b/>
          <w:bCs/>
          <w:kern w:val="0"/>
          <w:szCs w:val="32"/>
        </w:rPr>
        <w:t>三</w:t>
      </w:r>
      <w:r>
        <w:rPr>
          <w:rFonts w:eastAsia="仿宋"/>
          <w:b/>
          <w:bCs/>
          <w:kern w:val="0"/>
          <w:szCs w:val="32"/>
        </w:rPr>
        <w:t>）专项预算管理</w:t>
      </w:r>
    </w:p>
    <w:p>
      <w:pPr>
        <w:keepLines/>
        <w:tabs>
          <w:tab w:val="left" w:pos="676"/>
        </w:tabs>
        <w:ind w:right="1120" w:firstLine="640" w:firstLineChars="200"/>
        <w:rPr>
          <w:rFonts w:eastAsia="仿宋"/>
          <w:color w:val="000000"/>
          <w:szCs w:val="32"/>
        </w:rPr>
      </w:pPr>
      <w:r>
        <w:rPr>
          <w:rFonts w:eastAsia="仿宋"/>
          <w:color w:val="000000"/>
          <w:szCs w:val="32"/>
        </w:rPr>
        <w:t>1.专项绩效的预算情况</w:t>
      </w:r>
    </w:p>
    <w:p>
      <w:pPr>
        <w:spacing w:line="578" w:lineRule="exact"/>
        <w:ind w:firstLine="640" w:firstLineChars="200"/>
        <w:rPr>
          <w:rFonts w:eastAsia="仿宋"/>
          <w:bCs/>
          <w:kern w:val="0"/>
          <w:szCs w:val="32"/>
        </w:rPr>
      </w:pPr>
      <w:r>
        <w:rPr>
          <w:rFonts w:eastAsia="仿宋"/>
          <w:bCs/>
          <w:kern w:val="0"/>
          <w:szCs w:val="32"/>
        </w:rPr>
        <w:t>202</w:t>
      </w:r>
      <w:r>
        <w:rPr>
          <w:rFonts w:hint="eastAsia" w:eastAsia="仿宋"/>
          <w:bCs/>
          <w:kern w:val="0"/>
          <w:szCs w:val="32"/>
        </w:rPr>
        <w:t>2</w:t>
      </w:r>
      <w:r>
        <w:rPr>
          <w:rFonts w:eastAsia="仿宋"/>
          <w:bCs/>
          <w:kern w:val="0"/>
          <w:szCs w:val="32"/>
        </w:rPr>
        <w:t>年度共有</w:t>
      </w:r>
      <w:r>
        <w:rPr>
          <w:rFonts w:hint="eastAsia" w:eastAsia="仿宋"/>
          <w:bCs/>
          <w:kern w:val="0"/>
          <w:szCs w:val="32"/>
        </w:rPr>
        <w:t>5</w:t>
      </w:r>
      <w:r>
        <w:rPr>
          <w:rFonts w:eastAsia="仿宋"/>
          <w:bCs/>
          <w:kern w:val="0"/>
          <w:szCs w:val="32"/>
        </w:rPr>
        <w:t>个项目，含</w:t>
      </w:r>
      <w:r>
        <w:rPr>
          <w:rFonts w:hint="eastAsia" w:eastAsia="仿宋"/>
          <w:bCs/>
          <w:kern w:val="0"/>
          <w:szCs w:val="32"/>
        </w:rPr>
        <w:t>2</w:t>
      </w:r>
      <w:r>
        <w:rPr>
          <w:rFonts w:eastAsia="仿宋"/>
          <w:bCs/>
          <w:kern w:val="0"/>
          <w:szCs w:val="32"/>
        </w:rPr>
        <w:t>个追加项目，主要专项绩效预算情况</w:t>
      </w:r>
      <w:r>
        <w:rPr>
          <w:rFonts w:hint="eastAsia" w:eastAsia="仿宋"/>
          <w:bCs/>
          <w:kern w:val="0"/>
          <w:szCs w:val="32"/>
        </w:rPr>
        <w:t>为</w:t>
      </w:r>
      <w:r>
        <w:rPr>
          <w:rFonts w:eastAsia="仿宋"/>
          <w:bCs/>
          <w:kern w:val="0"/>
          <w:szCs w:val="32"/>
        </w:rPr>
        <w:t>：1、</w:t>
      </w:r>
      <w:r>
        <w:rPr>
          <w:rFonts w:hint="eastAsia" w:ascii="仿宋_GB2312" w:hAnsi="宋体" w:cs="宋体"/>
          <w:kern w:val="0"/>
          <w:szCs w:val="32"/>
          <w:shd w:val="clear" w:color="auto" w:fill="FFFFFF"/>
        </w:rPr>
        <w:t>残疾人专项救助4万</w:t>
      </w:r>
      <w:r>
        <w:rPr>
          <w:rFonts w:eastAsia="仿宋"/>
          <w:bCs/>
          <w:kern w:val="0"/>
          <w:szCs w:val="32"/>
        </w:rPr>
        <w:t>，全年目标</w:t>
      </w:r>
      <w:r>
        <w:rPr>
          <w:rFonts w:hint="eastAsia" w:eastAsia="仿宋"/>
          <w:bCs/>
          <w:kern w:val="0"/>
          <w:szCs w:val="32"/>
        </w:rPr>
        <w:t>为</w:t>
      </w:r>
      <w:r>
        <w:rPr>
          <w:rFonts w:hint="eastAsia" w:ascii="仿宋_GB2312" w:hAnsi="宋体" w:cs="宋体"/>
          <w:kern w:val="0"/>
          <w:szCs w:val="32"/>
          <w:shd w:val="clear" w:color="auto" w:fill="FFFFFF"/>
        </w:rPr>
        <w:t>对困难残疾人提供临时性救助</w:t>
      </w:r>
      <w:r>
        <w:rPr>
          <w:rFonts w:eastAsia="仿宋"/>
          <w:bCs/>
          <w:kern w:val="0"/>
          <w:szCs w:val="32"/>
        </w:rPr>
        <w:t>工作任务</w:t>
      </w:r>
      <w:r>
        <w:rPr>
          <w:rFonts w:hint="eastAsia" w:eastAsia="仿宋"/>
          <w:bCs/>
          <w:kern w:val="0"/>
          <w:szCs w:val="32"/>
        </w:rPr>
        <w:t>，已完成100%；</w:t>
      </w:r>
      <w:r>
        <w:rPr>
          <w:rFonts w:eastAsia="仿宋"/>
          <w:bCs/>
          <w:kern w:val="0"/>
          <w:szCs w:val="32"/>
        </w:rPr>
        <w:t>2</w:t>
      </w:r>
      <w:r>
        <w:rPr>
          <w:rFonts w:hint="eastAsia" w:eastAsia="仿宋"/>
          <w:bCs/>
          <w:kern w:val="0"/>
          <w:szCs w:val="32"/>
        </w:rPr>
        <w:t>智慧量服终端项目20</w:t>
      </w:r>
      <w:r>
        <w:rPr>
          <w:rFonts w:eastAsia="仿宋"/>
          <w:bCs/>
          <w:kern w:val="0"/>
          <w:szCs w:val="32"/>
        </w:rPr>
        <w:t>万元，全年目标</w:t>
      </w:r>
      <w:r>
        <w:rPr>
          <w:rFonts w:hint="eastAsia" w:eastAsia="仿宋"/>
          <w:bCs/>
          <w:kern w:val="0"/>
          <w:szCs w:val="32"/>
        </w:rPr>
        <w:t>为</w:t>
      </w:r>
      <w:r>
        <w:rPr>
          <w:rFonts w:hint="eastAsia" w:ascii="仿宋_GB2312" w:hAnsi="宋体" w:cs="宋体"/>
          <w:kern w:val="0"/>
          <w:szCs w:val="32"/>
          <w:shd w:val="clear" w:color="auto" w:fill="FFFFFF"/>
        </w:rPr>
        <w:t>开通量服宽带专线一条、开通量服办公邮电通讯11台，为360名残疾人工作者配备手持终等通信工具，以便更便捷为全区残疾人服务</w:t>
      </w:r>
      <w:r>
        <w:rPr>
          <w:rFonts w:eastAsia="仿宋"/>
          <w:bCs/>
          <w:kern w:val="0"/>
          <w:szCs w:val="32"/>
        </w:rPr>
        <w:t>工作任务</w:t>
      </w:r>
      <w:r>
        <w:rPr>
          <w:rFonts w:hint="eastAsia" w:eastAsia="仿宋"/>
          <w:bCs/>
          <w:kern w:val="0"/>
          <w:szCs w:val="32"/>
        </w:rPr>
        <w:t>，已完成100%；</w:t>
      </w:r>
      <w:r>
        <w:rPr>
          <w:rFonts w:eastAsia="仿宋"/>
          <w:bCs/>
          <w:kern w:val="0"/>
          <w:szCs w:val="32"/>
        </w:rPr>
        <w:t>3、</w:t>
      </w:r>
      <w:r>
        <w:rPr>
          <w:rFonts w:hint="eastAsia" w:ascii="仿宋_GB2312" w:hAnsi="宋体" w:cs="宋体"/>
          <w:kern w:val="0"/>
          <w:szCs w:val="32"/>
          <w:shd w:val="clear" w:color="auto" w:fill="FFFFFF"/>
        </w:rPr>
        <w:t>助残维权维稳资金项目3万元</w:t>
      </w:r>
      <w:r>
        <w:rPr>
          <w:rFonts w:eastAsia="仿宋"/>
          <w:bCs/>
          <w:kern w:val="0"/>
          <w:szCs w:val="32"/>
        </w:rPr>
        <w:t>，全年目标</w:t>
      </w:r>
      <w:r>
        <w:rPr>
          <w:rFonts w:hint="eastAsia" w:eastAsia="仿宋"/>
          <w:bCs/>
          <w:kern w:val="0"/>
          <w:szCs w:val="32"/>
        </w:rPr>
        <w:t>为为</w:t>
      </w:r>
      <w:r>
        <w:rPr>
          <w:rFonts w:hint="eastAsia" w:ascii="仿宋_GB2312" w:hAnsi="宋体" w:cs="宋体"/>
          <w:kern w:val="0"/>
          <w:szCs w:val="32"/>
          <w:shd w:val="clear" w:color="auto" w:fill="FFFFFF"/>
        </w:rPr>
        <w:t>急迫需求残疾人提供入户、核查、维权等服务，增强残疾人政策法规知晓度、透明度，及时解决残疾人需求，促进社会和谐，维护社会稳定</w:t>
      </w:r>
      <w:r>
        <w:rPr>
          <w:rFonts w:eastAsia="仿宋"/>
          <w:bCs/>
          <w:kern w:val="0"/>
          <w:szCs w:val="32"/>
        </w:rPr>
        <w:t>工作任务</w:t>
      </w:r>
      <w:r>
        <w:rPr>
          <w:rFonts w:hint="eastAsia" w:eastAsia="仿宋"/>
          <w:bCs/>
          <w:kern w:val="0"/>
          <w:szCs w:val="32"/>
        </w:rPr>
        <w:t>，已完成100%</w:t>
      </w:r>
      <w:r>
        <w:rPr>
          <w:rFonts w:eastAsia="仿宋"/>
          <w:bCs/>
          <w:kern w:val="0"/>
          <w:szCs w:val="32"/>
        </w:rPr>
        <w:t>；</w:t>
      </w:r>
      <w:r>
        <w:rPr>
          <w:rFonts w:hint="eastAsia" w:eastAsia="仿宋"/>
          <w:bCs/>
          <w:kern w:val="0"/>
          <w:szCs w:val="32"/>
        </w:rPr>
        <w:t>4、</w:t>
      </w:r>
      <w:r>
        <w:rPr>
          <w:rFonts w:hint="eastAsia" w:ascii="仿宋_GB2312" w:hAnsi="宋体"/>
          <w:szCs w:val="32"/>
        </w:rPr>
        <w:t>“温暖万家行”春节困难残疾人慰问项目45万元，</w:t>
      </w:r>
      <w:r>
        <w:rPr>
          <w:rFonts w:eastAsia="仿宋"/>
          <w:bCs/>
          <w:kern w:val="0"/>
          <w:szCs w:val="32"/>
        </w:rPr>
        <w:t>全年目标</w:t>
      </w:r>
      <w:r>
        <w:rPr>
          <w:rFonts w:hint="eastAsia" w:eastAsia="仿宋"/>
          <w:bCs/>
          <w:kern w:val="0"/>
          <w:szCs w:val="32"/>
        </w:rPr>
        <w:t>为计划每人500元标准慰问困难残疾人900人，保障他们安全温暖过冬，已完成100%。5、</w:t>
      </w:r>
      <w:r>
        <w:rPr>
          <w:rFonts w:hint="eastAsia" w:ascii="仿宋" w:hAnsi="仿宋" w:eastAsia="仿宋"/>
          <w:szCs w:val="32"/>
        </w:rPr>
        <w:t>残疾人事业发展补助资金项目</w:t>
      </w:r>
      <w:r>
        <w:rPr>
          <w:rFonts w:hint="eastAsia" w:eastAsia="方正仿宋_GBK"/>
          <w:bCs/>
        </w:rPr>
        <w:t>640.952万元，</w:t>
      </w:r>
      <w:r>
        <w:rPr>
          <w:rFonts w:eastAsia="仿宋"/>
          <w:bCs/>
          <w:kern w:val="0"/>
          <w:szCs w:val="32"/>
        </w:rPr>
        <w:t>全年目标</w:t>
      </w:r>
      <w:r>
        <w:rPr>
          <w:rFonts w:hint="eastAsia" w:eastAsia="仿宋"/>
          <w:bCs/>
          <w:kern w:val="0"/>
          <w:szCs w:val="32"/>
        </w:rPr>
        <w:t>：开展</w:t>
      </w:r>
      <w:r>
        <w:rPr>
          <w:rFonts w:hint="eastAsia" w:ascii="仿宋" w:hAnsi="仿宋" w:eastAsia="仿宋" w:cs="仿宋"/>
          <w:color w:val="333333"/>
          <w:szCs w:val="32"/>
        </w:rPr>
        <w:t>困难重度残疾人实用技术培训项目</w:t>
      </w:r>
      <w:r>
        <w:rPr>
          <w:rFonts w:hint="eastAsia" w:ascii="Palatino Linotype" w:hAnsi="Palatino Linotype" w:eastAsia="方正仿宋_GBK" w:cs="Palatino Linotype"/>
          <w:color w:val="333333"/>
          <w:szCs w:val="32"/>
        </w:rPr>
        <w:t>为700名符合条件的</w:t>
      </w:r>
      <w:r>
        <w:rPr>
          <w:rFonts w:hint="eastAsia" w:ascii="仿宋_GB2312" w:hAnsi="宋体"/>
          <w:szCs w:val="32"/>
        </w:rPr>
        <w:t>困难重度残疾人实施实用技术培训</w:t>
      </w:r>
      <w:r>
        <w:rPr>
          <w:rFonts w:hint="eastAsia"/>
        </w:rPr>
        <w:t>；</w:t>
      </w:r>
      <w:r>
        <w:rPr>
          <w:rFonts w:hint="eastAsia" w:ascii="仿宋" w:hAnsi="仿宋" w:eastAsia="仿宋" w:cs="仿宋"/>
        </w:rPr>
        <w:t>开展</w:t>
      </w:r>
      <w:r>
        <w:rPr>
          <w:rFonts w:hint="eastAsia" w:ascii="仿宋" w:hAnsi="仿宋" w:eastAsia="仿宋" w:cs="仿宋"/>
          <w:szCs w:val="32"/>
        </w:rPr>
        <w:t>残疾人居家灵活就业补贴项目</w:t>
      </w:r>
      <w:r>
        <w:rPr>
          <w:rFonts w:hint="eastAsia" w:ascii="Palatino Linotype" w:hAnsi="Palatino Linotype" w:eastAsia="方正仿宋_GBK" w:cs="Palatino Linotype"/>
          <w:color w:val="333333"/>
          <w:szCs w:val="32"/>
        </w:rPr>
        <w:t>为600名符合条件的</w:t>
      </w:r>
      <w:r>
        <w:rPr>
          <w:rFonts w:hint="eastAsia" w:ascii="仿宋_GB2312" w:hAnsi="宋体"/>
          <w:szCs w:val="32"/>
        </w:rPr>
        <w:t>残疾人发放居家灵活就业补贴；</w:t>
      </w:r>
      <w:r>
        <w:rPr>
          <w:rFonts w:hint="eastAsia" w:ascii="仿宋" w:hAnsi="仿宋" w:eastAsia="仿宋" w:cs="仿宋"/>
        </w:rPr>
        <w:t>开展</w:t>
      </w:r>
      <w:r>
        <w:rPr>
          <w:rFonts w:hint="eastAsia" w:ascii="仿宋" w:hAnsi="仿宋" w:eastAsia="仿宋" w:cs="仿宋"/>
          <w:szCs w:val="32"/>
        </w:rPr>
        <w:t>残疾人股权量化项目</w:t>
      </w:r>
      <w:r>
        <w:rPr>
          <w:rFonts w:hint="eastAsia" w:ascii="Palatino Linotype" w:hAnsi="Palatino Linotype" w:eastAsia="方正仿宋_GBK" w:cs="Palatino Linotype"/>
          <w:color w:val="333333"/>
          <w:szCs w:val="32"/>
        </w:rPr>
        <w:t>为39名</w:t>
      </w:r>
      <w:r>
        <w:rPr>
          <w:rFonts w:hint="eastAsia" w:ascii="仿宋_GB2312" w:hAnsi="宋体"/>
          <w:szCs w:val="32"/>
        </w:rPr>
        <w:t>残疾人参加达州市升伟造林专业合作社并实施分红；</w:t>
      </w:r>
      <w:r>
        <w:rPr>
          <w:rFonts w:hint="eastAsia" w:ascii="仿宋" w:hAnsi="仿宋" w:eastAsia="仿宋" w:cs="仿宋"/>
        </w:rPr>
        <w:t>开展</w:t>
      </w:r>
      <w:r>
        <w:rPr>
          <w:rFonts w:hint="eastAsia" w:ascii="仿宋" w:hAnsi="仿宋" w:eastAsia="仿宋" w:cs="仿宋"/>
          <w:szCs w:val="32"/>
        </w:rPr>
        <w:t>0-6岁残疾儿童康复救助项目</w:t>
      </w:r>
      <w:r>
        <w:rPr>
          <w:rFonts w:hint="eastAsia" w:asciiTheme="minorEastAsia" w:hAnsiTheme="minorEastAsia" w:eastAsiaTheme="minorEastAsia" w:cstheme="minorEastAsia"/>
          <w:color w:val="333333"/>
          <w:szCs w:val="32"/>
        </w:rPr>
        <w:t>为128名符合条件</w:t>
      </w:r>
      <w:r>
        <w:rPr>
          <w:rFonts w:hint="eastAsia" w:ascii="仿宋" w:hAnsi="仿宋" w:eastAsia="仿宋" w:cs="仿宋"/>
          <w:color w:val="333333"/>
          <w:szCs w:val="32"/>
        </w:rPr>
        <w:t>的</w:t>
      </w:r>
      <w:r>
        <w:rPr>
          <w:rFonts w:hint="eastAsia" w:ascii="仿宋" w:hAnsi="仿宋" w:eastAsia="仿宋" w:cs="仿宋"/>
          <w:szCs w:val="32"/>
        </w:rPr>
        <w:t>0-6岁残疾儿童实施康复训练；</w:t>
      </w:r>
      <w:r>
        <w:rPr>
          <w:rFonts w:hint="eastAsia" w:ascii="仿宋" w:hAnsi="仿宋" w:eastAsia="仿宋" w:cs="仿宋"/>
        </w:rPr>
        <w:t>开展</w:t>
      </w:r>
      <w:r>
        <w:rPr>
          <w:rFonts w:hint="eastAsia" w:ascii="仿宋" w:hAnsi="仿宋" w:eastAsia="仿宋" w:cs="仿宋"/>
          <w:szCs w:val="32"/>
        </w:rPr>
        <w:t>7岁以上残疾人基本康复救助项目</w:t>
      </w:r>
      <w:r>
        <w:rPr>
          <w:rFonts w:hint="eastAsia" w:ascii="仿宋" w:hAnsi="仿宋" w:eastAsia="仿宋" w:cs="仿宋"/>
          <w:color w:val="333333"/>
          <w:szCs w:val="32"/>
        </w:rPr>
        <w:t>为18792名符合条件的</w:t>
      </w:r>
      <w:r>
        <w:rPr>
          <w:rFonts w:hint="eastAsia" w:ascii="仿宋" w:hAnsi="仿宋" w:eastAsia="仿宋" w:cs="仿宋"/>
          <w:szCs w:val="32"/>
        </w:rPr>
        <w:t>残疾人实施康复服务；实施7岁以上残疾人基本辅具配置项目为186名符合条件的</w:t>
      </w:r>
      <w:r>
        <w:rPr>
          <w:rFonts w:hint="eastAsia" w:ascii="仿宋" w:hAnsi="仿宋" w:eastAsia="仿宋" w:cs="仿宋"/>
        </w:rPr>
        <w:t>残疾人发放辅助器具，解决残疾人基本困难；开展</w:t>
      </w:r>
      <w:r>
        <w:rPr>
          <w:rFonts w:hint="eastAsia" w:ascii="仿宋" w:hAnsi="仿宋" w:eastAsia="仿宋" w:cs="仿宋"/>
          <w:szCs w:val="32"/>
        </w:rPr>
        <w:t>残疾人机动轮椅车燃油补贴项目</w:t>
      </w:r>
      <w:r>
        <w:rPr>
          <w:rFonts w:hint="eastAsia" w:ascii="仿宋" w:hAnsi="仿宋" w:eastAsia="仿宋" w:cs="仿宋"/>
          <w:color w:val="333333"/>
          <w:szCs w:val="32"/>
        </w:rPr>
        <w:t>为</w:t>
      </w:r>
      <w:r>
        <w:rPr>
          <w:rFonts w:hint="eastAsia" w:ascii="Palatino Linotype" w:hAnsi="Palatino Linotype" w:eastAsia="方正仿宋_GBK" w:cs="Palatino Linotype"/>
          <w:color w:val="333333"/>
          <w:szCs w:val="32"/>
        </w:rPr>
        <w:t>72名符合条件的</w:t>
      </w:r>
      <w:r>
        <w:rPr>
          <w:rFonts w:hint="eastAsia" w:ascii="仿宋_GB2312" w:hAnsi="宋体"/>
          <w:szCs w:val="32"/>
        </w:rPr>
        <w:t>机动轮椅车残疾人实施燃油补贴；</w:t>
      </w:r>
      <w:r>
        <w:rPr>
          <w:rFonts w:hint="eastAsia" w:ascii="仿宋" w:hAnsi="仿宋" w:eastAsia="仿宋" w:cs="仿宋"/>
        </w:rPr>
        <w:t>开展</w:t>
      </w:r>
      <w:r>
        <w:rPr>
          <w:rFonts w:hint="eastAsia" w:ascii="仿宋" w:hAnsi="仿宋" w:eastAsia="仿宋" w:cs="仿宋"/>
          <w:szCs w:val="32"/>
          <w:lang w:val="zh-CN"/>
        </w:rPr>
        <w:t>困难重度残疾人家庭无障碍改造项目</w:t>
      </w:r>
      <w:r>
        <w:rPr>
          <w:rFonts w:hint="eastAsia" w:ascii="Palatino Linotype" w:hAnsi="Palatino Linotype" w:eastAsia="方正仿宋_GBK" w:cs="Palatino Linotype"/>
          <w:color w:val="333333"/>
          <w:szCs w:val="32"/>
        </w:rPr>
        <w:t>为137名困</w:t>
      </w:r>
      <w:r>
        <w:rPr>
          <w:rFonts w:hint="eastAsia" w:ascii="方正仿宋_GBK" w:hAnsi="Arial" w:eastAsia="方正仿宋_GBK" w:cs="Arial"/>
          <w:color w:val="333333"/>
          <w:szCs w:val="32"/>
        </w:rPr>
        <w:t>难重度残疾人家庭实施无障碍改造</w:t>
      </w:r>
      <w:r>
        <w:rPr>
          <w:rFonts w:hint="eastAsia" w:ascii="仿宋" w:hAnsi="仿宋" w:eastAsia="仿宋" w:cs="仿宋"/>
          <w:szCs w:val="32"/>
        </w:rPr>
        <w:t>；</w:t>
      </w:r>
      <w:r>
        <w:rPr>
          <w:rFonts w:hint="eastAsia" w:ascii="仿宋" w:hAnsi="仿宋" w:eastAsia="仿宋" w:cs="仿宋"/>
        </w:rPr>
        <w:t>开展助残维稳项目进行</w:t>
      </w:r>
      <w:r>
        <w:rPr>
          <w:rFonts w:hint="eastAsia"/>
          <w:lang w:val="zh-CN"/>
        </w:rPr>
        <w:t>法律援助服务</w:t>
      </w:r>
      <w:r>
        <w:rPr>
          <w:rFonts w:hint="eastAsia"/>
        </w:rPr>
        <w:t>2次、维稳核查入户服务100次、法律法规政策宣传3次、上户鉴定服务100次等，印制资料10000份；</w:t>
      </w:r>
      <w:r>
        <w:rPr>
          <w:rFonts w:hint="eastAsia" w:ascii="仿宋" w:hAnsi="仿宋" w:eastAsia="仿宋" w:cs="仿宋"/>
        </w:rPr>
        <w:t>开展</w:t>
      </w:r>
      <w:r>
        <w:rPr>
          <w:rFonts w:hint="eastAsia" w:ascii="仿宋" w:hAnsi="仿宋" w:eastAsia="仿宋" w:cs="仿宋"/>
          <w:color w:val="333333"/>
          <w:szCs w:val="32"/>
        </w:rPr>
        <w:t>困难智力精神和重度残疾人评定补贴</w:t>
      </w:r>
      <w:r>
        <w:rPr>
          <w:rFonts w:hint="eastAsia" w:ascii="仿宋" w:hAnsi="仿宋" w:eastAsia="仿宋" w:cs="仿宋"/>
          <w:szCs w:val="32"/>
        </w:rPr>
        <w:t>项目</w:t>
      </w:r>
      <w:r>
        <w:rPr>
          <w:rFonts w:hint="eastAsia" w:ascii="Palatino Linotype" w:hAnsi="Palatino Linotype" w:eastAsia="方正仿宋_GBK" w:cs="Palatino Linotype"/>
          <w:szCs w:val="32"/>
        </w:rPr>
        <w:t>为109名符合条件的</w:t>
      </w:r>
      <w:r>
        <w:rPr>
          <w:rFonts w:hint="eastAsia" w:ascii="仿宋_GB2312" w:hAnsi="宋体"/>
        </w:rPr>
        <w:t>重度残疾人发放补贴</w:t>
      </w:r>
      <w:r>
        <w:rPr>
          <w:rFonts w:hint="eastAsia" w:ascii="仿宋" w:hAnsi="仿宋" w:eastAsia="仿宋" w:cs="仿宋"/>
          <w:szCs w:val="32"/>
        </w:rPr>
        <w:t>；</w:t>
      </w:r>
      <w:r>
        <w:rPr>
          <w:rFonts w:hint="eastAsia" w:ascii="仿宋" w:hAnsi="仿宋" w:eastAsia="仿宋" w:cs="仿宋"/>
        </w:rPr>
        <w:t>开展</w:t>
      </w:r>
      <w:r>
        <w:rPr>
          <w:rFonts w:hint="eastAsia" w:ascii="仿宋" w:hAnsi="仿宋" w:eastAsia="仿宋" w:cs="仿宋"/>
          <w:szCs w:val="32"/>
        </w:rPr>
        <w:t>残疾人文化进家庭</w:t>
      </w:r>
      <w:r>
        <w:rPr>
          <w:rFonts w:hint="eastAsia" w:ascii="仿宋" w:hAnsi="仿宋" w:eastAsia="仿宋" w:cs="仿宋"/>
          <w:color w:val="333333"/>
          <w:szCs w:val="32"/>
        </w:rPr>
        <w:t>“五个一”</w:t>
      </w:r>
      <w:r>
        <w:rPr>
          <w:rFonts w:hint="eastAsia" w:ascii="仿宋" w:hAnsi="仿宋" w:eastAsia="仿宋" w:cs="仿宋"/>
          <w:szCs w:val="32"/>
        </w:rPr>
        <w:t>项目</w:t>
      </w:r>
      <w:r>
        <w:rPr>
          <w:rFonts w:hint="eastAsia" w:ascii="Palatino Linotype" w:hAnsi="Palatino Linotype" w:eastAsia="方正仿宋_GBK" w:cs="Palatino Linotype"/>
          <w:szCs w:val="32"/>
        </w:rPr>
        <w:t>为200名符合条件的</w:t>
      </w:r>
      <w:r>
        <w:rPr>
          <w:rFonts w:hint="eastAsia" w:ascii="仿宋_GB2312" w:hAnsi="宋体"/>
          <w:szCs w:val="32"/>
        </w:rPr>
        <w:t>残疾人文化进家庭</w:t>
      </w:r>
      <w:r>
        <w:rPr>
          <w:rFonts w:hint="eastAsia" w:ascii="方正仿宋_GBK" w:hAnsi="Arial" w:eastAsia="方正仿宋_GBK" w:cs="Arial"/>
          <w:color w:val="333333"/>
          <w:szCs w:val="32"/>
        </w:rPr>
        <w:t>“五个一”</w:t>
      </w:r>
      <w:r>
        <w:rPr>
          <w:rFonts w:hint="eastAsia" w:ascii="仿宋_GB2312" w:hAnsi="宋体"/>
          <w:szCs w:val="32"/>
        </w:rPr>
        <w:t>；</w:t>
      </w:r>
      <w:r>
        <w:rPr>
          <w:rFonts w:hint="eastAsia" w:ascii="仿宋" w:hAnsi="仿宋" w:eastAsia="仿宋" w:cs="仿宋"/>
          <w:szCs w:val="32"/>
        </w:rPr>
        <w:t>残疾健身示范点建设补贴项目</w:t>
      </w:r>
      <w:r>
        <w:rPr>
          <w:rFonts w:hint="eastAsia" w:ascii="Palatino Linotype" w:hAnsi="Palatino Linotype" w:eastAsia="方正仿宋_GBK" w:cs="Palatino Linotype"/>
          <w:szCs w:val="32"/>
        </w:rPr>
        <w:t>为185名符合条件的</w:t>
      </w:r>
      <w:r>
        <w:rPr>
          <w:rFonts w:hint="eastAsia" w:ascii="仿宋_GB2312" w:hAnsi="宋体"/>
        </w:rPr>
        <w:t>残疾人开展日常健身活动，建设残疾人体育健身场地等工作任务，</w:t>
      </w:r>
      <w:r>
        <w:rPr>
          <w:rFonts w:hint="eastAsia" w:eastAsia="仿宋"/>
          <w:bCs/>
          <w:kern w:val="0"/>
          <w:szCs w:val="32"/>
        </w:rPr>
        <w:t>已完成100%</w:t>
      </w:r>
      <w:r>
        <w:rPr>
          <w:rFonts w:hint="eastAsia" w:ascii="仿宋" w:hAnsi="仿宋" w:eastAsia="仿宋" w:cs="仿宋"/>
          <w:szCs w:val="32"/>
        </w:rPr>
        <w:t>。</w:t>
      </w:r>
    </w:p>
    <w:p>
      <w:pPr>
        <w:keepLines/>
        <w:tabs>
          <w:tab w:val="left" w:pos="676"/>
        </w:tabs>
        <w:ind w:right="1120" w:firstLine="640" w:firstLineChars="200"/>
        <w:rPr>
          <w:rFonts w:eastAsia="仿宋"/>
          <w:color w:val="000000"/>
          <w:szCs w:val="32"/>
        </w:rPr>
      </w:pPr>
      <w:r>
        <w:rPr>
          <w:rFonts w:eastAsia="仿宋"/>
          <w:color w:val="000000"/>
          <w:szCs w:val="32"/>
        </w:rPr>
        <w:t>2.专项绩效的执行情况</w:t>
      </w:r>
    </w:p>
    <w:p>
      <w:pPr>
        <w:ind w:firstLine="480" w:firstLineChars="150"/>
        <w:rPr>
          <w:rFonts w:eastAsia="仿宋"/>
          <w:bCs/>
          <w:kern w:val="0"/>
          <w:szCs w:val="32"/>
        </w:rPr>
      </w:pPr>
      <w:r>
        <w:rPr>
          <w:rFonts w:eastAsia="仿宋"/>
          <w:bCs/>
          <w:kern w:val="0"/>
          <w:szCs w:val="32"/>
        </w:rPr>
        <w:t>绩效目标项目年初有</w:t>
      </w:r>
      <w:r>
        <w:rPr>
          <w:rFonts w:hint="eastAsia" w:eastAsia="仿宋"/>
          <w:bCs/>
          <w:kern w:val="0"/>
          <w:szCs w:val="32"/>
        </w:rPr>
        <w:t>3</w:t>
      </w:r>
      <w:r>
        <w:rPr>
          <w:rFonts w:eastAsia="仿宋"/>
          <w:bCs/>
          <w:kern w:val="0"/>
          <w:szCs w:val="32"/>
        </w:rPr>
        <w:t>个，开展绩效评价项目</w:t>
      </w:r>
      <w:r>
        <w:rPr>
          <w:rFonts w:hint="eastAsia" w:eastAsia="仿宋"/>
          <w:bCs/>
          <w:kern w:val="0"/>
          <w:szCs w:val="32"/>
        </w:rPr>
        <w:t>3</w:t>
      </w:r>
      <w:r>
        <w:rPr>
          <w:rFonts w:eastAsia="仿宋"/>
          <w:bCs/>
          <w:kern w:val="0"/>
          <w:szCs w:val="32"/>
        </w:rPr>
        <w:t>个，开展自评项目数</w:t>
      </w:r>
      <w:r>
        <w:rPr>
          <w:rFonts w:hint="eastAsia" w:eastAsia="仿宋"/>
          <w:bCs/>
          <w:kern w:val="0"/>
          <w:szCs w:val="32"/>
        </w:rPr>
        <w:t>3</w:t>
      </w:r>
      <w:r>
        <w:rPr>
          <w:rFonts w:eastAsia="仿宋"/>
          <w:bCs/>
          <w:kern w:val="0"/>
          <w:szCs w:val="32"/>
        </w:rPr>
        <w:t>个，完成绩效评价数</w:t>
      </w:r>
      <w:r>
        <w:rPr>
          <w:rFonts w:hint="eastAsia" w:eastAsia="仿宋"/>
          <w:bCs/>
          <w:kern w:val="0"/>
          <w:szCs w:val="32"/>
        </w:rPr>
        <w:t>3</w:t>
      </w:r>
      <w:r>
        <w:rPr>
          <w:rFonts w:eastAsia="仿宋"/>
          <w:bCs/>
          <w:kern w:val="0"/>
          <w:szCs w:val="32"/>
        </w:rPr>
        <w:t>个；应填报绩效目标的项目数</w:t>
      </w:r>
      <w:r>
        <w:rPr>
          <w:rFonts w:hint="eastAsia" w:eastAsia="仿宋"/>
          <w:bCs/>
          <w:kern w:val="0"/>
          <w:szCs w:val="32"/>
        </w:rPr>
        <w:t>5</w:t>
      </w:r>
      <w:r>
        <w:rPr>
          <w:rFonts w:eastAsia="仿宋"/>
          <w:bCs/>
          <w:kern w:val="0"/>
          <w:szCs w:val="32"/>
        </w:rPr>
        <w:t>个（年中追加</w:t>
      </w:r>
      <w:r>
        <w:rPr>
          <w:rFonts w:hint="eastAsia" w:eastAsia="仿宋"/>
          <w:bCs/>
          <w:kern w:val="0"/>
          <w:szCs w:val="32"/>
        </w:rPr>
        <w:t>2</w:t>
      </w:r>
      <w:r>
        <w:rPr>
          <w:rFonts w:eastAsia="仿宋"/>
          <w:bCs/>
          <w:kern w:val="0"/>
          <w:szCs w:val="32"/>
        </w:rPr>
        <w:t>个）、应开展绩效监控的项目</w:t>
      </w:r>
      <w:r>
        <w:rPr>
          <w:rFonts w:hint="eastAsia" w:eastAsia="仿宋"/>
          <w:bCs/>
          <w:kern w:val="0"/>
          <w:szCs w:val="32"/>
        </w:rPr>
        <w:t>5</w:t>
      </w:r>
      <w:r>
        <w:rPr>
          <w:rFonts w:eastAsia="仿宋"/>
          <w:bCs/>
          <w:kern w:val="0"/>
          <w:szCs w:val="32"/>
        </w:rPr>
        <w:t>个和应开展绩效自评项目</w:t>
      </w:r>
      <w:r>
        <w:rPr>
          <w:rFonts w:hint="eastAsia" w:eastAsia="仿宋"/>
          <w:bCs/>
          <w:kern w:val="0"/>
          <w:szCs w:val="32"/>
        </w:rPr>
        <w:t>5</w:t>
      </w:r>
      <w:r>
        <w:rPr>
          <w:rFonts w:eastAsia="仿宋"/>
          <w:bCs/>
          <w:kern w:val="0"/>
          <w:szCs w:val="32"/>
        </w:rPr>
        <w:t>个，应完成绩效工作数为</w:t>
      </w:r>
      <w:r>
        <w:rPr>
          <w:rFonts w:hint="eastAsia" w:eastAsia="仿宋"/>
          <w:bCs/>
          <w:kern w:val="0"/>
          <w:szCs w:val="32"/>
        </w:rPr>
        <w:t>5</w:t>
      </w:r>
      <w:r>
        <w:rPr>
          <w:rFonts w:eastAsia="仿宋"/>
          <w:bCs/>
          <w:kern w:val="0"/>
          <w:szCs w:val="32"/>
        </w:rPr>
        <w:t>个。</w:t>
      </w:r>
      <w:r>
        <w:rPr>
          <w:rFonts w:hint="eastAsia" w:eastAsia="仿宋"/>
          <w:bCs/>
          <w:kern w:val="0"/>
          <w:szCs w:val="32"/>
        </w:rPr>
        <w:t>5</w:t>
      </w:r>
      <w:r>
        <w:rPr>
          <w:rFonts w:eastAsia="仿宋"/>
          <w:bCs/>
          <w:kern w:val="0"/>
          <w:szCs w:val="32"/>
        </w:rPr>
        <w:t>个项目</w:t>
      </w:r>
      <w:r>
        <w:rPr>
          <w:rFonts w:hint="eastAsia" w:eastAsia="仿宋"/>
          <w:bCs/>
          <w:kern w:val="0"/>
          <w:szCs w:val="32"/>
        </w:rPr>
        <w:t>执行达100</w:t>
      </w:r>
      <w:r>
        <w:rPr>
          <w:rFonts w:eastAsia="仿宋"/>
          <w:bCs/>
          <w:kern w:val="0"/>
          <w:szCs w:val="32"/>
        </w:rPr>
        <w:t>%以上的项目</w:t>
      </w:r>
      <w:r>
        <w:rPr>
          <w:rFonts w:hint="eastAsia" w:eastAsia="仿宋"/>
          <w:bCs/>
          <w:kern w:val="0"/>
          <w:szCs w:val="32"/>
        </w:rPr>
        <w:t>5</w:t>
      </w:r>
      <w:r>
        <w:rPr>
          <w:rFonts w:eastAsia="仿宋"/>
          <w:bCs/>
          <w:kern w:val="0"/>
          <w:szCs w:val="32"/>
        </w:rPr>
        <w:t>项</w:t>
      </w:r>
      <w:r>
        <w:rPr>
          <w:rFonts w:hint="eastAsia" w:eastAsia="仿宋"/>
          <w:bCs/>
          <w:kern w:val="0"/>
          <w:szCs w:val="32"/>
        </w:rPr>
        <w:t>。</w:t>
      </w:r>
      <w:r>
        <w:rPr>
          <w:rFonts w:eastAsia="仿宋"/>
          <w:bCs/>
          <w:kern w:val="0"/>
          <w:szCs w:val="32"/>
        </w:rPr>
        <w:t>项目综合完成率为</w:t>
      </w:r>
      <w:r>
        <w:rPr>
          <w:rFonts w:hint="eastAsia" w:eastAsia="仿宋"/>
          <w:bCs/>
          <w:kern w:val="0"/>
          <w:szCs w:val="32"/>
        </w:rPr>
        <w:t>100</w:t>
      </w:r>
      <w:r>
        <w:rPr>
          <w:rFonts w:eastAsia="仿宋"/>
          <w:bCs/>
          <w:kern w:val="0"/>
          <w:szCs w:val="32"/>
        </w:rPr>
        <w:t>%。</w:t>
      </w:r>
    </w:p>
    <w:p>
      <w:pPr>
        <w:ind w:firstLine="480" w:firstLineChars="150"/>
        <w:rPr>
          <w:rFonts w:ascii="仿宋_GB2312" w:hAnsi="宋体" w:cs="宋体"/>
          <w:color w:val="000000"/>
          <w:kern w:val="0"/>
          <w:szCs w:val="32"/>
          <w:shd w:val="clear" w:color="auto" w:fill="FFFFFF"/>
          <w:lang w:val="zh-CN"/>
        </w:rPr>
      </w:pPr>
      <w:r>
        <w:rPr>
          <w:rFonts w:eastAsia="仿宋"/>
          <w:bCs/>
          <w:kern w:val="0"/>
          <w:szCs w:val="32"/>
        </w:rPr>
        <w:t>专项预算管理</w:t>
      </w:r>
      <w:r>
        <w:rPr>
          <w:rFonts w:hint="eastAsia" w:eastAsia="仿宋"/>
          <w:bCs/>
          <w:kern w:val="0"/>
          <w:szCs w:val="32"/>
        </w:rPr>
        <w:t>分值为40分，自评得分为</w:t>
      </w:r>
      <w:r>
        <w:rPr>
          <w:rFonts w:hint="eastAsia" w:eastAsia="仿宋"/>
          <w:bCs/>
          <w:kern w:val="0"/>
          <w:szCs w:val="32"/>
          <w:u w:val="single"/>
        </w:rPr>
        <w:t>37分</w:t>
      </w:r>
      <w:r>
        <w:rPr>
          <w:rFonts w:hint="eastAsia" w:eastAsia="仿宋"/>
          <w:bCs/>
          <w:kern w:val="0"/>
          <w:szCs w:val="32"/>
        </w:rPr>
        <w:t>。</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rPr>
        <w:t>四</w:t>
      </w:r>
      <w:r>
        <w:rPr>
          <w:rFonts w:hint="eastAsia" w:ascii="仿宋_GB2312" w:hAnsi="宋体" w:cs="宋体"/>
          <w:color w:val="000000"/>
          <w:kern w:val="0"/>
          <w:szCs w:val="32"/>
          <w:shd w:val="clear" w:color="auto" w:fill="FFFFFF"/>
          <w:lang w:val="zh-CN"/>
        </w:rPr>
        <w:t>）结果应用情况。</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1、自评质量</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kern w:val="0"/>
          <w:szCs w:val="32"/>
          <w:shd w:val="clear" w:color="auto" w:fill="FFFFFF"/>
          <w:lang w:val="zh-CN"/>
        </w:rPr>
        <w:t>达川区残联已出台全面实施预算绩效管理工作方案，细化考核内容，加强各业务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kern w:val="0"/>
          <w:szCs w:val="32"/>
          <w:shd w:val="clear" w:color="auto" w:fill="FFFFFF"/>
        </w:rPr>
        <w:t>3.5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2、绩效目标公开</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根据《达州市达川区财政局关于批复202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年区级部门预算的通知》（达川财预〔202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4号）文件，达川区残联按要求于202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w:t>
      </w:r>
      <w:r>
        <w:rPr>
          <w:rFonts w:hint="eastAsia" w:ascii="仿宋_GB2312" w:hAnsi="宋体" w:cs="宋体"/>
          <w:color w:val="000000" w:themeColor="text1"/>
          <w:kern w:val="0"/>
          <w:szCs w:val="32"/>
          <w:shd w:val="clear" w:color="auto" w:fill="FFFFFF"/>
        </w:rPr>
        <w:t>3</w:t>
      </w:r>
      <w:r>
        <w:rPr>
          <w:rFonts w:hint="eastAsia" w:ascii="仿宋_GB2312" w:hAnsi="宋体" w:cs="宋体"/>
          <w:color w:val="000000" w:themeColor="text1"/>
          <w:kern w:val="0"/>
          <w:szCs w:val="32"/>
          <w:shd w:val="clear" w:color="auto" w:fill="FFFFFF"/>
          <w:lang w:val="zh-CN"/>
        </w:rPr>
        <w:t>月</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5日在达川区人民政府门户网站公开了部门预算和预算项目绩效目标。</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3、自评公开</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kern w:val="0"/>
          <w:szCs w:val="32"/>
          <w:shd w:val="clear" w:color="auto" w:fill="FFFFFF"/>
          <w:lang w:val="zh-CN"/>
        </w:rPr>
        <w:t>达川区残联严格按照预决算编制要求编制绩效目标，填列绩效目标完成情况，开展绩效自评工作，达川区</w:t>
      </w:r>
      <w:r>
        <w:rPr>
          <w:rFonts w:hint="eastAsia" w:ascii="仿宋_GB2312" w:hAnsi="宋体" w:cs="宋体"/>
          <w:color w:val="000000" w:themeColor="text1"/>
          <w:kern w:val="0"/>
          <w:szCs w:val="32"/>
          <w:shd w:val="clear" w:color="auto" w:fill="FFFFFF"/>
          <w:lang w:val="zh-CN"/>
        </w:rPr>
        <w:t>残联2021年部门整体支出绩效自评报告于2022年4月15日在达川区人民政府网公开，达川区残联202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年部门整体支出绩效自评报告拟定于202</w:t>
      </w:r>
      <w:r>
        <w:rPr>
          <w:rFonts w:hint="eastAsia" w:ascii="仿宋_GB2312" w:hAnsi="宋体" w:cs="宋体"/>
          <w:color w:val="000000" w:themeColor="text1"/>
          <w:kern w:val="0"/>
          <w:szCs w:val="32"/>
          <w:shd w:val="clear" w:color="auto" w:fill="FFFFFF"/>
        </w:rPr>
        <w:t>3</w:t>
      </w:r>
      <w:r>
        <w:rPr>
          <w:rFonts w:hint="eastAsia" w:ascii="仿宋_GB2312" w:hAnsi="宋体" w:cs="宋体"/>
          <w:color w:val="000000" w:themeColor="text1"/>
          <w:kern w:val="0"/>
          <w:szCs w:val="32"/>
          <w:shd w:val="clear" w:color="auto" w:fill="FFFFFF"/>
          <w:lang w:val="zh-CN"/>
        </w:rPr>
        <w:t>年4月1</w:t>
      </w:r>
      <w:r>
        <w:rPr>
          <w:rFonts w:hint="eastAsia" w:ascii="仿宋_GB2312" w:hAnsi="宋体" w:cs="宋体"/>
          <w:color w:val="000000" w:themeColor="text1"/>
          <w:kern w:val="0"/>
          <w:szCs w:val="32"/>
          <w:shd w:val="clear" w:color="auto" w:fill="FFFFFF"/>
        </w:rPr>
        <w:t>4</w:t>
      </w:r>
      <w:r>
        <w:rPr>
          <w:rFonts w:hint="eastAsia" w:ascii="仿宋_GB2312" w:hAnsi="宋体" w:cs="宋体"/>
          <w:color w:val="000000" w:themeColor="text1"/>
          <w:kern w:val="0"/>
          <w:szCs w:val="32"/>
          <w:shd w:val="clear" w:color="auto" w:fill="FFFFFF"/>
          <w:lang w:val="zh-CN"/>
        </w:rPr>
        <w:t>日前在达川区人民政府网公开。</w:t>
      </w:r>
      <w:r>
        <w:rPr>
          <w:rFonts w:hint="eastAsia" w:ascii="仿宋_GB2312" w:hAnsi="宋体" w:cs="宋体"/>
          <w:kern w:val="0"/>
          <w:szCs w:val="32"/>
          <w:shd w:val="clear" w:color="auto" w:fill="FFFFFF"/>
          <w:lang w:val="zh-CN"/>
        </w:rPr>
        <w:t>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4、评价结果整改和应用结果反馈</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达川区残联针对202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年开展的财政绩效自评价、绩效自监控对202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年度绩效评价发现的问题,制定了整改措施,以促进部门预算绩效管理,提高部门的绩效观念，促进预算资金使用效益提升。</w:t>
      </w:r>
      <w:r>
        <w:rPr>
          <w:rFonts w:hint="eastAsia" w:ascii="仿宋_GB2312" w:hAnsi="宋体" w:cs="宋体"/>
          <w:kern w:val="0"/>
          <w:szCs w:val="32"/>
          <w:shd w:val="clear" w:color="auto" w:fill="FFFFFF"/>
          <w:lang w:val="zh-CN"/>
        </w:rPr>
        <w:t>该项指标分值为</w:t>
      </w:r>
      <w:r>
        <w:rPr>
          <w:rFonts w:hint="eastAsia" w:ascii="仿宋_GB2312" w:hAnsi="宋体" w:cs="宋体"/>
          <w:kern w:val="0"/>
          <w:szCs w:val="32"/>
          <w:shd w:val="clear" w:color="auto" w:fill="FFFFFF"/>
        </w:rPr>
        <w:t>4</w:t>
      </w:r>
      <w:r>
        <w:rPr>
          <w:rFonts w:hint="eastAsia" w:ascii="仿宋_GB2312" w:hAnsi="宋体" w:cs="宋体"/>
          <w:kern w:val="0"/>
          <w:szCs w:val="32"/>
          <w:shd w:val="clear" w:color="auto" w:fill="FFFFFF"/>
          <w:lang w:val="zh-CN"/>
        </w:rPr>
        <w:t>分，自评得分</w:t>
      </w:r>
      <w:r>
        <w:rPr>
          <w:rFonts w:hint="eastAsia" w:ascii="仿宋_GB2312" w:hAnsi="宋体" w:cs="宋体"/>
          <w:kern w:val="0"/>
          <w:szCs w:val="32"/>
          <w:shd w:val="clear" w:color="auto" w:fill="FFFFFF"/>
        </w:rPr>
        <w:t>4</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320" w:firstLineChars="1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w:t>
      </w:r>
      <w:r>
        <w:rPr>
          <w:rFonts w:hint="eastAsia" w:ascii="仿宋_GB2312" w:hAnsi="宋体" w:cs="宋体"/>
          <w:color w:val="000000" w:themeColor="text1"/>
          <w:kern w:val="0"/>
          <w:szCs w:val="32"/>
          <w:shd w:val="clear" w:color="auto" w:fill="FFFFFF"/>
        </w:rPr>
        <w:t>五）</w:t>
      </w:r>
      <w:r>
        <w:rPr>
          <w:rFonts w:hint="eastAsia" w:ascii="仿宋_GB2312" w:hAnsi="宋体" w:cs="宋体"/>
          <w:color w:val="000000" w:themeColor="text1"/>
          <w:kern w:val="0"/>
          <w:szCs w:val="32"/>
          <w:shd w:val="clear" w:color="auto" w:fill="FFFFFF"/>
          <w:lang w:val="zh-CN"/>
        </w:rPr>
        <w:t>自评质量</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rPr>
      </w:pPr>
      <w:r>
        <w:rPr>
          <w:rFonts w:hint="eastAsia" w:ascii="仿宋_GB2312" w:hAnsi="宋体" w:cs="宋体"/>
          <w:color w:val="000000" w:themeColor="text1"/>
          <w:kern w:val="0"/>
          <w:szCs w:val="32"/>
          <w:shd w:val="clear" w:color="auto" w:fill="FFFFFF"/>
          <w:lang w:val="zh-CN"/>
        </w:rPr>
        <w:t>达川区残联整体支出自评准确率较高，</w:t>
      </w:r>
      <w:r>
        <w:rPr>
          <w:rFonts w:hint="eastAsia" w:ascii="仿宋_GB2312" w:hAnsi="宋体" w:cs="宋体"/>
          <w:color w:val="000000" w:themeColor="text1"/>
          <w:kern w:val="0"/>
          <w:szCs w:val="32"/>
          <w:shd w:val="clear" w:color="auto" w:fill="FFFFFF"/>
        </w:rPr>
        <w:t>且全面开展自评</w:t>
      </w:r>
      <w:r>
        <w:rPr>
          <w:rFonts w:hint="eastAsia" w:ascii="仿宋_GB2312" w:hAnsi="宋体" w:cs="宋体"/>
          <w:color w:val="000000" w:themeColor="text1"/>
          <w:kern w:val="0"/>
          <w:szCs w:val="32"/>
          <w:shd w:val="clear" w:color="auto" w:fill="FFFFFF"/>
          <w:lang w:val="zh-CN"/>
        </w:rPr>
        <w:t>。</w:t>
      </w:r>
      <w:r>
        <w:rPr>
          <w:rFonts w:hint="eastAsia" w:ascii="仿宋_GB2312" w:hAnsi="宋体" w:cs="宋体"/>
          <w:color w:val="000000" w:themeColor="text1"/>
          <w:kern w:val="0"/>
          <w:szCs w:val="32"/>
          <w:shd w:val="clear" w:color="auto" w:fill="FFFFFF"/>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rPr>
      </w:pPr>
      <w:r>
        <w:rPr>
          <w:rFonts w:hint="eastAsia" w:ascii="仿宋_GB2312" w:hAnsi="宋体" w:cs="宋体"/>
          <w:color w:val="000000" w:themeColor="text1"/>
          <w:kern w:val="0"/>
          <w:szCs w:val="32"/>
          <w:shd w:val="clear" w:color="auto" w:fill="FFFFFF"/>
          <w:lang w:val="zh-CN"/>
        </w:rPr>
        <w:t>202</w:t>
      </w:r>
      <w:r>
        <w:rPr>
          <w:rFonts w:hint="eastAsia" w:ascii="仿宋_GB2312" w:hAnsi="宋体" w:cs="宋体"/>
          <w:color w:val="000000" w:themeColor="text1"/>
          <w:kern w:val="0"/>
          <w:szCs w:val="32"/>
          <w:shd w:val="clear" w:color="auto" w:fill="FFFFFF"/>
        </w:rPr>
        <w:t>2</w:t>
      </w:r>
      <w:r>
        <w:rPr>
          <w:rFonts w:hint="eastAsia" w:ascii="仿宋_GB2312" w:hAnsi="宋体" w:cs="宋体"/>
          <w:color w:val="000000" w:themeColor="text1"/>
          <w:kern w:val="0"/>
          <w:szCs w:val="32"/>
          <w:shd w:val="clear" w:color="auto" w:fill="FFFFFF"/>
          <w:lang w:val="zh-CN"/>
        </w:rPr>
        <w:t>年</w:t>
      </w:r>
      <w:r>
        <w:rPr>
          <w:rFonts w:hint="eastAsia" w:ascii="仿宋_GB2312" w:hAnsi="宋体" w:cs="宋体"/>
          <w:color w:val="000000" w:themeColor="text1"/>
          <w:kern w:val="0"/>
          <w:szCs w:val="32"/>
          <w:shd w:val="clear" w:color="auto" w:fill="FFFFFF"/>
        </w:rPr>
        <w:t>我</w:t>
      </w:r>
      <w:r>
        <w:rPr>
          <w:rFonts w:hint="eastAsia" w:ascii="仿宋_GB2312" w:hAnsi="宋体" w:cs="宋体"/>
          <w:color w:val="000000" w:themeColor="text1"/>
          <w:kern w:val="0"/>
          <w:szCs w:val="32"/>
          <w:shd w:val="clear" w:color="auto" w:fill="FFFFFF"/>
          <w:lang w:val="zh-CN"/>
        </w:rPr>
        <w:t>部门（</w:t>
      </w:r>
      <w:r>
        <w:rPr>
          <w:rFonts w:hint="eastAsia" w:ascii="仿宋_GB2312" w:hAnsi="宋体" w:cs="宋体"/>
          <w:color w:val="000000" w:themeColor="text1"/>
          <w:kern w:val="0"/>
          <w:szCs w:val="32"/>
          <w:shd w:val="clear" w:color="auto" w:fill="FFFFFF"/>
        </w:rPr>
        <w:t>单位）</w:t>
      </w:r>
      <w:r>
        <w:rPr>
          <w:rFonts w:hint="eastAsia" w:ascii="仿宋_GB2312" w:hAnsi="宋体" w:cs="宋体"/>
          <w:color w:val="000000" w:themeColor="text1"/>
          <w:kern w:val="0"/>
          <w:szCs w:val="32"/>
          <w:shd w:val="clear" w:color="auto" w:fill="FFFFFF"/>
          <w:lang w:val="zh-CN"/>
        </w:rPr>
        <w:t>整体支出绩效自评得分</w:t>
      </w:r>
      <w:r>
        <w:rPr>
          <w:rFonts w:hint="eastAsia" w:ascii="仿宋_GB2312" w:hAnsi="宋体" w:cs="宋体"/>
          <w:color w:val="000000" w:themeColor="text1"/>
          <w:kern w:val="0"/>
          <w:szCs w:val="32"/>
          <w:shd w:val="clear" w:color="auto" w:fill="FFFFFF"/>
        </w:rPr>
        <w:t>实际为83</w:t>
      </w:r>
      <w:r>
        <w:rPr>
          <w:rFonts w:hint="eastAsia" w:ascii="仿宋_GB2312" w:hAnsi="宋体" w:cs="宋体"/>
          <w:color w:val="000000" w:themeColor="text1"/>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Cs w:val="32"/>
          <w:shd w:val="clear" w:color="auto" w:fill="FFFFFF"/>
        </w:rPr>
      </w:pPr>
      <w:r>
        <w:rPr>
          <w:rFonts w:hint="eastAsia" w:ascii="黑体" w:hAnsi="宋体" w:eastAsia="黑体" w:cs="宋体"/>
          <w:color w:val="000000" w:themeColor="text1"/>
          <w:kern w:val="0"/>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color w:val="000000" w:themeColor="text1"/>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仿宋_GB2312" w:hAnsi="宋体" w:cs="宋体"/>
          <w:kern w:val="0"/>
          <w:szCs w:val="32"/>
          <w:shd w:val="clear" w:color="auto" w:fill="FFFFFF"/>
          <w:lang w:val="zh-CN"/>
        </w:rPr>
        <w:t>按照202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年度</w:t>
      </w:r>
      <w:r>
        <w:rPr>
          <w:rFonts w:hint="eastAsia" w:ascii="仿宋_GB2312" w:hAnsi="宋体" w:cs="宋体"/>
          <w:kern w:val="0"/>
          <w:szCs w:val="32"/>
          <w:shd w:val="clear" w:color="auto" w:fill="FFFFFF"/>
        </w:rPr>
        <w:t>区</w:t>
      </w:r>
      <w:r>
        <w:rPr>
          <w:rFonts w:hint="eastAsia" w:ascii="仿宋_GB2312" w:hAnsi="宋体" w:cs="宋体"/>
          <w:kern w:val="0"/>
          <w:szCs w:val="32"/>
          <w:shd w:val="clear" w:color="auto" w:fill="FFFFFF"/>
          <w:lang w:val="zh-CN"/>
        </w:rPr>
        <w:t>级部门整体支出绩效评价指标体系，绩效评价总分</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分，达川区残联得分</w:t>
      </w:r>
      <w:r>
        <w:rPr>
          <w:rFonts w:hint="eastAsia" w:ascii="仿宋_GB2312" w:hAnsi="宋体" w:cs="宋体"/>
          <w:kern w:val="0"/>
          <w:szCs w:val="32"/>
          <w:shd w:val="clear" w:color="auto" w:fill="FFFFFF"/>
        </w:rPr>
        <w:t>83</w:t>
      </w:r>
      <w:r>
        <w:rPr>
          <w:rFonts w:hint="eastAsia" w:ascii="仿宋_GB2312" w:hAnsi="宋体" w:cs="宋体"/>
          <w:kern w:val="0"/>
          <w:szCs w:val="32"/>
          <w:shd w:val="clear" w:color="auto" w:fill="FFFFFF"/>
          <w:lang w:val="zh-CN"/>
        </w:rPr>
        <w:t>分（</w:t>
      </w:r>
      <w:r>
        <w:rPr>
          <w:rFonts w:hint="eastAsia" w:ascii="仿宋_GB2312" w:hAnsi="宋体" w:cs="宋体"/>
          <w:kern w:val="0"/>
          <w:szCs w:val="32"/>
          <w:shd w:val="clear" w:color="auto" w:fill="FFFFFF"/>
        </w:rPr>
        <w:t>详见《2023年整体支出绩效评价指标体系表》）。</w:t>
      </w:r>
      <w:r>
        <w:rPr>
          <w:rFonts w:hint="eastAsia" w:ascii="仿宋_GB2312" w:hAnsi="宋体" w:cs="宋体"/>
          <w:kern w:val="0"/>
          <w:szCs w:val="32"/>
          <w:shd w:val="clear" w:color="auto" w:fill="FFFFFF"/>
          <w:lang w:val="zh-CN"/>
        </w:rPr>
        <w:t>基本完成了年度预算绩效管理目标，扣分项主要是个别时间节点预算执行进度不高。</w:t>
      </w:r>
    </w:p>
    <w:p>
      <w:pPr>
        <w:widowControl/>
        <w:adjustRightInd w:val="0"/>
        <w:snapToGrid w:val="0"/>
        <w:spacing w:line="580" w:lineRule="exact"/>
        <w:ind w:left="640" w:left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rPr>
        <w:t>一是预算执行进度仍需提高。在 2022年采取了一系列加快预算执行进度的措施，预算执行情况有所改善，但由于疫情影响政府采购程序较繁杂等原因，预算实际执行进度距预算执行目标进度的要求还是有一定距离，预算执行还需要提高。二是部分预算项目绩效目标编制不完善。在编制绩效目标时，未根据自身项目情况考虑周到，造成该项目绩效目标完成存在一定困难。</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1．进一步提高预算执行能力 </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一是杜绝“重预算轻执行”的思想，抓紧前期项目准备工作、 </w:t>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优化项目组织实施、加快项目验收。加强对资金使用和项目实施情况等进行监督管理，进一步提 高预算执行力。二是及时实施特定目标类项目和政府采购项目，做好部门预算执行与日常业务工作的深度融合，加快推进运转类和特定目标类项目支出。三是涉及政府采购的，把握时间节点，提前做好采购意向公开和采购前期准备，尽快实施。 </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2．进一步强化单位预算绩效管理能力 </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一是加大力度做好预算编制基础工作，通过科学化、标准化、 </w:t>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精细化编制预算，从源头上增强预算执行的刚性和效果。二是加强部门预算编制与执行的有机结合，切实提高预算的年初到位率，规范预算追加。三是强化资金拨付、管理和使用，严格按预算批复项目使用资金，严格实行预算调整报批，维护预算的严肃性，强化预算的约束力，确保预算执行效果。 </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 xml:space="preserve">3．进一步加强队伍能力建设 </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附件：</w:t>
      </w:r>
    </w:p>
    <w:p>
      <w:pPr>
        <w:ind w:firstLine="640" w:firstLineChars="200"/>
        <w:rPr>
          <w:rFonts w:ascii="仿宋_GB2312" w:hAnsi="宋体" w:cs="宋体"/>
          <w:kern w:val="0"/>
          <w:szCs w:val="32"/>
          <w:shd w:val="clear" w:color="auto" w:fill="FFFFFF"/>
        </w:rPr>
      </w:pPr>
      <w:r>
        <w:rPr>
          <w:rFonts w:hint="eastAsia" w:ascii="仿宋_GB2312" w:hAnsi="宋体" w:cs="宋体"/>
          <w:kern w:val="0"/>
          <w:szCs w:val="32"/>
          <w:shd w:val="clear" w:color="auto" w:fill="FFFFFF"/>
        </w:rPr>
        <w:t>1.2022年特定目标类部门预算项目绩效目标自评（项目名称：1残疾人专项救助）</w:t>
      </w:r>
    </w:p>
    <w:p>
      <w:pPr>
        <w:ind w:firstLine="640" w:firstLineChars="200"/>
        <w:rPr>
          <w:rFonts w:ascii="仿宋_GB2312" w:hAnsi="宋体" w:cs="宋体"/>
          <w:kern w:val="0"/>
          <w:szCs w:val="32"/>
          <w:shd w:val="clear" w:color="auto" w:fill="FFFFFF"/>
        </w:rPr>
      </w:pPr>
      <w:r>
        <w:rPr>
          <w:rFonts w:hint="eastAsia" w:ascii="仿宋_GB2312" w:hAnsi="宋体" w:cs="宋体"/>
          <w:kern w:val="0"/>
          <w:szCs w:val="32"/>
          <w:shd w:val="clear" w:color="auto" w:fill="FFFFFF"/>
        </w:rPr>
        <w:t>2.2022年特定目标类部门预算项目绩效目标自评（项目名称：2“智慧量服”手持终端资费项目）</w:t>
      </w:r>
    </w:p>
    <w:p>
      <w:pPr>
        <w:pStyle w:val="2"/>
      </w:pPr>
      <w:r>
        <w:rPr>
          <w:rFonts w:hint="eastAsia" w:ascii="仿宋_GB2312" w:hAnsi="宋体" w:cs="宋体"/>
          <w:kern w:val="0"/>
          <w:szCs w:val="32"/>
          <w:shd w:val="clear" w:color="auto" w:fill="FFFFFF"/>
        </w:rPr>
        <w:t xml:space="preserve">      </w:t>
      </w:r>
    </w:p>
    <w:p>
      <w:pPr>
        <w:ind w:firstLine="640" w:firstLineChars="200"/>
        <w:rPr>
          <w:rFonts w:ascii="仿宋_GB2312" w:hAnsi="宋体" w:cs="宋体"/>
          <w:kern w:val="0"/>
          <w:szCs w:val="32"/>
          <w:shd w:val="clear" w:color="auto" w:fill="FFFFFF"/>
        </w:rPr>
      </w:pPr>
      <w:r>
        <w:rPr>
          <w:rFonts w:hint="eastAsia" w:ascii="仿宋_GB2312" w:hAnsi="宋体" w:cs="宋体"/>
          <w:kern w:val="0"/>
          <w:szCs w:val="32"/>
          <w:shd w:val="clear" w:color="auto" w:fill="FFFFFF"/>
        </w:rPr>
        <w:t>3.2022年特定目标类部门预算项目绩效目标自评（项目名称：助残维权维稳资金项目）</w:t>
      </w:r>
    </w:p>
    <w:p>
      <w:pPr>
        <w:ind w:firstLine="640" w:firstLineChars="200"/>
        <w:rPr>
          <w:rFonts w:ascii="仿宋_GB2312" w:hAnsi="宋体" w:cs="宋体"/>
          <w:color w:val="000000"/>
          <w:kern w:val="0"/>
          <w:szCs w:val="32"/>
          <w:shd w:val="clear" w:color="auto" w:fill="FFFFFF"/>
          <w:lang w:val="zh-CN"/>
        </w:rPr>
      </w:pPr>
      <w:r>
        <w:rPr>
          <w:rFonts w:hint="eastAsia" w:ascii="仿宋_GB2312" w:hAnsi="宋体" w:cs="宋体"/>
          <w:kern w:val="0"/>
          <w:szCs w:val="32"/>
          <w:shd w:val="clear" w:color="auto" w:fill="FFFFFF"/>
        </w:rPr>
        <w:t>4.单位2023年整体支出绩效评价指标体系表</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w:t>
      </w:r>
      <w:r>
        <w:rPr>
          <w:rFonts w:hint="eastAsia" w:ascii="仿宋_GB2312" w:hAnsi="宋体" w:cs="宋体"/>
          <w:color w:val="000000"/>
          <w:kern w:val="0"/>
          <w:szCs w:val="32"/>
          <w:shd w:val="clear" w:color="auto" w:fill="FFFFFF"/>
        </w:rPr>
        <w:t>件1</w:t>
      </w:r>
      <w:r>
        <w:rPr>
          <w:rFonts w:hint="eastAsia" w:ascii="仿宋_GB2312" w:hAnsi="宋体" w:cs="宋体"/>
          <w:color w:val="000000"/>
          <w:kern w:val="0"/>
          <w:szCs w:val="32"/>
          <w:shd w:val="clear" w:color="auto" w:fill="FFFFFF"/>
          <w:lang w:val="zh-CN"/>
        </w:rPr>
        <w:t>：</w:t>
      </w:r>
    </w:p>
    <w:tbl>
      <w:tblPr>
        <w:tblStyle w:val="6"/>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82"/>
        <w:gridCol w:w="1486"/>
        <w:gridCol w:w="1575"/>
        <w:gridCol w:w="1950"/>
        <w:gridCol w:w="1495"/>
        <w:gridCol w:w="1906"/>
        <w:gridCol w:w="226"/>
      </w:tblGrid>
      <w:tr>
        <w:tblPrEx>
          <w:tblCellMar>
            <w:top w:w="0" w:type="dxa"/>
            <w:left w:w="108" w:type="dxa"/>
            <w:bottom w:w="0" w:type="dxa"/>
            <w:right w:w="108" w:type="dxa"/>
          </w:tblCellMar>
        </w:tblPrEx>
        <w:trPr>
          <w:trHeight w:val="675" w:hRule="atLeast"/>
        </w:trPr>
        <w:tc>
          <w:tcPr>
            <w:tcW w:w="4883" w:type="pct"/>
            <w:gridSpan w:val="6"/>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（项目名称：残疾人专项救助）</w:t>
            </w:r>
          </w:p>
        </w:tc>
        <w:tc>
          <w:tcPr>
            <w:tcW w:w="116"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228" w:type="dxa"/>
          <w:trHeight w:val="670" w:hRule="atLeast"/>
        </w:trPr>
        <w:tc>
          <w:tcPr>
            <w:tcW w:w="13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实施单位</w:t>
            </w:r>
          </w:p>
        </w:tc>
        <w:tc>
          <w:tcPr>
            <w:tcW w:w="1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达川区残联</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主管部门及代码</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173001</w:t>
            </w:r>
          </w:p>
        </w:tc>
      </w:tr>
      <w:tr>
        <w:tblPrEx>
          <w:tblCellMar>
            <w:top w:w="0" w:type="dxa"/>
            <w:left w:w="108" w:type="dxa"/>
            <w:bottom w:w="0" w:type="dxa"/>
            <w:right w:w="108" w:type="dxa"/>
          </w:tblCellMar>
        </w:tblPrEx>
        <w:trPr>
          <w:gridAfter w:val="1"/>
          <w:wAfter w:w="228" w:type="dxa"/>
          <w:trHeight w:val="370" w:hRule="atLeast"/>
        </w:trPr>
        <w:tc>
          <w:tcPr>
            <w:tcW w:w="1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项目预算</w:t>
            </w:r>
          </w:p>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执行情况</w:t>
            </w:r>
          </w:p>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（万元）</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 xml:space="preserve"> 预算数：</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 xml:space="preserve"> 执行数：</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3.4</w:t>
            </w:r>
          </w:p>
        </w:tc>
      </w:tr>
      <w:tr>
        <w:tblPrEx>
          <w:tblCellMar>
            <w:top w:w="0" w:type="dxa"/>
            <w:left w:w="108" w:type="dxa"/>
            <w:bottom w:w="0" w:type="dxa"/>
            <w:right w:w="108" w:type="dxa"/>
          </w:tblCellMar>
        </w:tblPrEx>
        <w:trPr>
          <w:gridAfter w:val="1"/>
          <w:wAfter w:w="228" w:type="dxa"/>
          <w:trHeight w:val="670" w:hRule="atLeast"/>
        </w:trPr>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财政拨款</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财政拨款</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3.4</w:t>
            </w:r>
          </w:p>
        </w:tc>
      </w:tr>
      <w:tr>
        <w:tblPrEx>
          <w:tblCellMar>
            <w:top w:w="0" w:type="dxa"/>
            <w:left w:w="108" w:type="dxa"/>
            <w:bottom w:w="0" w:type="dxa"/>
            <w:right w:w="108" w:type="dxa"/>
          </w:tblCellMar>
        </w:tblPrEx>
        <w:trPr>
          <w:gridAfter w:val="1"/>
          <w:wAfter w:w="228" w:type="dxa"/>
          <w:trHeight w:val="370" w:hRule="atLeast"/>
        </w:trPr>
        <w:tc>
          <w:tcPr>
            <w:tcW w:w="1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其他资金</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其他资金</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p>
        </w:tc>
      </w:tr>
      <w:tr>
        <w:tblPrEx>
          <w:tblCellMar>
            <w:top w:w="0" w:type="dxa"/>
            <w:left w:w="108" w:type="dxa"/>
            <w:bottom w:w="0" w:type="dxa"/>
            <w:right w:w="108" w:type="dxa"/>
          </w:tblCellMar>
        </w:tblPrEx>
        <w:trPr>
          <w:gridAfter w:val="1"/>
          <w:wAfter w:w="228" w:type="dxa"/>
          <w:trHeight w:val="350"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年度总体目标</w:t>
            </w:r>
          </w:p>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完成情况</w:t>
            </w: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预期目标</w:t>
            </w:r>
          </w:p>
        </w:tc>
        <w:tc>
          <w:tcPr>
            <w:tcW w:w="17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目标实际完成情况</w:t>
            </w:r>
          </w:p>
        </w:tc>
      </w:tr>
      <w:tr>
        <w:tblPrEx>
          <w:tblCellMar>
            <w:top w:w="0" w:type="dxa"/>
            <w:left w:w="108" w:type="dxa"/>
            <w:bottom w:w="0" w:type="dxa"/>
            <w:right w:w="108" w:type="dxa"/>
          </w:tblCellMar>
        </w:tblPrEx>
        <w:trPr>
          <w:gridAfter w:val="1"/>
          <w:wAfter w:w="228" w:type="dxa"/>
          <w:trHeight w:val="1329"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2577"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2022年预计使用财政资金4万元，用于对30人当年遭遇自然灾害、意外伤害等突发事件导致基本生活陷入困境的残疾人提供临时性生活费救助，救助标准200至2000元/人/次。</w:t>
            </w:r>
          </w:p>
        </w:tc>
        <w:tc>
          <w:tcPr>
            <w:tcW w:w="1748"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已完成。2022使用残疾人专项救助资金3.4万元对31人当年遭遇自然灾害、意外伤害等突发事件导致基本生活陷入困境的残疾人提供了临时性生活费救助，救助标准200至2000元/人/次。</w:t>
            </w:r>
          </w:p>
        </w:tc>
      </w:tr>
      <w:tr>
        <w:tblPrEx>
          <w:tblCellMar>
            <w:top w:w="0" w:type="dxa"/>
            <w:left w:w="108" w:type="dxa"/>
            <w:bottom w:w="0" w:type="dxa"/>
            <w:right w:w="108" w:type="dxa"/>
          </w:tblCellMar>
        </w:tblPrEx>
        <w:trPr>
          <w:gridAfter w:val="1"/>
          <w:wAfter w:w="228" w:type="dxa"/>
          <w:trHeight w:val="76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年度绩效指标完成情况</w:t>
            </w:r>
          </w:p>
        </w:tc>
        <w:tc>
          <w:tcPr>
            <w:tcW w:w="76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一级</w:t>
            </w:r>
          </w:p>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二级</w:t>
            </w:r>
          </w:p>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三级</w:t>
            </w:r>
          </w:p>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预期指标值</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实际完成指标值</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完成</w:t>
            </w:r>
          </w:p>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数量指标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救助人数</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ascii="Arial" w:hAnsi="Arial" w:cs="Arial" w:eastAsiaTheme="minorEastAsia"/>
                <w:color w:val="000000" w:themeColor="text1"/>
                <w:sz w:val="18"/>
                <w:szCs w:val="18"/>
              </w:rPr>
              <w:t>≥</w:t>
            </w:r>
            <w:r>
              <w:rPr>
                <w:rFonts w:hint="eastAsia" w:asciiTheme="minorEastAsia" w:hAnsiTheme="minorEastAsia" w:eastAsiaTheme="minorEastAsia" w:cstheme="minorEastAsia"/>
                <w:color w:val="000000" w:themeColor="text1"/>
                <w:sz w:val="18"/>
                <w:szCs w:val="18"/>
              </w:rPr>
              <w:t>30人</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=31人</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质量指标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解决残疾人困难</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时效指标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1年</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r>
      <w:tr>
        <w:tblPrEx>
          <w:tblCellMar>
            <w:top w:w="0" w:type="dxa"/>
            <w:left w:w="108" w:type="dxa"/>
            <w:bottom w:w="0" w:type="dxa"/>
            <w:right w:w="108" w:type="dxa"/>
          </w:tblCellMar>
        </w:tblPrEx>
        <w:trPr>
          <w:gridAfter w:val="1"/>
          <w:wAfter w:w="228" w:type="dxa"/>
          <w:trHeight w:val="992"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成本指标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经费支出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Theme="minorEastAsia" w:hAnsiTheme="minorEastAsia" w:eastAsiaTheme="minorEastAsia" w:cstheme="minorEastAsia"/>
                <w:color w:val="000000" w:themeColor="text1"/>
                <w:sz w:val="18"/>
                <w:szCs w:val="18"/>
              </w:rPr>
            </w:pPr>
            <w:r>
              <w:rPr>
                <w:rFonts w:ascii="Arial" w:hAnsi="Arial" w:cs="Arial" w:eastAsiaTheme="minorEastAsia"/>
                <w:color w:val="000000" w:themeColor="text1"/>
                <w:sz w:val="18"/>
                <w:szCs w:val="18"/>
              </w:rPr>
              <w:t>≤</w:t>
            </w:r>
            <w:r>
              <w:rPr>
                <w:rFonts w:hint="eastAsia" w:asciiTheme="minorEastAsia" w:hAnsiTheme="minorEastAsia" w:eastAsiaTheme="minorEastAsia" w:cstheme="minorEastAsia"/>
                <w:color w:val="000000" w:themeColor="text1"/>
                <w:sz w:val="18"/>
                <w:szCs w:val="18"/>
              </w:rPr>
              <w:t>4万元</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64"/>
                <w:tab w:val="center" w:pos="903"/>
              </w:tabs>
              <w:spacing w:line="320" w:lineRule="exact"/>
              <w:jc w:val="left"/>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ab/>
            </w:r>
            <w:r>
              <w:rPr>
                <w:rFonts w:hint="eastAsia" w:asciiTheme="minorEastAsia" w:hAnsiTheme="minorEastAsia" w:eastAsiaTheme="minorEastAsia" w:cstheme="minorEastAsia"/>
                <w:color w:val="000000" w:themeColor="text1"/>
                <w:sz w:val="18"/>
                <w:szCs w:val="18"/>
              </w:rPr>
              <w:t>=</w:t>
            </w:r>
            <w:r>
              <w:rPr>
                <w:rFonts w:hint="eastAsia" w:asciiTheme="minorEastAsia" w:hAnsiTheme="minorEastAsia" w:eastAsiaTheme="minorEastAsia" w:cstheme="minorEastAsia"/>
                <w:color w:val="000000" w:themeColor="text1"/>
                <w:sz w:val="18"/>
                <w:szCs w:val="18"/>
              </w:rPr>
              <w:tab/>
            </w:r>
            <w:r>
              <w:rPr>
                <w:rFonts w:hint="eastAsia" w:asciiTheme="minorEastAsia" w:hAnsiTheme="minorEastAsia" w:eastAsiaTheme="minorEastAsia" w:cstheme="minorEastAsia"/>
                <w:color w:val="000000" w:themeColor="text1"/>
                <w:sz w:val="18"/>
                <w:szCs w:val="18"/>
              </w:rPr>
              <w:t>3.4万元</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社会效益  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营造社会共同关心关爱帮助残疾人氛围</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themeColor="text1"/>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可持续影响 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为困难残疾人提供救助，促进社会和谐</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优</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优</w:t>
            </w:r>
          </w:p>
        </w:tc>
      </w:tr>
      <w:tr>
        <w:tblPrEx>
          <w:tblCellMar>
            <w:top w:w="0" w:type="dxa"/>
            <w:left w:w="108" w:type="dxa"/>
            <w:bottom w:w="0" w:type="dxa"/>
            <w:right w:w="108" w:type="dxa"/>
          </w:tblCellMar>
        </w:tblPrEx>
        <w:trPr>
          <w:gridAfter w:val="1"/>
          <w:wAfter w:w="228" w:type="dxa"/>
          <w:trHeight w:val="67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满意</w:t>
            </w:r>
          </w:p>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度指标</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满意度</w:t>
            </w:r>
          </w:p>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受助群众满意度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ascii="Arial" w:hAnsi="Arial" w:cs="Arial" w:eastAsiaTheme="minorEastAsia"/>
                <w:color w:val="000000" w:themeColor="text1"/>
                <w:sz w:val="18"/>
                <w:szCs w:val="18"/>
              </w:rPr>
              <w:t>≥</w:t>
            </w:r>
            <w:r>
              <w:rPr>
                <w:rFonts w:hint="eastAsia" w:asciiTheme="minorEastAsia" w:hAnsiTheme="minorEastAsia" w:eastAsiaTheme="minorEastAsia" w:cstheme="minorEastAsia"/>
                <w:color w:val="000000" w:themeColor="text1"/>
                <w:sz w:val="18"/>
                <w:szCs w:val="18"/>
              </w:rPr>
              <w:t>95%</w:t>
            </w: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95%</w:t>
            </w:r>
          </w:p>
        </w:tc>
      </w:tr>
      <w:tr>
        <w:tblPrEx>
          <w:tblCellMar>
            <w:top w:w="0" w:type="dxa"/>
            <w:left w:w="108" w:type="dxa"/>
            <w:bottom w:w="0" w:type="dxa"/>
            <w:right w:w="108" w:type="dxa"/>
          </w:tblCellMar>
        </w:tblPrEx>
        <w:trPr>
          <w:gridAfter w:val="1"/>
          <w:wAfter w:w="228" w:type="dxa"/>
          <w:trHeight w:val="539" w:hRule="atLeast"/>
        </w:trPr>
        <w:tc>
          <w:tcPr>
            <w:tcW w:w="557" w:type="pct"/>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themeColor="text1"/>
                <w:sz w:val="18"/>
                <w:szCs w:val="18"/>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themeColor="text1"/>
                <w:sz w:val="18"/>
                <w:szCs w:val="18"/>
              </w:rPr>
            </w:pPr>
          </w:p>
        </w:tc>
      </w:tr>
    </w:tbl>
    <w:p>
      <w:pPr>
        <w:jc w:val="left"/>
        <w:rPr>
          <w:rFonts w:asciiTheme="minorEastAsia" w:hAnsiTheme="minorEastAsia" w:eastAsiaTheme="minorEastAsia" w:cstheme="minorEastAsia"/>
          <w:sz w:val="18"/>
          <w:szCs w:val="18"/>
        </w:rPr>
        <w:sectPr>
          <w:headerReference r:id="rId3" w:type="default"/>
          <w:footerReference r:id="rId4" w:type="default"/>
          <w:pgSz w:w="11906" w:h="16838"/>
          <w:pgMar w:top="907" w:right="1361" w:bottom="851" w:left="1361" w:header="851" w:footer="992" w:gutter="0"/>
          <w:pgNumType w:fmt="numberInDash" w:start="16"/>
          <w:cols w:space="425" w:num="1"/>
          <w:docGrid w:type="lines" w:linePitch="435" w:charSpace="0"/>
        </w:sectPr>
      </w:pP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rPr>
      </w:pPr>
      <w:r>
        <w:rPr>
          <w:rFonts w:hint="eastAsia" w:ascii="仿宋_GB2312" w:hAnsi="宋体" w:cs="宋体"/>
          <w:color w:val="000000"/>
          <w:kern w:val="0"/>
          <w:szCs w:val="32"/>
          <w:shd w:val="clear" w:color="auto" w:fill="FFFFFF"/>
        </w:rPr>
        <w:t>附件2：</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（项目名称：智慧量服”手持终端资费）</w:t>
      </w:r>
    </w:p>
    <w:p>
      <w:pPr>
        <w:pStyle w:val="2"/>
        <w:rPr>
          <w:rFonts w:asciiTheme="minorEastAsia" w:hAnsiTheme="minorEastAsia" w:eastAsiaTheme="minorEastAsia" w:cstheme="minorEastAsia"/>
        </w:rPr>
      </w:pPr>
    </w:p>
    <w:tbl>
      <w:tblPr>
        <w:tblStyle w:val="6"/>
        <w:tblpPr w:leftFromText="180" w:rightFromText="180" w:vertAnchor="text" w:horzAnchor="page" w:tblpX="1256" w:tblpY="221"/>
        <w:tblOverlap w:val="never"/>
        <w:tblW w:w="5134" w:type="pct"/>
        <w:tblInd w:w="0" w:type="dxa"/>
        <w:tblLayout w:type="autofit"/>
        <w:tblCellMar>
          <w:top w:w="0" w:type="dxa"/>
          <w:left w:w="108" w:type="dxa"/>
          <w:bottom w:w="0" w:type="dxa"/>
          <w:right w:w="108" w:type="dxa"/>
        </w:tblCellMar>
      </w:tblPr>
      <w:tblGrid>
        <w:gridCol w:w="1095"/>
        <w:gridCol w:w="1149"/>
        <w:gridCol w:w="1297"/>
        <w:gridCol w:w="2729"/>
        <w:gridCol w:w="1436"/>
        <w:gridCol w:w="1946"/>
      </w:tblGrid>
      <w:tr>
        <w:tblPrEx>
          <w:tblCellMar>
            <w:top w:w="0" w:type="dxa"/>
            <w:left w:w="108" w:type="dxa"/>
            <w:bottom w:w="0" w:type="dxa"/>
            <w:right w:w="108" w:type="dxa"/>
          </w:tblCellMar>
        </w:tblPrEx>
        <w:trPr>
          <w:trHeight w:val="256" w:hRule="atLeast"/>
        </w:trPr>
        <w:tc>
          <w:tcPr>
            <w:tcW w:w="1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实施单位</w:t>
            </w:r>
          </w:p>
        </w:tc>
        <w:tc>
          <w:tcPr>
            <w:tcW w:w="2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达川区残联</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主管部门及代码</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44" w:hRule="atLeast"/>
        </w:trPr>
        <w:tc>
          <w:tcPr>
            <w:tcW w:w="11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项目预算</w:t>
            </w:r>
          </w:p>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执行情况</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（万元）</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 xml:space="preserve"> 预算数：</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 xml:space="preserve"> 执行数：</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r>
      <w:tr>
        <w:tblPrEx>
          <w:tblCellMar>
            <w:top w:w="0" w:type="dxa"/>
            <w:left w:w="108" w:type="dxa"/>
            <w:bottom w:w="0" w:type="dxa"/>
            <w:right w:w="108" w:type="dxa"/>
          </w:tblCellMar>
        </w:tblPrEx>
        <w:trPr>
          <w:trHeight w:val="581"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财政拨款</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财政拨款</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r>
      <w:tr>
        <w:tblPrEx>
          <w:tblCellMar>
            <w:top w:w="0" w:type="dxa"/>
            <w:left w:w="108" w:type="dxa"/>
            <w:bottom w:w="0" w:type="dxa"/>
            <w:right w:w="108" w:type="dxa"/>
          </w:tblCellMar>
        </w:tblPrEx>
        <w:trPr>
          <w:trHeight w:val="344" w:hRule="atLeast"/>
        </w:trPr>
        <w:tc>
          <w:tcPr>
            <w:tcW w:w="11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其他资金</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其他资金</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r>
      <w:tr>
        <w:tblPrEx>
          <w:tblCellMar>
            <w:top w:w="0" w:type="dxa"/>
            <w:left w:w="108" w:type="dxa"/>
            <w:bottom w:w="0" w:type="dxa"/>
            <w:right w:w="108" w:type="dxa"/>
          </w:tblCellMar>
        </w:tblPrEx>
        <w:trPr>
          <w:trHeight w:val="219" w:hRule="atLeast"/>
        </w:trPr>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年度总体目标</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完成情况</w:t>
            </w:r>
          </w:p>
        </w:tc>
        <w:tc>
          <w:tcPr>
            <w:tcW w:w="2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预期目标</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目标实际完成情况</w:t>
            </w:r>
          </w:p>
        </w:tc>
      </w:tr>
      <w:tr>
        <w:tblPrEx>
          <w:tblCellMar>
            <w:top w:w="0" w:type="dxa"/>
            <w:left w:w="108" w:type="dxa"/>
            <w:bottom w:w="0" w:type="dxa"/>
            <w:right w:w="108" w:type="dxa"/>
          </w:tblCellMar>
        </w:tblPrEx>
        <w:trPr>
          <w:trHeight w:val="1164" w:hRule="atLeast"/>
        </w:trPr>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2617"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开通量服宽带专线一条、开通量服办公邮电通讯11台、为360名残疾人工作者配备手持终端。</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已完成。开通量服宽带专线一条、开通量服办公邮电通讯11台、为360名残疾人工作者配备手持终端。</w:t>
            </w:r>
          </w:p>
        </w:tc>
      </w:tr>
      <w:tr>
        <w:tblPrEx>
          <w:tblCellMar>
            <w:top w:w="0" w:type="dxa"/>
            <w:left w:w="108" w:type="dxa"/>
            <w:bottom w:w="0" w:type="dxa"/>
            <w:right w:w="108" w:type="dxa"/>
          </w:tblCellMar>
        </w:tblPrEx>
        <w:trPr>
          <w:trHeight w:val="744" w:hRule="atLeast"/>
        </w:trPr>
        <w:tc>
          <w:tcPr>
            <w:tcW w:w="55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年度绩效指标完成情况</w:t>
            </w:r>
          </w:p>
        </w:tc>
        <w:tc>
          <w:tcPr>
            <w:tcW w:w="581"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预期指标值</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实际完成指标值</w:t>
            </w:r>
          </w:p>
        </w:tc>
      </w:tr>
      <w:tr>
        <w:tblPrEx>
          <w:tblCellMar>
            <w:top w:w="0" w:type="dxa"/>
            <w:left w:w="108" w:type="dxa"/>
            <w:bottom w:w="0" w:type="dxa"/>
            <w:right w:w="108" w:type="dxa"/>
          </w:tblCellMar>
        </w:tblPrEx>
        <w:trPr>
          <w:trHeight w:val="529"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完成</w:t>
            </w:r>
          </w:p>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数量指标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配备量服手持终端</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量服办公邮电通讯</w:t>
            </w:r>
          </w:p>
          <w:p>
            <w:pPr>
              <w:widowControl/>
              <w:spacing w:line="240" w:lineRule="exact"/>
              <w:jc w:val="center"/>
              <w:textAlignment w:val="bottom"/>
              <w:rPr>
                <w:rFonts w:asciiTheme="minorEastAsia" w:hAnsiTheme="minorEastAsia" w:eastAsiaTheme="minorEastAsia" w:cstheme="minorEastAsia"/>
                <w:color w:val="000000"/>
                <w:kern w:val="0"/>
                <w:sz w:val="18"/>
                <w:szCs w:val="18"/>
                <w:lang w:val="zh-CN"/>
              </w:rPr>
            </w:pPr>
            <w:r>
              <w:rPr>
                <w:rFonts w:hint="eastAsia" w:asciiTheme="minorEastAsia" w:hAnsiTheme="minorEastAsia" w:eastAsiaTheme="minorEastAsia" w:cstheme="minorEastAsia"/>
                <w:color w:val="000000"/>
                <w:kern w:val="0"/>
                <w:sz w:val="18"/>
                <w:szCs w:val="18"/>
              </w:rPr>
              <w:t>量服宽专线</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≥360台</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≥11部</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≥1条</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=360台</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=11部</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=1条</w:t>
            </w:r>
          </w:p>
        </w:tc>
      </w:tr>
      <w:tr>
        <w:tblPrEx>
          <w:tblCellMar>
            <w:top w:w="0" w:type="dxa"/>
            <w:left w:w="108" w:type="dxa"/>
            <w:bottom w:w="0" w:type="dxa"/>
            <w:right w:w="108" w:type="dxa"/>
          </w:tblCellMar>
        </w:tblPrEx>
        <w:trPr>
          <w:trHeight w:val="503"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质量指标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量服设备正常运行</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保障量服办公运行</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≥95%</w:t>
            </w:r>
          </w:p>
        </w:tc>
      </w:tr>
      <w:tr>
        <w:tblPrEx>
          <w:tblCellMar>
            <w:top w:w="0" w:type="dxa"/>
            <w:left w:w="108" w:type="dxa"/>
            <w:bottom w:w="0" w:type="dxa"/>
            <w:right w:w="108" w:type="dxa"/>
          </w:tblCellMar>
        </w:tblPrEx>
        <w:trPr>
          <w:trHeight w:val="488"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时效指标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1年</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=12月</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=12月</w:t>
            </w:r>
          </w:p>
        </w:tc>
      </w:tr>
      <w:tr>
        <w:tblPrEx>
          <w:tblCellMar>
            <w:top w:w="0" w:type="dxa"/>
            <w:left w:w="108" w:type="dxa"/>
            <w:bottom w:w="0" w:type="dxa"/>
            <w:right w:w="108" w:type="dxa"/>
          </w:tblCellMar>
        </w:tblPrEx>
        <w:trPr>
          <w:trHeight w:val="513"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成本指标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经费支出</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≤20万元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=20万元</w:t>
            </w:r>
          </w:p>
        </w:tc>
      </w:tr>
      <w:tr>
        <w:tblPrEx>
          <w:tblCellMar>
            <w:top w:w="0" w:type="dxa"/>
            <w:left w:w="108" w:type="dxa"/>
            <w:bottom w:w="0" w:type="dxa"/>
            <w:right w:w="108" w:type="dxa"/>
          </w:tblCellMar>
        </w:tblPrEx>
        <w:trPr>
          <w:trHeight w:val="994"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w:t>
            </w:r>
          </w:p>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经济效益  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智慧量服资金预算控制数</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≤20万元</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=20万元</w:t>
            </w:r>
          </w:p>
        </w:tc>
      </w:tr>
      <w:tr>
        <w:tblPrEx>
          <w:tblCellMar>
            <w:top w:w="0" w:type="dxa"/>
            <w:left w:w="108" w:type="dxa"/>
            <w:bottom w:w="0" w:type="dxa"/>
            <w:right w:w="108" w:type="dxa"/>
          </w:tblCellMar>
        </w:tblPrEx>
        <w:trPr>
          <w:trHeight w:val="925"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生态效益  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提升基层残疾人工作者录入、查询工作效率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优</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优</w:t>
            </w:r>
          </w:p>
        </w:tc>
      </w:tr>
      <w:tr>
        <w:tblPrEx>
          <w:tblCellMar>
            <w:top w:w="0" w:type="dxa"/>
            <w:left w:w="108" w:type="dxa"/>
            <w:bottom w:w="0" w:type="dxa"/>
            <w:right w:w="108" w:type="dxa"/>
          </w:tblCellMar>
        </w:tblPrEx>
        <w:trPr>
          <w:trHeight w:val="956"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社会效益  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量服平台需求覆盖率</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≥50%</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=50%</w:t>
            </w:r>
          </w:p>
        </w:tc>
      </w:tr>
      <w:tr>
        <w:tblPrEx>
          <w:tblCellMar>
            <w:top w:w="0" w:type="dxa"/>
            <w:left w:w="108" w:type="dxa"/>
            <w:bottom w:w="0" w:type="dxa"/>
            <w:right w:w="108" w:type="dxa"/>
          </w:tblCellMar>
        </w:tblPrEx>
        <w:trPr>
          <w:trHeight w:val="1064"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可持续影响 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推进残疾人服务政令畅通、服务畅通</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优</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优</w:t>
            </w:r>
          </w:p>
        </w:tc>
      </w:tr>
      <w:tr>
        <w:tblPrEx>
          <w:tblCellMar>
            <w:top w:w="0" w:type="dxa"/>
            <w:left w:w="108" w:type="dxa"/>
            <w:bottom w:w="0" w:type="dxa"/>
            <w:right w:w="108" w:type="dxa"/>
          </w:tblCellMar>
        </w:tblPrEx>
        <w:trPr>
          <w:trHeight w:val="900" w:hRule="atLeast"/>
        </w:trPr>
        <w:tc>
          <w:tcPr>
            <w:tcW w:w="554"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w:t>
            </w:r>
          </w:p>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度指标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设备使用者满意</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tc>
      </w:tr>
      <w:tr>
        <w:tblPrEx>
          <w:tblCellMar>
            <w:top w:w="0" w:type="dxa"/>
            <w:left w:w="108" w:type="dxa"/>
            <w:bottom w:w="0" w:type="dxa"/>
            <w:right w:w="108" w:type="dxa"/>
          </w:tblCellMar>
        </w:tblPrEx>
        <w:trPr>
          <w:trHeight w:val="306" w:hRule="atLeast"/>
        </w:trPr>
        <w:tc>
          <w:tcPr>
            <w:tcW w:w="554" w:type="pct"/>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8"/>
                <w:szCs w:val="28"/>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color w:val="000000"/>
                <w:kern w:val="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color w:val="000000"/>
                <w:kern w:val="0"/>
                <w:sz w:val="28"/>
                <w:szCs w:val="28"/>
              </w:rPr>
            </w:pPr>
          </w:p>
        </w:tc>
        <w:tc>
          <w:tcPr>
            <w:tcW w:w="13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color w:val="000000"/>
                <w:sz w:val="28"/>
                <w:szCs w:val="28"/>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color w:val="000000"/>
                <w:sz w:val="28"/>
                <w:szCs w:val="28"/>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仿宋"/>
                <w:color w:val="000000"/>
                <w:sz w:val="28"/>
                <w:szCs w:val="28"/>
              </w:rPr>
            </w:pPr>
          </w:p>
        </w:tc>
      </w:tr>
    </w:tbl>
    <w:p>
      <w:pPr>
        <w:rPr>
          <w:rFonts w:ascii="仿宋" w:hAnsi="仿宋" w:eastAsia="仿宋" w:cs="仿宋"/>
        </w:rPr>
        <w:sectPr>
          <w:pgSz w:w="11906" w:h="16838"/>
          <w:pgMar w:top="907" w:right="1361" w:bottom="851" w:left="1361" w:header="851" w:footer="992" w:gutter="0"/>
          <w:pgNumType w:fmt="numberInDash" w:start="16"/>
          <w:cols w:space="425" w:num="1"/>
          <w:docGrid w:type="lines" w:linePitch="435" w:charSpace="0"/>
        </w:sectPr>
      </w:pPr>
    </w:p>
    <w:p>
      <w:r>
        <w:rPr>
          <w:rFonts w:hint="eastAsia"/>
        </w:rPr>
        <w:t>附件3：</w:t>
      </w:r>
    </w:p>
    <w:p>
      <w:pPr>
        <w:pStyle w:val="2"/>
      </w:pP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jc w:val="center"/>
        <w:rPr>
          <w:rFonts w:ascii="宋体" w:hAnsi="宋体" w:eastAsia="宋体" w:cs="宋体"/>
          <w:b/>
          <w:color w:val="000000"/>
          <w:szCs w:val="32"/>
        </w:rPr>
      </w:pPr>
      <w:r>
        <w:rPr>
          <w:rFonts w:hint="eastAsia" w:ascii="宋体" w:hAnsi="宋体" w:eastAsia="宋体" w:cs="宋体"/>
          <w:b/>
          <w:color w:val="000000"/>
          <w:szCs w:val="32"/>
        </w:rPr>
        <w:t>（项目名称：助残维权维稳资金）</w:t>
      </w:r>
    </w:p>
    <w:p/>
    <w:tbl>
      <w:tblPr>
        <w:tblStyle w:val="6"/>
        <w:tblpPr w:leftFromText="180" w:rightFromText="180" w:vertAnchor="text" w:horzAnchor="page" w:tblpX="1256" w:tblpY="221"/>
        <w:tblOverlap w:val="never"/>
        <w:tblW w:w="5190" w:type="pct"/>
        <w:tblInd w:w="0" w:type="dxa"/>
        <w:tblLayout w:type="autofit"/>
        <w:tblCellMar>
          <w:top w:w="0" w:type="dxa"/>
          <w:left w:w="108" w:type="dxa"/>
          <w:bottom w:w="0" w:type="dxa"/>
          <w:right w:w="108" w:type="dxa"/>
        </w:tblCellMar>
      </w:tblPr>
      <w:tblGrid>
        <w:gridCol w:w="1108"/>
        <w:gridCol w:w="1161"/>
        <w:gridCol w:w="1309"/>
        <w:gridCol w:w="2761"/>
        <w:gridCol w:w="1450"/>
        <w:gridCol w:w="1968"/>
      </w:tblGrid>
      <w:tr>
        <w:tblPrEx>
          <w:tblCellMar>
            <w:top w:w="0" w:type="dxa"/>
            <w:left w:w="108" w:type="dxa"/>
            <w:bottom w:w="0" w:type="dxa"/>
            <w:right w:w="108" w:type="dxa"/>
          </w:tblCellMar>
        </w:tblPrEx>
        <w:trPr>
          <w:trHeight w:val="225" w:hRule="atLeast"/>
        </w:trPr>
        <w:tc>
          <w:tcPr>
            <w:tcW w:w="11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实施单位</w:t>
            </w:r>
          </w:p>
        </w:tc>
        <w:tc>
          <w:tcPr>
            <w:tcW w:w="20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达川区残联</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主管部门及代码</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01" w:hRule="atLeast"/>
        </w:trPr>
        <w:tc>
          <w:tcPr>
            <w:tcW w:w="11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项目预算</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t>执行情况</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t>（万元）</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 xml:space="preserve"> 预算数：</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 xml:space="preserve"> 执行数：</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r>
      <w:tr>
        <w:tblPrEx>
          <w:tblCellMar>
            <w:top w:w="0" w:type="dxa"/>
            <w:left w:w="108" w:type="dxa"/>
            <w:bottom w:w="0" w:type="dxa"/>
            <w:right w:w="108" w:type="dxa"/>
          </w:tblCellMar>
        </w:tblPrEx>
        <w:trPr>
          <w:trHeight w:val="509" w:hRule="atLeast"/>
        </w:trPr>
        <w:tc>
          <w:tcPr>
            <w:tcW w:w="11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财政拨款</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其中：</w:t>
            </w:r>
          </w:p>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财政拨款</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r>
      <w:tr>
        <w:tblPrEx>
          <w:tblCellMar>
            <w:top w:w="0" w:type="dxa"/>
            <w:left w:w="108" w:type="dxa"/>
            <w:bottom w:w="0" w:type="dxa"/>
            <w:right w:w="108" w:type="dxa"/>
          </w:tblCellMar>
        </w:tblPrEx>
        <w:trPr>
          <w:trHeight w:val="301" w:hRule="atLeast"/>
        </w:trPr>
        <w:tc>
          <w:tcPr>
            <w:tcW w:w="11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其他资金</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其他资金</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w:t>
            </w:r>
          </w:p>
        </w:tc>
      </w:tr>
      <w:tr>
        <w:tblPrEx>
          <w:tblCellMar>
            <w:top w:w="0" w:type="dxa"/>
            <w:left w:w="108" w:type="dxa"/>
            <w:bottom w:w="0" w:type="dxa"/>
            <w:right w:w="108" w:type="dxa"/>
          </w:tblCellMar>
        </w:tblPrEx>
        <w:trPr>
          <w:trHeight w:val="192" w:hRule="atLeast"/>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年度总体目标</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完成情况</w:t>
            </w:r>
          </w:p>
        </w:tc>
        <w:tc>
          <w:tcPr>
            <w:tcW w:w="2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预期目标</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目标实际完成情况</w:t>
            </w:r>
          </w:p>
        </w:tc>
      </w:tr>
      <w:tr>
        <w:tblPrEx>
          <w:tblCellMar>
            <w:top w:w="0" w:type="dxa"/>
            <w:left w:w="108" w:type="dxa"/>
            <w:bottom w:w="0" w:type="dxa"/>
            <w:right w:w="108" w:type="dxa"/>
          </w:tblCellMar>
        </w:tblPrEx>
        <w:trPr>
          <w:trHeight w:val="1020" w:hRule="atLeast"/>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268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zh-CN"/>
              </w:rPr>
              <w:t>开展法律援助服务</w:t>
            </w:r>
            <w:r>
              <w:rPr>
                <w:rFonts w:hint="eastAsia" w:asciiTheme="minorEastAsia" w:hAnsiTheme="minorEastAsia" w:eastAsiaTheme="minorEastAsia" w:cstheme="minorEastAsia"/>
                <w:color w:val="000000"/>
                <w:kern w:val="0"/>
                <w:sz w:val="18"/>
                <w:szCs w:val="18"/>
              </w:rPr>
              <w:t>2次、维稳核查入户服务100次、法律法规政策宣传3次、上户鉴定服务100次等；计划印制资料10000份。</w:t>
            </w:r>
          </w:p>
          <w:p>
            <w:pPr>
              <w:widowControl/>
              <w:spacing w:line="320" w:lineRule="exact"/>
              <w:jc w:val="left"/>
              <w:textAlignment w:val="top"/>
              <w:rPr>
                <w:rFonts w:asciiTheme="minorEastAsia" w:hAnsiTheme="minorEastAsia" w:eastAsiaTheme="minorEastAsia" w:cstheme="minorEastAsia"/>
                <w:color w:val="000000"/>
                <w:sz w:val="18"/>
                <w:szCs w:val="18"/>
              </w:rPr>
            </w:pP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val="zh-CN"/>
              </w:rPr>
              <w:t>已完成。开展法律援助服务</w:t>
            </w:r>
            <w:r>
              <w:rPr>
                <w:rFonts w:hint="eastAsia" w:asciiTheme="minorEastAsia" w:hAnsiTheme="minorEastAsia" w:eastAsiaTheme="minorEastAsia" w:cstheme="minorEastAsia"/>
                <w:color w:val="000000"/>
                <w:kern w:val="0"/>
                <w:sz w:val="18"/>
                <w:szCs w:val="18"/>
              </w:rPr>
              <w:t>2次、维稳核查入户服务100次、法律法规政策宣传3次、上户鉴定服务100次等；计划印制资料10000份。</w:t>
            </w:r>
          </w:p>
        </w:tc>
      </w:tr>
      <w:tr>
        <w:tblPrEx>
          <w:tblCellMar>
            <w:top w:w="0" w:type="dxa"/>
            <w:left w:w="108" w:type="dxa"/>
            <w:bottom w:w="0" w:type="dxa"/>
            <w:right w:w="108" w:type="dxa"/>
          </w:tblCellMar>
        </w:tblPrEx>
        <w:trPr>
          <w:trHeight w:val="652" w:hRule="atLeast"/>
        </w:trPr>
        <w:tc>
          <w:tcPr>
            <w:tcW w:w="56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年度绩效指标完成情况</w:t>
            </w:r>
          </w:p>
        </w:tc>
        <w:tc>
          <w:tcPr>
            <w:tcW w:w="595"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w:t>
            </w:r>
          </w:p>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预期指标值</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实际完成指标值</w:t>
            </w:r>
          </w:p>
        </w:tc>
      </w:tr>
      <w:tr>
        <w:tblPrEx>
          <w:tblCellMar>
            <w:top w:w="0" w:type="dxa"/>
            <w:left w:w="108" w:type="dxa"/>
            <w:bottom w:w="0" w:type="dxa"/>
            <w:right w:w="108" w:type="dxa"/>
          </w:tblCellMar>
        </w:tblPrEx>
        <w:trPr>
          <w:trHeight w:val="46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完成</w:t>
            </w:r>
          </w:p>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数量指标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kern w:val="0"/>
                <w:sz w:val="18"/>
                <w:szCs w:val="18"/>
                <w:lang w:val="zh-CN"/>
              </w:rPr>
            </w:pPr>
            <w:r>
              <w:rPr>
                <w:rFonts w:hint="eastAsia" w:asciiTheme="minorEastAsia" w:hAnsiTheme="minorEastAsia" w:eastAsiaTheme="minorEastAsia" w:cstheme="minorEastAsia"/>
                <w:color w:val="000000"/>
                <w:kern w:val="0"/>
                <w:sz w:val="18"/>
                <w:szCs w:val="18"/>
                <w:lang w:val="zh-CN"/>
              </w:rPr>
              <w:t>法律援助服务</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核查入户服务</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法律法规政策宣传</w:t>
            </w:r>
          </w:p>
          <w:p>
            <w:pPr>
              <w:widowControl/>
              <w:spacing w:line="240" w:lineRule="exact"/>
              <w:jc w:val="center"/>
              <w:textAlignment w:val="bottom"/>
              <w:rPr>
                <w:rFonts w:asciiTheme="minorEastAsia" w:hAnsiTheme="minorEastAsia" w:eastAsiaTheme="minorEastAsia" w:cstheme="minorEastAsia"/>
                <w:color w:val="000000"/>
                <w:kern w:val="0"/>
                <w:sz w:val="18"/>
                <w:szCs w:val="18"/>
                <w:lang w:val="zh-CN"/>
              </w:rPr>
            </w:pPr>
            <w:r>
              <w:rPr>
                <w:rFonts w:hint="eastAsia" w:asciiTheme="minorEastAsia" w:hAnsiTheme="minorEastAsia" w:eastAsiaTheme="minorEastAsia" w:cstheme="minorEastAsia"/>
                <w:color w:val="000000"/>
                <w:kern w:val="0"/>
                <w:sz w:val="18"/>
                <w:szCs w:val="18"/>
              </w:rPr>
              <w:t>印制资料</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≥2人</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≥100人次</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≥3次</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≥10000份</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=2人</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=100人次</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=3次</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=10000份</w:t>
            </w:r>
          </w:p>
        </w:tc>
      </w:tr>
      <w:tr>
        <w:tblPrEx>
          <w:tblCellMar>
            <w:top w:w="0" w:type="dxa"/>
            <w:left w:w="108" w:type="dxa"/>
            <w:bottom w:w="0" w:type="dxa"/>
            <w:right w:w="108" w:type="dxa"/>
          </w:tblCellMar>
        </w:tblPrEx>
        <w:trPr>
          <w:trHeight w:val="441"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质量指标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政策宣传资料印刷合格率</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妥善解决维稳问题办结率</w:t>
            </w:r>
          </w:p>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差旅费发放准确率</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=100%</w:t>
            </w:r>
          </w:p>
        </w:tc>
      </w:tr>
      <w:tr>
        <w:tblPrEx>
          <w:tblCellMar>
            <w:top w:w="0" w:type="dxa"/>
            <w:left w:w="108" w:type="dxa"/>
            <w:bottom w:w="0" w:type="dxa"/>
            <w:right w:w="108" w:type="dxa"/>
          </w:tblCellMar>
        </w:tblPrEx>
        <w:trPr>
          <w:trHeight w:val="428"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时效指标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1年</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=12月</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=12月</w:t>
            </w:r>
          </w:p>
        </w:tc>
      </w:tr>
      <w:tr>
        <w:tblPrEx>
          <w:tblCellMar>
            <w:top w:w="0" w:type="dxa"/>
            <w:left w:w="108" w:type="dxa"/>
            <w:bottom w:w="0" w:type="dxa"/>
            <w:right w:w="108" w:type="dxa"/>
          </w:tblCellMar>
        </w:tblPrEx>
        <w:trPr>
          <w:trHeight w:val="537"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成本指标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印制资料费用</w:t>
            </w:r>
          </w:p>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核查入户费用</w:t>
            </w:r>
          </w:p>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助残维稳资金预算控制数</w:t>
            </w:r>
          </w:p>
          <w:p>
            <w:pPr>
              <w:pStyle w:val="2"/>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≥0.1元/个</w:t>
            </w:r>
          </w:p>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≥105元/人</w:t>
            </w:r>
          </w:p>
          <w:p>
            <w:pPr>
              <w:widowControl/>
              <w:spacing w:line="320" w:lineRule="exact"/>
              <w:jc w:val="center"/>
              <w:textAlignment w:val="bottom"/>
            </w:pPr>
            <w:r>
              <w:rPr>
                <w:rFonts w:hint="eastAsia" w:asciiTheme="minorEastAsia" w:hAnsiTheme="minorEastAsia" w:eastAsiaTheme="minorEastAsia" w:cstheme="minorEastAsia"/>
                <w:color w:val="000000"/>
                <w:kern w:val="0"/>
                <w:sz w:val="18"/>
                <w:szCs w:val="18"/>
              </w:rPr>
              <w:t>=3万元</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=0.1元/个</w:t>
            </w:r>
          </w:p>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=105元/人</w:t>
            </w:r>
          </w:p>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=3万元</w:t>
            </w:r>
          </w:p>
          <w:p>
            <w:pPr>
              <w:pStyle w:val="2"/>
            </w:pPr>
          </w:p>
        </w:tc>
      </w:tr>
      <w:tr>
        <w:tblPrEx>
          <w:tblCellMar>
            <w:top w:w="0" w:type="dxa"/>
            <w:left w:w="108" w:type="dxa"/>
            <w:bottom w:w="0" w:type="dxa"/>
            <w:right w:w="108" w:type="dxa"/>
          </w:tblCellMar>
        </w:tblPrEx>
        <w:trPr>
          <w:trHeight w:val="68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生态效益  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促进社会和谐，维护社会稳定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优</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优</w:t>
            </w:r>
          </w:p>
        </w:tc>
      </w:tr>
      <w:tr>
        <w:tblPrEx>
          <w:tblCellMar>
            <w:top w:w="0" w:type="dxa"/>
            <w:left w:w="108" w:type="dxa"/>
            <w:bottom w:w="0" w:type="dxa"/>
            <w:right w:w="108" w:type="dxa"/>
          </w:tblCellMar>
        </w:tblPrEx>
        <w:trPr>
          <w:trHeight w:val="670"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社会效益  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增强残疾人政策法规知晓度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≥85%</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=85%</w:t>
            </w:r>
          </w:p>
        </w:tc>
      </w:tr>
      <w:tr>
        <w:tblPrEx>
          <w:tblCellMar>
            <w:top w:w="0" w:type="dxa"/>
            <w:left w:w="108" w:type="dxa"/>
            <w:bottom w:w="0" w:type="dxa"/>
            <w:right w:w="108" w:type="dxa"/>
          </w:tblCellMar>
        </w:tblPrEx>
        <w:trPr>
          <w:trHeight w:val="42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Theme="minorEastAsia" w:hAnsiTheme="minorEastAsia" w:eastAsiaTheme="minorEastAsia" w:cstheme="minorEastAsia"/>
                <w:color w:val="00000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可持续影响 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为困难残疾人提供帮扶，促进社会和谐，维护社会稳定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优</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优</w:t>
            </w:r>
          </w:p>
        </w:tc>
      </w:tr>
      <w:tr>
        <w:tblPrEx>
          <w:tblCellMar>
            <w:top w:w="0" w:type="dxa"/>
            <w:left w:w="108" w:type="dxa"/>
            <w:bottom w:w="0" w:type="dxa"/>
            <w:right w:w="108" w:type="dxa"/>
          </w:tblCellMar>
        </w:tblPrEx>
        <w:trPr>
          <w:trHeight w:val="424" w:hRule="atLeast"/>
        </w:trPr>
        <w:tc>
          <w:tcPr>
            <w:tcW w:w="568" w:type="pct"/>
            <w:vMerge w:val="continue"/>
            <w:tcBorders>
              <w:left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满意</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t>度指标</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6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w:t>
            </w:r>
          </w:p>
          <w:p>
            <w:pPr>
              <w:widowControl/>
              <w:spacing w:line="260" w:lineRule="exact"/>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指标</w:t>
            </w: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受益群众满意度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=95%</w:t>
            </w:r>
          </w:p>
        </w:tc>
      </w:tr>
      <w:tr>
        <w:tblPrEx>
          <w:tblCellMar>
            <w:top w:w="0" w:type="dxa"/>
            <w:left w:w="108" w:type="dxa"/>
            <w:bottom w:w="0" w:type="dxa"/>
            <w:right w:w="108" w:type="dxa"/>
          </w:tblCellMar>
        </w:tblPrEx>
        <w:trPr>
          <w:trHeight w:val="268" w:hRule="atLeast"/>
        </w:trPr>
        <w:tc>
          <w:tcPr>
            <w:tcW w:w="568" w:type="pct"/>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eastAsiaTheme="minorEastAsia" w:cstheme="minorEastAsia"/>
                <w:color w:val="000000"/>
                <w:sz w:val="18"/>
                <w:szCs w:val="18"/>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kern w:val="0"/>
                <w:sz w:val="18"/>
                <w:szCs w:val="18"/>
              </w:rPr>
            </w:pPr>
          </w:p>
        </w:tc>
        <w:tc>
          <w:tcPr>
            <w:tcW w:w="141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Theme="minorEastAsia" w:hAnsiTheme="minorEastAsia" w:eastAsiaTheme="minorEastAsia" w:cstheme="minorEastAsia"/>
                <w:color w:val="000000"/>
                <w:sz w:val="18"/>
                <w:szCs w:val="18"/>
              </w:rPr>
            </w:pPr>
          </w:p>
        </w:tc>
      </w:tr>
    </w:tbl>
    <w:p>
      <w:pPr>
        <w:tabs>
          <w:tab w:val="right" w:pos="9184"/>
        </w:tabs>
        <w:jc w:val="left"/>
        <w:sectPr>
          <w:pgSz w:w="11906" w:h="16838"/>
          <w:pgMar w:top="907" w:right="1361" w:bottom="851" w:left="1361" w:header="851" w:footer="992" w:gutter="0"/>
          <w:pgNumType w:fmt="numberInDash" w:start="16"/>
          <w:cols w:space="425" w:num="1"/>
          <w:docGrid w:type="lines" w:linePitch="435" w:charSpace="0"/>
        </w:sectPr>
      </w:pPr>
      <w:bookmarkStart w:id="0" w:name="_GoBack"/>
      <w:bookmarkEnd w:id="0"/>
    </w:p>
    <w:p>
      <w:pPr>
        <w:pStyle w:val="2"/>
      </w:pPr>
    </w:p>
    <w:sectPr>
      <w:pgSz w:w="11906" w:h="16838"/>
      <w:pgMar w:top="851" w:right="1361" w:bottom="907" w:left="1361" w:header="851" w:footer="992" w:gutter="0"/>
      <w:pgNumType w:fmt="numberInDash" w:start="16"/>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55217"/>
      <w:docPartObj>
        <w:docPartGallery w:val="AutoText"/>
      </w:docPartObj>
    </w:sdtPr>
    <w:sdtEndPr>
      <w:rPr>
        <w:rFonts w:hint="eastAsia" w:ascii="方正仿宋_GBK" w:eastAsia="方正仿宋_GBK"/>
        <w:sz w:val="24"/>
        <w:szCs w:val="24"/>
      </w:rPr>
    </w:sdtEndPr>
    <w:sdtContent>
      <w:p>
        <w:pPr>
          <w:pStyle w:val="2"/>
          <w:jc w:val="right"/>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16 -</w:t>
        </w:r>
        <w:r>
          <w:rPr>
            <w:rFonts w:hint="eastAsia" w:ascii="方正仿宋_GBK" w:eastAsia="方正仿宋_GBK"/>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540E5"/>
    <w:multiLevelType w:val="singleLevel"/>
    <w:tmpl w:val="11A540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xNjZiMWJhYTQzNTA0ODllOWZlNTRjYjE2ODk1MTQ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6AB"/>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4F6C9C"/>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07F4"/>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47AD8"/>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0DE5"/>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1722330"/>
    <w:rsid w:val="0382370E"/>
    <w:rsid w:val="0644429B"/>
    <w:rsid w:val="067D7B09"/>
    <w:rsid w:val="07592BF5"/>
    <w:rsid w:val="07A56FBB"/>
    <w:rsid w:val="0B227AC0"/>
    <w:rsid w:val="0C0149DC"/>
    <w:rsid w:val="0D582F12"/>
    <w:rsid w:val="0D6C10DB"/>
    <w:rsid w:val="0D9378B6"/>
    <w:rsid w:val="0DC31556"/>
    <w:rsid w:val="11050ACA"/>
    <w:rsid w:val="113427EC"/>
    <w:rsid w:val="12BB3B36"/>
    <w:rsid w:val="138344FD"/>
    <w:rsid w:val="15580725"/>
    <w:rsid w:val="16543A7F"/>
    <w:rsid w:val="16A15219"/>
    <w:rsid w:val="18910E95"/>
    <w:rsid w:val="1A3D6143"/>
    <w:rsid w:val="1C013801"/>
    <w:rsid w:val="1D7961FE"/>
    <w:rsid w:val="1DD102DC"/>
    <w:rsid w:val="1F374545"/>
    <w:rsid w:val="225E1F3B"/>
    <w:rsid w:val="22761564"/>
    <w:rsid w:val="23201E3D"/>
    <w:rsid w:val="234378C3"/>
    <w:rsid w:val="23A62C8D"/>
    <w:rsid w:val="24C3012F"/>
    <w:rsid w:val="25C52A98"/>
    <w:rsid w:val="276E0D20"/>
    <w:rsid w:val="285B5766"/>
    <w:rsid w:val="28EB2D30"/>
    <w:rsid w:val="29616B04"/>
    <w:rsid w:val="29BD5F8E"/>
    <w:rsid w:val="29ED3F00"/>
    <w:rsid w:val="29FD282F"/>
    <w:rsid w:val="2AA27544"/>
    <w:rsid w:val="2B7C47AF"/>
    <w:rsid w:val="2CE54F10"/>
    <w:rsid w:val="2D527252"/>
    <w:rsid w:val="2DDC1740"/>
    <w:rsid w:val="2EAE55F2"/>
    <w:rsid w:val="2EDF4302"/>
    <w:rsid w:val="2F3C7955"/>
    <w:rsid w:val="2FE35702"/>
    <w:rsid w:val="30ED1ADF"/>
    <w:rsid w:val="310408F2"/>
    <w:rsid w:val="320D2743"/>
    <w:rsid w:val="32425283"/>
    <w:rsid w:val="32AB0017"/>
    <w:rsid w:val="32F00B7E"/>
    <w:rsid w:val="33E81E5A"/>
    <w:rsid w:val="340F01AB"/>
    <w:rsid w:val="3464195E"/>
    <w:rsid w:val="346C285D"/>
    <w:rsid w:val="35141C6D"/>
    <w:rsid w:val="35904736"/>
    <w:rsid w:val="359F0C3E"/>
    <w:rsid w:val="37504B42"/>
    <w:rsid w:val="37846BFD"/>
    <w:rsid w:val="37A8202C"/>
    <w:rsid w:val="3882287D"/>
    <w:rsid w:val="39117BC1"/>
    <w:rsid w:val="39E46EFE"/>
    <w:rsid w:val="3BDB4052"/>
    <w:rsid w:val="3DF5589F"/>
    <w:rsid w:val="3F9C0604"/>
    <w:rsid w:val="3FB11C9A"/>
    <w:rsid w:val="40BD4306"/>
    <w:rsid w:val="41420236"/>
    <w:rsid w:val="419E624E"/>
    <w:rsid w:val="41E85C95"/>
    <w:rsid w:val="44776347"/>
    <w:rsid w:val="44A91191"/>
    <w:rsid w:val="44EC29AD"/>
    <w:rsid w:val="469A249B"/>
    <w:rsid w:val="469A445B"/>
    <w:rsid w:val="47121270"/>
    <w:rsid w:val="47550EBA"/>
    <w:rsid w:val="488B2197"/>
    <w:rsid w:val="4C6A55C0"/>
    <w:rsid w:val="4D7E6575"/>
    <w:rsid w:val="4E7A1F96"/>
    <w:rsid w:val="50ED3CDC"/>
    <w:rsid w:val="51877691"/>
    <w:rsid w:val="51E24A36"/>
    <w:rsid w:val="52855B2A"/>
    <w:rsid w:val="534F55FA"/>
    <w:rsid w:val="549A28A4"/>
    <w:rsid w:val="56A65531"/>
    <w:rsid w:val="56F23156"/>
    <w:rsid w:val="57A25616"/>
    <w:rsid w:val="5892726E"/>
    <w:rsid w:val="58B30533"/>
    <w:rsid w:val="594A0260"/>
    <w:rsid w:val="59B2243E"/>
    <w:rsid w:val="5DA4367D"/>
    <w:rsid w:val="5F833826"/>
    <w:rsid w:val="5F9A0CFC"/>
    <w:rsid w:val="5FDA624B"/>
    <w:rsid w:val="60EF5D26"/>
    <w:rsid w:val="61665FE8"/>
    <w:rsid w:val="61AA572D"/>
    <w:rsid w:val="61D81D7A"/>
    <w:rsid w:val="62353C0D"/>
    <w:rsid w:val="6636451A"/>
    <w:rsid w:val="66685509"/>
    <w:rsid w:val="676F65AB"/>
    <w:rsid w:val="685C749D"/>
    <w:rsid w:val="6ACF67FF"/>
    <w:rsid w:val="6B086362"/>
    <w:rsid w:val="6B9B0DC0"/>
    <w:rsid w:val="6C77379F"/>
    <w:rsid w:val="6C9F6E66"/>
    <w:rsid w:val="6CE64E4D"/>
    <w:rsid w:val="6E2273DF"/>
    <w:rsid w:val="6EF65E9C"/>
    <w:rsid w:val="6F1C418A"/>
    <w:rsid w:val="70187047"/>
    <w:rsid w:val="71397E03"/>
    <w:rsid w:val="728F4DF4"/>
    <w:rsid w:val="72FA204D"/>
    <w:rsid w:val="755C79D6"/>
    <w:rsid w:val="75A9073C"/>
    <w:rsid w:val="7607C293"/>
    <w:rsid w:val="76F5360D"/>
    <w:rsid w:val="77FFA8F9"/>
    <w:rsid w:val="782E0B97"/>
    <w:rsid w:val="78DB6E64"/>
    <w:rsid w:val="7A9314AC"/>
    <w:rsid w:val="7B0101AF"/>
    <w:rsid w:val="7BE47D7F"/>
    <w:rsid w:val="7C631402"/>
    <w:rsid w:val="7D440052"/>
    <w:rsid w:val="7E140770"/>
    <w:rsid w:val="7E5D0FAA"/>
    <w:rsid w:val="7EDF0647"/>
    <w:rsid w:val="7F3374EF"/>
    <w:rsid w:val="7FB73BA4"/>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qFormat/>
    <w:uiPriority w:val="99"/>
    <w:pPr>
      <w:tabs>
        <w:tab w:val="center" w:pos="4153"/>
        <w:tab w:val="right" w:pos="8306"/>
      </w:tabs>
      <w:snapToGrid w:val="0"/>
      <w:jc w:val="left"/>
    </w:pPr>
    <w:rPr>
      <w:rFonts w:eastAsia="宋体"/>
      <w:sz w:val="18"/>
      <w:szCs w:val="18"/>
    </w:rPr>
  </w:style>
  <w:style w:type="paragraph" w:styleId="3">
    <w:name w:val="Document Map"/>
    <w:basedOn w:val="1"/>
    <w:link w:val="12"/>
    <w:qFormat/>
    <w:uiPriority w:val="0"/>
    <w:rPr>
      <w:rFonts w:ascii="宋体" w:eastAsia="宋体"/>
      <w:sz w:val="18"/>
      <w:szCs w:val="18"/>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Char"/>
    <w:basedOn w:val="8"/>
    <w:link w:val="3"/>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Char"/>
    <w:basedOn w:val="8"/>
    <w:link w:val="2"/>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14</Pages>
  <Words>5770</Words>
  <Characters>6302</Characters>
  <Lines>48</Lines>
  <Paragraphs>13</Paragraphs>
  <TotalTime>61</TotalTime>
  <ScaleCrop>false</ScaleCrop>
  <LinksUpToDate>false</LinksUpToDate>
  <CharactersWithSpaces>6342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2019-05-17T03:06:00Z</dcterms:created>
  <dc:creator>陈萍</dc:creator>
  <cp:lastModifiedBy>不想回忆的2019</cp:lastModifiedBy>
  <cp:lastPrinted>2022-03-28T11:07:00Z</cp:lastPrinted>
  <dcterms:modified xsi:type="dcterms:W3CDTF">2023-04-13T06:56:04Z</dcterms:modified>
  <dc:title>区域性就业培训基地建设项目</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6A6229AD06B8471EA29D81D91AB40813</vt:lpwstr>
  </property>
</Properties>
</file>