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_GBK" w:hAnsi="宋体" w:eastAsia="方正小标宋_GBK"/>
          <w:color w:val="000000"/>
          <w:sz w:val="72"/>
          <w:szCs w:val="72"/>
        </w:rPr>
      </w:pPr>
      <w:bookmarkStart w:id="1" w:name="_Toc15396475"/>
      <w:bookmarkStart w:id="2" w:name="_Toc15377425"/>
      <w:bookmarkStart w:id="3" w:name="_Toc15378441"/>
      <w:bookmarkStart w:id="4" w:name="_Toc15396597"/>
      <w:bookmarkStart w:id="5" w:name="_Toc15377193"/>
      <w:r>
        <w:rPr>
          <w:rFonts w:ascii="方正小标宋_GBK" w:hAnsi="黑体" w:eastAsia="方正小标宋_GBK"/>
          <w:color w:val="000000"/>
          <w:sz w:val="72"/>
          <w:szCs w:val="72"/>
        </w:rPr>
        <w:t>20</w:t>
      </w:r>
      <w:r>
        <w:rPr>
          <w:rFonts w:hint="eastAsia" w:ascii="方正小标宋_GBK" w:hAnsi="黑体" w:eastAsia="方正小标宋_GBK"/>
          <w:color w:val="000000"/>
          <w:sz w:val="72"/>
          <w:szCs w:val="72"/>
        </w:rPr>
        <w:t>20</w:t>
      </w:r>
      <w:r>
        <w:rPr>
          <w:rFonts w:hint="eastAsia" w:ascii="方正小标宋_GBK" w:hAnsi="宋体"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_GBK" w:hAnsi="宋体" w:eastAsia="方正小标宋_GBK"/>
          <w:color w:val="000000"/>
          <w:sz w:val="72"/>
          <w:szCs w:val="72"/>
          <w:lang w:eastAsia="zh-CN"/>
        </w:rPr>
      </w:pPr>
      <w:bookmarkStart w:id="6" w:name="_Toc15396598"/>
      <w:bookmarkStart w:id="7" w:name="_Toc15377426"/>
      <w:bookmarkStart w:id="8" w:name="_Toc15378442"/>
      <w:bookmarkStart w:id="9" w:name="_Toc15396476"/>
      <w:bookmarkStart w:id="10" w:name="_Toc15377194"/>
      <w:r>
        <w:rPr>
          <w:rFonts w:hint="eastAsia" w:ascii="方正小标宋_GBK" w:hAnsi="宋体" w:eastAsia="方正小标宋_GBK"/>
          <w:color w:val="000000"/>
          <w:sz w:val="72"/>
          <w:szCs w:val="72"/>
        </w:rPr>
        <w:t>达州市达川区</w:t>
      </w:r>
      <w:bookmarkEnd w:id="0"/>
      <w:bookmarkStart w:id="11" w:name="_Toc15306268"/>
      <w:r>
        <w:rPr>
          <w:rFonts w:hint="eastAsia" w:ascii="方正小标宋_GBK" w:hAnsi="宋体" w:eastAsia="方正小标宋_GBK"/>
          <w:color w:val="000000"/>
          <w:sz w:val="72"/>
          <w:szCs w:val="72"/>
          <w:lang w:eastAsia="zh-CN"/>
        </w:rPr>
        <w:t>赵固镇</w:t>
      </w:r>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hAnsi="宋体" w:eastAsia="方正小标宋_GBK"/>
          <w:color w:val="000000"/>
          <w:sz w:val="72"/>
          <w:szCs w:val="72"/>
        </w:rPr>
      </w:pPr>
      <w:r>
        <w:rPr>
          <w:rFonts w:hint="eastAsia" w:ascii="方正小标宋_GBK" w:hAnsi="宋体" w:eastAsia="方正小标宋_GBK"/>
          <w:color w:val="000000"/>
          <w:sz w:val="72"/>
          <w:szCs w:val="72"/>
        </w:rPr>
        <w:t>编制说明</w:t>
      </w:r>
    </w:p>
    <w:p>
      <w:pPr>
        <w:widowControl/>
        <w:rPr>
          <w:rFonts w:ascii="方正小标宋简体" w:hAnsi="宋体" w:eastAsia="方正小标宋简体"/>
          <w:color w:val="000000"/>
          <w:sz w:val="36"/>
          <w:szCs w:val="36"/>
        </w:rPr>
      </w:pPr>
    </w:p>
    <w:p>
      <w:pPr>
        <w:widowControl/>
        <w:rPr>
          <w:rFonts w:hAnsi="宋体"/>
          <w:color w:val="000000"/>
          <w:sz w:val="36"/>
          <w:szCs w:val="36"/>
        </w:rPr>
      </w:pPr>
    </w:p>
    <w:p>
      <w:pPr>
        <w:widowControl/>
        <w:rPr>
          <w:rFonts w:hAnsi="宋体"/>
          <w:color w:val="000000"/>
          <w:sz w:val="36"/>
          <w:szCs w:val="36"/>
        </w:rPr>
      </w:pPr>
    </w:p>
    <w:p>
      <w:pPr>
        <w:widowControl/>
        <w:rPr>
          <w:rFonts w:ascii="方正小标宋_GBK" w:hAnsi="黑体" w:eastAsia="方正小标宋_GBK"/>
          <w:color w:val="000000"/>
          <w:sz w:val="44"/>
          <w:szCs w:val="44"/>
        </w:rPr>
      </w:pPr>
    </w:p>
    <w:p>
      <w:pPr>
        <w:widowControl/>
        <w:rPr>
          <w:rFonts w:ascii="方正小标宋_GBK" w:hAnsi="黑体" w:eastAsia="方正小标宋_GBK"/>
          <w:color w:val="000000"/>
          <w:sz w:val="44"/>
          <w:szCs w:val="44"/>
        </w:rPr>
      </w:pPr>
    </w:p>
    <w:p>
      <w:pPr>
        <w:widowControl/>
        <w:jc w:val="center"/>
        <w:rPr>
          <w:rFonts w:hint="eastAsia" w:ascii="黑体" w:hAnsi="黑体" w:eastAsia="黑体"/>
          <w:color w:val="000000"/>
          <w:sz w:val="48"/>
          <w:szCs w:val="48"/>
        </w:rPr>
      </w:pPr>
      <w:bookmarkStart w:id="12" w:name="_Toc15396599"/>
      <w:bookmarkStart w:id="13" w:name="_Toc15377196"/>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2"/>
      </w:pPr>
      <w:r>
        <w:rPr>
          <w:rFonts w:hint="eastAsia"/>
        </w:rPr>
        <w:t>公开时间：2021年</w:t>
      </w:r>
      <w:r>
        <w:t>9</w:t>
      </w:r>
      <w:r>
        <w:rPr>
          <w:rFonts w:hint="eastAsia"/>
        </w:rPr>
        <w:t>月</w:t>
      </w:r>
      <w:r>
        <w:rPr>
          <w:rFonts w:hint="eastAsia"/>
          <w:lang w:val="en-US" w:eastAsia="zh-CN"/>
        </w:rPr>
        <w:t>13</w:t>
      </w:r>
      <w:r>
        <w:rPr>
          <w:rFonts w:hint="eastAsia"/>
        </w:rPr>
        <w:t>日</w:t>
      </w:r>
    </w:p>
    <w:p/>
    <w:p>
      <w:pPr>
        <w:pStyle w:val="12"/>
        <w:rPr>
          <w:rFonts w:cstheme="minorBidi"/>
        </w:rPr>
      </w:pPr>
      <w:r>
        <w:fldChar w:fldCharType="begin"/>
      </w:r>
      <w:r>
        <w:instrText xml:space="preserve"> HYPERLINK \l "_Toc15396599" </w:instrText>
      </w:r>
      <w:r>
        <w:fldChar w:fldCharType="separate"/>
      </w:r>
      <w:r>
        <w:rPr>
          <w:rStyle w:val="18"/>
          <w:rFonts w:hint="eastAsia"/>
        </w:rPr>
        <w:t>第一部分部门概况</w:t>
      </w:r>
      <w:r>
        <w:tab/>
      </w:r>
      <w:r>
        <w:rPr>
          <w:rFonts w:hint="eastAsia"/>
        </w:rPr>
        <w:t>4</w:t>
      </w:r>
      <w:r>
        <w:rPr>
          <w:rFonts w:hint="eastAsia"/>
        </w:rPr>
        <w:fldChar w:fldCharType="end"/>
      </w:r>
    </w:p>
    <w:p>
      <w:pPr>
        <w:pStyle w:val="13"/>
        <w:rPr>
          <w:rFonts w:ascii="仿宋" w:hAnsi="仿宋" w:eastAsia="仿宋" w:cstheme="minorBidi"/>
          <w:sz w:val="28"/>
          <w:szCs w:val="28"/>
        </w:rPr>
      </w:pPr>
      <w:r>
        <w:fldChar w:fldCharType="begin"/>
      </w:r>
      <w:r>
        <w:instrText xml:space="preserve"> HYPERLINK \l "_Toc15396600" </w:instrText>
      </w:r>
      <w:r>
        <w:fldChar w:fldCharType="separate"/>
      </w:r>
      <w:r>
        <w:rPr>
          <w:rStyle w:val="18"/>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"_Toc15396601" </w:instrText>
      </w:r>
      <w:r>
        <w:fldChar w:fldCharType="separate"/>
      </w:r>
      <w:r>
        <w:rPr>
          <w:rStyle w:val="18"/>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2"/>
      </w:pPr>
      <w:r>
        <w:fldChar w:fldCharType="begin"/>
      </w:r>
      <w:r>
        <w:instrText xml:space="preserve"> HYPERLINK \l "_Toc15396602" </w:instrText>
      </w:r>
      <w:r>
        <w:fldChar w:fldCharType="separate"/>
      </w:r>
      <w:r>
        <w:rPr>
          <w:rStyle w:val="18"/>
          <w:rFonts w:hint="eastAsia"/>
        </w:rPr>
        <w:t>第二部分</w:t>
      </w:r>
      <w:r>
        <w:rPr>
          <w:rStyle w:val="18"/>
        </w:rPr>
        <w:t xml:space="preserve"> 20</w:t>
      </w:r>
      <w:r>
        <w:rPr>
          <w:rStyle w:val="18"/>
          <w:rFonts w:hint="eastAsia"/>
        </w:rPr>
        <w:t>20年度部门决算情况说明</w:t>
      </w:r>
      <w:r>
        <w:tab/>
      </w:r>
      <w:r>
        <w:rPr>
          <w:rFonts w:hint="eastAsia"/>
        </w:rPr>
        <w:t>6</w:t>
      </w:r>
      <w:r>
        <w:rPr>
          <w:rFonts w:hint="eastAsia"/>
        </w:rPr>
        <w:fldChar w:fldCharType="end"/>
      </w:r>
    </w:p>
    <w:p>
      <w:pPr>
        <w:pStyle w:val="13"/>
        <w:rPr>
          <w:rFonts w:ascii="仿宋" w:hAnsi="仿宋" w:eastAsia="仿宋" w:cstheme="minorBidi"/>
          <w:sz w:val="28"/>
          <w:szCs w:val="28"/>
        </w:rPr>
      </w:pPr>
      <w:r>
        <w:fldChar w:fldCharType="begin"/>
      </w:r>
      <w:r>
        <w:instrText xml:space="preserve"> HYPERLINK \l "_Toc15396603" </w:instrText>
      </w:r>
      <w:r>
        <w:fldChar w:fldCharType="separate"/>
      </w:r>
      <w:r>
        <w:rPr>
          <w:rStyle w:val="18"/>
          <w:rFonts w:hint="eastAsia" w:ascii="仿宋" w:hAnsi="仿宋" w:eastAsia="仿宋" w:cstheme="majorBidi"/>
          <w:bCs/>
          <w:sz w:val="28"/>
          <w:szCs w:val="28"/>
        </w:rPr>
        <w:t>一、</w:t>
      </w:r>
      <w:r>
        <w:rPr>
          <w:rStyle w:val="18"/>
          <w:rFonts w:hint="eastAsia" w:ascii="仿宋" w:hAnsi="仿宋" w:eastAsia="仿宋"/>
          <w:sz w:val="28"/>
          <w:szCs w:val="28"/>
        </w:rPr>
        <w:t>收</w:t>
      </w:r>
      <w:r>
        <w:rPr>
          <w:rStyle w:val="18"/>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"_Toc15396604" </w:instrText>
      </w:r>
      <w:r>
        <w:fldChar w:fldCharType="separate"/>
      </w:r>
      <w:r>
        <w:rPr>
          <w:rStyle w:val="18"/>
          <w:rFonts w:hint="eastAsia" w:ascii="仿宋" w:hAnsi="仿宋" w:eastAsia="仿宋" w:cstheme="majorBidi"/>
          <w:bCs/>
          <w:sz w:val="28"/>
          <w:szCs w:val="28"/>
        </w:rPr>
        <w:t>二、</w:t>
      </w:r>
      <w:r>
        <w:rPr>
          <w:rStyle w:val="18"/>
          <w:rFonts w:hint="eastAsia" w:ascii="仿宋" w:hAnsi="仿宋" w:eastAsia="仿宋"/>
          <w:sz w:val="28"/>
          <w:szCs w:val="28"/>
        </w:rPr>
        <w:t>收</w:t>
      </w:r>
      <w:r>
        <w:rPr>
          <w:rStyle w:val="18"/>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"_Toc15396605" </w:instrText>
      </w:r>
      <w:r>
        <w:fldChar w:fldCharType="separate"/>
      </w:r>
      <w:r>
        <w:rPr>
          <w:rStyle w:val="18"/>
          <w:rFonts w:hint="eastAsia" w:ascii="仿宋" w:hAnsi="仿宋" w:eastAsia="仿宋" w:cstheme="majorBidi"/>
          <w:bCs/>
          <w:sz w:val="28"/>
          <w:szCs w:val="28"/>
        </w:rPr>
        <w:t>三、</w:t>
      </w:r>
      <w:r>
        <w:rPr>
          <w:rStyle w:val="18"/>
          <w:rFonts w:hint="eastAsia" w:ascii="仿宋" w:hAnsi="仿宋" w:eastAsia="仿宋"/>
          <w:sz w:val="28"/>
          <w:szCs w:val="28"/>
        </w:rPr>
        <w:t>支</w:t>
      </w:r>
      <w:r>
        <w:rPr>
          <w:rStyle w:val="18"/>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"_Toc15396606" </w:instrText>
      </w:r>
      <w:r>
        <w:fldChar w:fldCharType="separate"/>
      </w:r>
      <w:r>
        <w:rPr>
          <w:rStyle w:val="18"/>
          <w:rFonts w:hint="eastAsia" w:ascii="仿宋" w:hAnsi="仿宋" w:eastAsia="仿宋"/>
          <w:sz w:val="28"/>
          <w:szCs w:val="28"/>
        </w:rPr>
        <w:t>四、财</w:t>
      </w:r>
      <w:r>
        <w:rPr>
          <w:rStyle w:val="18"/>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"_Toc15396607" </w:instrText>
      </w:r>
      <w:r>
        <w:fldChar w:fldCharType="separate"/>
      </w:r>
      <w:r>
        <w:rPr>
          <w:rStyle w:val="18"/>
          <w:rFonts w:hint="eastAsia" w:ascii="仿宋" w:hAnsi="仿宋" w:eastAsia="仿宋"/>
          <w:sz w:val="28"/>
          <w:szCs w:val="28"/>
        </w:rPr>
        <w:t>五、一</w:t>
      </w:r>
      <w:r>
        <w:rPr>
          <w:rStyle w:val="18"/>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"_Toc15396608" </w:instrText>
      </w:r>
      <w:r>
        <w:fldChar w:fldCharType="separate"/>
      </w:r>
      <w:r>
        <w:rPr>
          <w:rStyle w:val="18"/>
          <w:rFonts w:hint="eastAsia" w:ascii="仿宋" w:hAnsi="仿宋" w:eastAsia="仿宋"/>
          <w:sz w:val="28"/>
          <w:szCs w:val="28"/>
        </w:rPr>
        <w:t>六、一</w:t>
      </w:r>
      <w:r>
        <w:rPr>
          <w:rStyle w:val="18"/>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1</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"_Toc15396609" </w:instrText>
      </w:r>
      <w:r>
        <w:fldChar w:fldCharType="separate"/>
      </w:r>
      <w:r>
        <w:rPr>
          <w:rStyle w:val="18"/>
          <w:rFonts w:hint="eastAsia" w:ascii="仿宋" w:hAnsi="仿宋" w:eastAsia="仿宋"/>
          <w:sz w:val="28"/>
          <w:szCs w:val="28"/>
        </w:rPr>
        <w:t>七、</w:t>
      </w:r>
      <w:r>
        <w:rPr>
          <w:rStyle w:val="18"/>
          <w:rFonts w:ascii="仿宋" w:hAnsi="仿宋" w:eastAsia="仿宋"/>
          <w:sz w:val="28"/>
          <w:szCs w:val="28"/>
        </w:rPr>
        <w:t>“</w:t>
      </w:r>
      <w:r>
        <w:rPr>
          <w:rStyle w:val="18"/>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"_Toc15396610" </w:instrText>
      </w:r>
      <w:r>
        <w:fldChar w:fldCharType="separate"/>
      </w:r>
      <w:r>
        <w:rPr>
          <w:rStyle w:val="18"/>
          <w:rFonts w:hint="eastAsia" w:ascii="仿宋" w:hAnsi="仿宋" w:eastAsia="仿宋"/>
          <w:sz w:val="28"/>
          <w:szCs w:val="28"/>
        </w:rPr>
        <w:t>八、</w:t>
      </w:r>
      <w:r>
        <w:rPr>
          <w:rStyle w:val="18"/>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九、</w:t>
      </w:r>
      <w:r>
        <w:rPr>
          <w:rStyle w:val="18"/>
          <w:rFonts w:hint="eastAsia" w:ascii="仿宋" w:hAnsi="仿宋" w:eastAsia="仿宋"/>
          <w:sz w:val="28"/>
          <w:szCs w:val="28"/>
        </w:rPr>
        <w:t xml:space="preserve"> 国</w:t>
      </w:r>
      <w:r>
        <w:rPr>
          <w:rStyle w:val="18"/>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pPr>
      <w:r>
        <w:fldChar w:fldCharType="begin"/>
      </w:r>
      <w:r>
        <w:instrText xml:space="preserve"> HYPERLINK \l "_Toc15396611" </w:instrText>
      </w:r>
      <w:r>
        <w:fldChar w:fldCharType="separate"/>
      </w:r>
      <w:r>
        <w:rPr>
          <w:rStyle w:val="18"/>
          <w:rFonts w:hint="eastAsia" w:ascii="仿宋" w:hAnsi="仿宋" w:eastAsia="仿宋" w:cstheme="majorBidi"/>
          <w:bCs/>
          <w:sz w:val="28"/>
          <w:szCs w:val="28"/>
        </w:rPr>
        <w:t>十、</w:t>
      </w:r>
      <w:r>
        <w:rPr>
          <w:rStyle w:val="18"/>
          <w:rFonts w:hint="eastAsia" w:ascii="仿宋" w:hAnsi="仿宋" w:eastAsia="仿宋"/>
          <w:sz w:val="28"/>
          <w:szCs w:val="28"/>
        </w:rPr>
        <w:t>预算绩效</w:t>
      </w:r>
      <w:r>
        <w:rPr>
          <w:rStyle w:val="18"/>
          <w:rFonts w:hint="eastAsia" w:ascii="仿宋" w:hAnsi="仿宋" w:eastAsia="仿宋" w:cstheme="majorBidi"/>
          <w:bCs/>
          <w:sz w:val="28"/>
          <w:szCs w:val="28"/>
        </w:rPr>
        <w:t>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rPr>
        <w:t>3</w:t>
      </w:r>
      <w:r>
        <w:rPr>
          <w:rFonts w:ascii="仿宋" w:hAnsi="仿宋" w:eastAsia="仿宋"/>
          <w:sz w:val="28"/>
          <w:szCs w:val="28"/>
        </w:rPr>
        <w:fldChar w:fldCharType="end"/>
      </w:r>
      <w:r>
        <w:rPr>
          <w:rFonts w:ascii="仿宋" w:hAnsi="仿宋" w:eastAsia="仿宋"/>
          <w:sz w:val="28"/>
          <w:szCs w:val="28"/>
        </w:rPr>
        <w:fldChar w:fldCharType="end"/>
      </w:r>
    </w:p>
    <w:p>
      <w:pPr>
        <w:pStyle w:val="13"/>
        <w:rPr>
          <w:rFonts w:ascii="仿宋" w:hAnsi="仿宋" w:eastAsia="仿宋" w:cstheme="minorBidi"/>
          <w:sz w:val="28"/>
          <w:szCs w:val="28"/>
        </w:rPr>
      </w:pPr>
      <w:r>
        <w:fldChar w:fldCharType="begin"/>
      </w:r>
      <w:r>
        <w:instrText xml:space="preserve"> HYPERLINK \l "_Toc15396612" </w:instrText>
      </w:r>
      <w:r>
        <w:fldChar w:fldCharType="separate"/>
      </w:r>
      <w:r>
        <w:rPr>
          <w:rStyle w:val="18"/>
          <w:rFonts w:hint="eastAsia" w:ascii="仿宋" w:hAnsi="仿宋" w:eastAsia="仿宋"/>
          <w:sz w:val="28"/>
          <w:szCs w:val="28"/>
        </w:rPr>
        <w:t>十</w:t>
      </w:r>
      <w:r>
        <w:rPr>
          <w:rStyle w:val="18"/>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hint="eastAsia"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cstheme="minorBidi"/>
        </w:rPr>
      </w:pPr>
      <w:r>
        <w:fldChar w:fldCharType="begin"/>
      </w:r>
      <w:r>
        <w:instrText xml:space="preserve"> HYPERLINK \l "_Toc15396613" </w:instrText>
      </w:r>
      <w:r>
        <w:fldChar w:fldCharType="separate"/>
      </w:r>
      <w:r>
        <w:rPr>
          <w:rStyle w:val="18"/>
          <w:rFonts w:hint="eastAsia"/>
          <w:bCs/>
          <w:kern w:val="44"/>
        </w:rPr>
        <w:t>第三部分</w:t>
      </w:r>
      <w:r>
        <w:rPr>
          <w:rStyle w:val="18"/>
          <w:rFonts w:hint="eastAsia"/>
        </w:rPr>
        <w:t xml:space="preserve"> 名</w:t>
      </w:r>
      <w:r>
        <w:rPr>
          <w:rStyle w:val="18"/>
          <w:rFonts w:hint="eastAsia"/>
          <w:bCs/>
          <w:kern w:val="44"/>
        </w:rPr>
        <w:t>词解释</w:t>
      </w:r>
      <w:r>
        <w:tab/>
      </w:r>
      <w:r>
        <w:rPr>
          <w:rFonts w:hint="eastAsia"/>
        </w:rPr>
        <w:t>2</w:t>
      </w:r>
      <w:r>
        <w:rPr>
          <w:rFonts w:hint="eastAsia"/>
        </w:rPr>
        <w:fldChar w:fldCharType="end"/>
      </w:r>
      <w:r>
        <w:rPr>
          <w:rFonts w:hint="eastAsia"/>
        </w:rPr>
        <w:t>3</w:t>
      </w:r>
    </w:p>
    <w:p>
      <w:pPr>
        <w:pStyle w:val="12"/>
        <w:rPr>
          <w:rFonts w:cstheme="minorBidi"/>
        </w:rPr>
      </w:pPr>
      <w:r>
        <w:fldChar w:fldCharType="begin"/>
      </w:r>
      <w:r>
        <w:instrText xml:space="preserve"> HYPERLINK \l "_Toc15396614" </w:instrText>
      </w:r>
      <w:r>
        <w:fldChar w:fldCharType="separate"/>
      </w:r>
      <w:r>
        <w:rPr>
          <w:rStyle w:val="18"/>
          <w:rFonts w:hint="eastAsia"/>
        </w:rPr>
        <w:t>第</w:t>
      </w:r>
      <w:r>
        <w:rPr>
          <w:rStyle w:val="18"/>
          <w:rFonts w:hint="eastAsia"/>
          <w:bCs/>
          <w:kern w:val="44"/>
        </w:rPr>
        <w:t>四部分附件</w:t>
      </w:r>
      <w:r>
        <w:tab/>
      </w:r>
      <w:r>
        <w:fldChar w:fldCharType="end"/>
      </w:r>
      <w:r>
        <w:rPr>
          <w:rFonts w:hint="eastAsia"/>
        </w:rPr>
        <w:t>28</w:t>
      </w:r>
    </w:p>
    <w:p>
      <w:pPr>
        <w:pStyle w:val="13"/>
        <w:rPr>
          <w:rFonts w:ascii="仿宋" w:hAnsi="仿宋" w:eastAsia="仿宋" w:cstheme="minorBidi"/>
          <w:sz w:val="28"/>
          <w:szCs w:val="28"/>
        </w:rPr>
      </w:pPr>
      <w:r>
        <w:fldChar w:fldCharType="begin"/>
      </w:r>
      <w:r>
        <w:instrText xml:space="preserve"> HYPERLINK \l "_Toc15396615"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28</w:t>
      </w:r>
    </w:p>
    <w:p>
      <w:pPr>
        <w:pStyle w:val="13"/>
        <w:rPr>
          <w:rFonts w:ascii="仿宋" w:hAnsi="仿宋" w:eastAsia="仿宋" w:cstheme="minorBidi"/>
          <w:sz w:val="28"/>
          <w:szCs w:val="28"/>
        </w:rPr>
      </w:pPr>
      <w:r>
        <w:fldChar w:fldCharType="begin"/>
      </w:r>
      <w:r>
        <w:instrText xml:space="preserve"> HYPERLINK \l "_Toc15396617" </w:instrText>
      </w:r>
      <w:r>
        <w:fldChar w:fldCharType="separate"/>
      </w:r>
      <w:r>
        <w:rPr>
          <w:rStyle w:val="18"/>
          <w:rFonts w:hint="eastAsia" w:ascii="仿宋" w:hAnsi="仿宋" w:eastAsia="仿宋"/>
          <w:kern w:val="44"/>
          <w:sz w:val="28"/>
          <w:szCs w:val="28"/>
        </w:rPr>
        <w:t>附件</w:t>
      </w:r>
      <w:r>
        <w:rPr>
          <w:rStyle w:val="18"/>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w:t>
      </w:r>
      <w:r>
        <w:rPr>
          <w:rFonts w:hint="eastAsia" w:ascii="仿宋" w:hAnsi="仿宋" w:eastAsia="仿宋"/>
          <w:sz w:val="28"/>
          <w:szCs w:val="28"/>
        </w:rPr>
        <w:t>2</w:t>
      </w:r>
      <w:r>
        <w:rPr>
          <w:rFonts w:ascii="仿宋" w:hAnsi="仿宋" w:eastAsia="仿宋"/>
          <w:sz w:val="28"/>
          <w:szCs w:val="28"/>
        </w:rPr>
        <w:fldChar w:fldCharType="end"/>
      </w:r>
      <w:r>
        <w:rPr>
          <w:rFonts w:ascii="仿宋" w:hAnsi="仿宋" w:eastAsia="仿宋"/>
          <w:sz w:val="28"/>
          <w:szCs w:val="28"/>
        </w:rPr>
        <w:fldChar w:fldCharType="end"/>
      </w:r>
    </w:p>
    <w:p>
      <w:pPr>
        <w:pStyle w:val="12"/>
        <w:rPr>
          <w:rFonts w:cstheme="minorBidi"/>
        </w:rPr>
      </w:pPr>
      <w:r>
        <w:fldChar w:fldCharType="begin"/>
      </w:r>
      <w:r>
        <w:instrText xml:space="preserve"> HYPERLINK \l "_Toc15396618" </w:instrText>
      </w:r>
      <w:r>
        <w:fldChar w:fldCharType="separate"/>
      </w:r>
      <w:r>
        <w:rPr>
          <w:rStyle w:val="18"/>
          <w:rFonts w:hint="eastAsia"/>
        </w:rPr>
        <w:t>第</w:t>
      </w:r>
      <w:r>
        <w:rPr>
          <w:rStyle w:val="18"/>
          <w:rFonts w:hint="eastAsia"/>
          <w:bCs/>
          <w:kern w:val="44"/>
        </w:rPr>
        <w:t>五部分附表</w:t>
      </w:r>
      <w:r>
        <w:tab/>
      </w:r>
      <w:r>
        <w:rPr>
          <w:rFonts w:hint="eastAsia"/>
        </w:rPr>
        <w:t>3</w:t>
      </w:r>
      <w:r>
        <w:rPr>
          <w:rFonts w:hint="eastAsia"/>
        </w:rPr>
        <w:fldChar w:fldCharType="end"/>
      </w:r>
      <w:r>
        <w:rPr>
          <w:rFonts w:hint="eastAsia"/>
        </w:rPr>
        <w:t>5</w:t>
      </w:r>
    </w:p>
    <w:p>
      <w:pPr>
        <w:pStyle w:val="13"/>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8"/>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8"/>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8"/>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8"/>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8"/>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8"/>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8"/>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8"/>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8"/>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8"/>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8"/>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5</w:t>
      </w:r>
    </w:p>
    <w:p>
      <w:pPr>
        <w:pStyle w:val="13"/>
        <w:rPr>
          <w:rFonts w:ascii="仿宋" w:hAnsi="仿宋" w:eastAsia="仿宋"/>
          <w:sz w:val="28"/>
          <w:szCs w:val="28"/>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8"/>
          <w:rFonts w:hint="eastAsia" w:ascii="仿宋" w:hAnsi="仿宋" w:eastAsia="仿宋"/>
          <w:sz w:val="28"/>
          <w:szCs w:val="28"/>
        </w:rPr>
        <w:t>国有资本经营预算财政拨款收入支出决算表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Pr>
        <w:pStyle w:val="13"/>
        <w:rPr>
          <w:rFonts w:ascii="仿宋" w:hAnsi="仿宋" w:eastAsia="仿宋"/>
          <w:sz w:val="28"/>
          <w:szCs w:val="28"/>
        </w:rPr>
      </w:pPr>
      <w:r>
        <w:rPr>
          <w:rFonts w:hint="eastAsia" w:ascii="仿宋" w:hAnsi="仿宋" w:eastAsia="仿宋"/>
          <w:sz w:val="28"/>
          <w:szCs w:val="28"/>
        </w:rPr>
        <w:t>十四、国有资本经营预算财政拨款支出决算表</w:t>
      </w:r>
      <w:r>
        <w:fldChar w:fldCharType="begin"/>
      </w:r>
      <w:r>
        <w:instrText xml:space="preserve"> HYPERLINK \l "_Toc15396631" </w:instrText>
      </w:r>
      <w:r>
        <w:fldChar w:fldCharType="separate"/>
      </w:r>
      <w:r>
        <w:rPr>
          <w:rStyle w:val="18"/>
          <w:rFonts w:hint="eastAsia" w:ascii="仿宋" w:hAnsi="仿宋" w:eastAsia="仿宋"/>
          <w:sz w:val="28"/>
          <w:szCs w:val="28"/>
        </w:rPr>
        <w:t>支出决算表</w:t>
      </w:r>
      <w:r>
        <w:rPr>
          <w:rFonts w:ascii="仿宋" w:hAnsi="仿宋" w:eastAsia="仿宋"/>
          <w:sz w:val="28"/>
          <w:szCs w:val="28"/>
        </w:rPr>
        <w:tab/>
      </w:r>
      <w:r>
        <w:rPr>
          <w:rFonts w:ascii="仿宋" w:hAnsi="仿宋" w:eastAsia="仿宋"/>
          <w:sz w:val="28"/>
          <w:szCs w:val="28"/>
        </w:rPr>
        <w:fldChar w:fldCharType="end"/>
      </w:r>
      <w:r>
        <w:rPr>
          <w:rFonts w:hint="eastAsia" w:ascii="仿宋" w:hAnsi="仿宋" w:eastAsia="仿宋"/>
          <w:sz w:val="28"/>
          <w:szCs w:val="28"/>
        </w:rPr>
        <w:t>35</w:t>
      </w:r>
    </w:p>
    <w:p/>
    <w:p>
      <w:pPr>
        <w:widowControl/>
        <w:spacing w:line="540" w:lineRule="exact"/>
        <w:jc w:val="center"/>
        <w:rPr>
          <w:rStyle w:val="19"/>
          <w:rFonts w:ascii="方正小标宋_GBK" w:hAnsi="黑体" w:eastAsia="方正小标宋_GBK"/>
          <w:b w:val="0"/>
          <w:sz w:val="32"/>
          <w:szCs w:val="32"/>
        </w:rPr>
      </w:pPr>
      <w:r>
        <w:rPr>
          <w:rFonts w:ascii="仿宋" w:hAns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9"/>
          <w:rFonts w:hint="eastAsia" w:ascii="方正小标宋_GBK" w:hAnsi="黑体" w:eastAsia="方正小标宋_GBK"/>
          <w:b w:val="0"/>
          <w:sz w:val="32"/>
          <w:szCs w:val="32"/>
        </w:rPr>
        <w:t>部门概况</w:t>
      </w:r>
      <w:bookmarkEnd w:id="12"/>
      <w:bookmarkEnd w:id="13"/>
    </w:p>
    <w:p>
      <w:pPr>
        <w:pStyle w:val="5"/>
        <w:spacing w:before="0" w:after="0" w:line="540" w:lineRule="exact"/>
        <w:ind w:firstLine="640" w:firstLineChars="200"/>
        <w:rPr>
          <w:rStyle w:val="20"/>
          <w:rFonts w:ascii="方正黑体_GBK" w:hAnsi="Times New Roman" w:eastAsia="方正黑体_GBK"/>
          <w:b w:val="0"/>
          <w:bCs w:val="0"/>
          <w:color w:val="000000"/>
        </w:rPr>
      </w:pPr>
      <w:bookmarkStart w:id="14" w:name="_Toc15377197"/>
      <w:bookmarkStart w:id="15" w:name="_Toc15396600"/>
      <w:r>
        <w:rPr>
          <w:rFonts w:hint="eastAsia" w:ascii="方正黑体_GBK" w:hAnsi="Times New Roman" w:eastAsia="方正黑体_GBK"/>
          <w:b w:val="0"/>
          <w:bCs w:val="0"/>
          <w:color w:val="000000"/>
        </w:rPr>
        <w:t>一、基</w:t>
      </w:r>
      <w:r>
        <w:rPr>
          <w:rStyle w:val="20"/>
          <w:rFonts w:hint="eastAsia" w:ascii="方正黑体_GBK" w:hAnsi="Times New Roman" w:eastAsia="方正黑体_GBK"/>
          <w:b w:val="0"/>
          <w:bCs w:val="0"/>
          <w:color w:val="000000"/>
        </w:rPr>
        <w:t>本职能及主要工作</w:t>
      </w:r>
      <w:bookmarkEnd w:id="14"/>
      <w:bookmarkEnd w:id="15"/>
    </w:p>
    <w:p>
      <w:pPr>
        <w:pStyle w:val="7"/>
        <w:adjustRightInd w:val="0"/>
        <w:snapToGrid w:val="0"/>
        <w:spacing w:beforeLines="0" w:line="540" w:lineRule="exact"/>
        <w:ind w:firstLine="640" w:firstLineChars="200"/>
        <w:outlineLvl w:val="2"/>
        <w:rPr>
          <w:rFonts w:ascii="Times New Roman" w:eastAsia="方正仿宋_GBK"/>
          <w:bCs/>
          <w:color w:val="000000"/>
          <w:sz w:val="32"/>
          <w:szCs w:val="32"/>
        </w:rPr>
      </w:pPr>
      <w:bookmarkStart w:id="16" w:name="_Toc15378445"/>
      <w:bookmarkStart w:id="17" w:name="_Toc15377198"/>
      <w:r>
        <w:rPr>
          <w:rFonts w:hint="eastAsia" w:ascii="Times New Roman" w:eastAsia="方正仿宋_GBK"/>
          <w:bCs/>
          <w:color w:val="000000"/>
          <w:sz w:val="32"/>
          <w:szCs w:val="32"/>
        </w:rPr>
        <w:t>（一）主要职能。</w:t>
      </w:r>
      <w:bookmarkEnd w:id="16"/>
      <w:bookmarkEnd w:id="17"/>
    </w:p>
    <w:p>
      <w:pPr>
        <w:pStyle w:val="7"/>
        <w:adjustRightInd w:val="0"/>
        <w:snapToGrid w:val="0"/>
        <w:spacing w:beforeLines="0" w:line="540" w:lineRule="exact"/>
        <w:ind w:firstLine="640" w:firstLineChars="200"/>
        <w:outlineLvl w:val="2"/>
        <w:rPr>
          <w:rFonts w:hAnsi="宋体"/>
          <w:sz w:val="32"/>
          <w:szCs w:val="32"/>
        </w:rPr>
      </w:pPr>
      <w:bookmarkStart w:id="18" w:name="_Toc15377199"/>
      <w:bookmarkStart w:id="19" w:name="_Toc15378446"/>
      <w:r>
        <w:rPr>
          <w:rFonts w:hint="eastAsia" w:hAnsi="宋体"/>
          <w:sz w:val="32"/>
          <w:szCs w:val="32"/>
          <w:lang w:eastAsia="zh-CN"/>
        </w:rPr>
        <w:t>赵固镇</w:t>
      </w:r>
      <w:r>
        <w:rPr>
          <w:rFonts w:hint="eastAsia" w:hAnsi="宋体"/>
          <w:sz w:val="32"/>
          <w:szCs w:val="32"/>
        </w:rPr>
        <w:t>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hAnsi="宋体"/>
          <w:sz w:val="32"/>
          <w:szCs w:val="32"/>
          <w:lang w:eastAsia="zh-CN"/>
        </w:rPr>
        <w:t>赵固镇</w:t>
      </w:r>
      <w:r>
        <w:rPr>
          <w:rFonts w:hint="eastAsia" w:hAnsi="宋体"/>
          <w:sz w:val="32"/>
          <w:szCs w:val="32"/>
        </w:rPr>
        <w:t>经济发展、改善人民生活、保持农村社会稳定、偿还乡镇和村级债务、搞好场镇建设和加快新农村基础设施建设工作。</w:t>
      </w:r>
    </w:p>
    <w:p>
      <w:pPr>
        <w:pStyle w:val="7"/>
        <w:adjustRightInd w:val="0"/>
        <w:snapToGrid w:val="0"/>
        <w:spacing w:beforeLines="0" w:line="540" w:lineRule="exact"/>
        <w:ind w:firstLine="640" w:firstLineChars="200"/>
        <w:outlineLvl w:val="2"/>
        <w:rPr>
          <w:rFonts w:ascii="Times New Roman" w:eastAsia="方正仿宋_GBK"/>
          <w:bCs/>
          <w:color w:val="000000"/>
          <w:sz w:val="32"/>
          <w:szCs w:val="32"/>
        </w:rPr>
      </w:pPr>
      <w:r>
        <w:rPr>
          <w:rFonts w:hint="eastAsia" w:ascii="Times New Roman" w:eastAsia="方正仿宋_GBK"/>
          <w:bCs/>
          <w:color w:val="000000"/>
          <w:sz w:val="32"/>
          <w:szCs w:val="32"/>
        </w:rPr>
        <w:t>（二）</w:t>
      </w:r>
      <w:r>
        <w:rPr>
          <w:rFonts w:ascii="Times New Roman" w:eastAsia="方正仿宋_GBK"/>
          <w:bCs/>
          <w:color w:val="000000"/>
          <w:sz w:val="32"/>
          <w:szCs w:val="32"/>
        </w:rPr>
        <w:t>20</w:t>
      </w:r>
      <w:r>
        <w:rPr>
          <w:rFonts w:hint="eastAsia" w:ascii="Times New Roman" w:eastAsia="方正仿宋_GBK"/>
          <w:bCs/>
          <w:color w:val="000000"/>
          <w:sz w:val="32"/>
          <w:szCs w:val="32"/>
        </w:rPr>
        <w:t>20年重点工作完成情况。</w:t>
      </w:r>
      <w:bookmarkEnd w:id="18"/>
      <w:bookmarkEnd w:id="19"/>
    </w:p>
    <w:p>
      <w:pPr>
        <w:pStyle w:val="7"/>
        <w:adjustRightInd w:val="0"/>
        <w:snapToGrid w:val="0"/>
        <w:spacing w:beforeLines="0" w:line="540" w:lineRule="exact"/>
        <w:ind w:firstLine="640" w:firstLineChars="200"/>
        <w:outlineLvl w:val="2"/>
        <w:rPr>
          <w:rFonts w:hint="default" w:hAnsi="宋体" w:cs="Times New Roman"/>
          <w:sz w:val="32"/>
          <w:szCs w:val="32"/>
        </w:rPr>
      </w:pPr>
      <w:bookmarkStart w:id="20" w:name="_Toc15377200"/>
      <w:bookmarkStart w:id="21" w:name="_Toc15396601"/>
      <w:r>
        <w:rPr>
          <w:rFonts w:hint="default" w:hAnsi="宋体" w:cs="Times New Roman"/>
          <w:sz w:val="32"/>
          <w:szCs w:val="32"/>
        </w:rPr>
        <w:t xml:space="preserve">一年来，通过干部群众的共同努力，全镇地区生产总值达  </w:t>
      </w:r>
    </w:p>
    <w:p>
      <w:pPr>
        <w:pStyle w:val="7"/>
        <w:adjustRightInd w:val="0"/>
        <w:snapToGrid w:val="0"/>
        <w:spacing w:beforeLines="0" w:line="540" w:lineRule="exact"/>
        <w:ind w:firstLine="640" w:firstLineChars="200"/>
        <w:outlineLvl w:val="2"/>
        <w:rPr>
          <w:rFonts w:hint="default" w:hAnsi="宋体" w:cs="Times New Roman"/>
          <w:sz w:val="32"/>
          <w:szCs w:val="32"/>
        </w:rPr>
      </w:pPr>
      <w:r>
        <w:rPr>
          <w:rFonts w:hint="eastAsia" w:hAnsi="宋体" w:cs="Times New Roman"/>
          <w:sz w:val="32"/>
          <w:szCs w:val="32"/>
          <w:lang w:val="en-US" w:eastAsia="zh-CN"/>
        </w:rPr>
        <w:t>3.8747</w:t>
      </w:r>
      <w:r>
        <w:rPr>
          <w:rFonts w:hint="default" w:hAnsi="宋体" w:cs="Times New Roman"/>
          <w:sz w:val="32"/>
          <w:szCs w:val="32"/>
        </w:rPr>
        <w:t>亿元，较去年增长</w:t>
      </w:r>
      <w:r>
        <w:rPr>
          <w:rFonts w:hint="eastAsia" w:hAnsi="宋体" w:cs="Times New Roman"/>
          <w:sz w:val="32"/>
          <w:szCs w:val="32"/>
          <w:lang w:val="en-US" w:eastAsia="zh-CN"/>
        </w:rPr>
        <w:t>6</w:t>
      </w:r>
      <w:r>
        <w:rPr>
          <w:rFonts w:hint="default" w:hAnsi="宋体" w:cs="Times New Roman"/>
          <w:sz w:val="32"/>
          <w:szCs w:val="32"/>
        </w:rPr>
        <w:t xml:space="preserve">％；农民人均纯收入实现 </w:t>
      </w:r>
      <w:r>
        <w:rPr>
          <w:rFonts w:hint="eastAsia" w:hAnsi="宋体" w:cs="Times New Roman"/>
          <w:sz w:val="32"/>
          <w:szCs w:val="32"/>
          <w:lang w:val="en-US" w:eastAsia="zh-CN"/>
        </w:rPr>
        <w:t>18370</w:t>
      </w:r>
      <w:r>
        <w:rPr>
          <w:rFonts w:hint="default" w:hAnsi="宋体" w:cs="Times New Roman"/>
          <w:sz w:val="32"/>
          <w:szCs w:val="32"/>
        </w:rPr>
        <w:t>元，较去年增收</w:t>
      </w:r>
      <w:r>
        <w:rPr>
          <w:rFonts w:hint="eastAsia" w:hAnsi="宋体" w:cs="Times New Roman"/>
          <w:sz w:val="32"/>
          <w:szCs w:val="32"/>
          <w:lang w:val="en-US" w:eastAsia="zh-CN"/>
        </w:rPr>
        <w:t>1200</w:t>
      </w:r>
      <w:r>
        <w:rPr>
          <w:rFonts w:hint="default" w:hAnsi="宋体" w:cs="Times New Roman"/>
          <w:sz w:val="32"/>
          <w:szCs w:val="32"/>
        </w:rPr>
        <w:t>元，全镇经济运行质量和效益逐步提高，人民幸福指数明显提升。</w:t>
      </w:r>
    </w:p>
    <w:p>
      <w:pPr>
        <w:pStyle w:val="7"/>
        <w:adjustRightInd w:val="0"/>
        <w:snapToGrid w:val="0"/>
        <w:spacing w:beforeLines="0" w:line="540" w:lineRule="exact"/>
        <w:ind w:firstLine="642" w:firstLineChars="200"/>
        <w:outlineLvl w:val="2"/>
        <w:rPr>
          <w:rFonts w:hint="eastAsia" w:hAnsi="宋体" w:cs="Times New Roman"/>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疫情防控稳步推进。</w:t>
      </w:r>
      <w:r>
        <w:rPr>
          <w:rFonts w:hint="default" w:hAnsi="宋体" w:cs="Times New Roman"/>
          <w:sz w:val="32"/>
          <w:szCs w:val="32"/>
        </w:rPr>
        <w:t>自疫情防控工作开展以来，我镇严格按照省、市、区疫情指挥部有关工作要求，及时成立了工作领导小组，明确职责分工，严格落实责任。一是层层设置关卡。设置镇级检查卡口1个，社区、村检查点</w:t>
      </w:r>
      <w:r>
        <w:rPr>
          <w:rFonts w:hint="eastAsia" w:hAnsi="宋体" w:cs="Times New Roman"/>
          <w:sz w:val="32"/>
          <w:szCs w:val="32"/>
          <w:lang w:val="en-US" w:eastAsia="zh-CN"/>
        </w:rPr>
        <w:t>32</w:t>
      </w:r>
      <w:r>
        <w:rPr>
          <w:rFonts w:hint="default" w:hAnsi="宋体" w:cs="Times New Roman"/>
          <w:sz w:val="32"/>
          <w:szCs w:val="32"/>
        </w:rPr>
        <w:t>个，建立排查登记台账，做好人员管控；二是努力营造氛围。各村不间断播放市、区自制音频，全镇悬挂宣传横幅标语60余副，场镇及人口较密集的村社发放防控</w:t>
      </w:r>
      <w:r>
        <w:rPr>
          <w:rFonts w:hint="eastAsia" w:hAnsi="宋体" w:cs="Times New Roman"/>
          <w:sz w:val="32"/>
          <w:szCs w:val="32"/>
          <w:lang w:eastAsia="zh-CN"/>
        </w:rPr>
        <w:t>新型冠状病毒肺炎</w:t>
      </w:r>
      <w:r>
        <w:rPr>
          <w:rFonts w:hint="default" w:hAnsi="宋体" w:cs="Times New Roman"/>
          <w:sz w:val="32"/>
          <w:szCs w:val="32"/>
        </w:rPr>
        <w:t>宣传单1000余份，镇政府出动宣传车1台，每天轮流到各村社宣传</w:t>
      </w:r>
      <w:r>
        <w:rPr>
          <w:rFonts w:hint="eastAsia" w:hAnsi="宋体" w:cs="Times New Roman"/>
          <w:sz w:val="32"/>
          <w:szCs w:val="32"/>
          <w:lang w:eastAsia="zh-CN"/>
        </w:rPr>
        <w:t>新型冠状病毒肺炎</w:t>
      </w:r>
      <w:r>
        <w:rPr>
          <w:rFonts w:hint="default" w:hAnsi="宋体" w:cs="Times New Roman"/>
          <w:sz w:val="32"/>
          <w:szCs w:val="32"/>
        </w:rPr>
        <w:t>防控知识；三是全力做好联防联控。认真落实人员出入登记制度，不间断强化走访排查，确保所有外来人员应报尽报，严防输入风险；四是取消聚集性活动。取消镇内所有人员聚集的大型集会活动，关闭娱乐场所，停办婚丧嫁娶家宴，多部门联合持续巡查聚众聚集行为；五是开展消杀工作。每天在辖区各公共场所、人员密集地实行严格消毒；六是科技支撑、科学防控。严格落实“健康证”二维码和APP安装使用措施。在全年疫情防控工作中，共计投入资金10余万元，发放防护口罩两万多个，发放温度计100余支，发放消毒液200公斤，发放喷雾器、水鞋、民用防护服等防护用品500多件，全力服务保障全镇疫情防控工作。</w:t>
      </w:r>
      <w:r>
        <w:rPr>
          <w:rFonts w:hint="eastAsia" w:hAnsi="宋体" w:cs="Times New Roman"/>
          <w:sz w:val="32"/>
          <w:szCs w:val="32"/>
          <w:lang w:eastAsia="zh-CN"/>
        </w:rPr>
        <w:t>六是组织党员、干部、群众疫情捐款</w:t>
      </w:r>
      <w:r>
        <w:rPr>
          <w:rFonts w:hint="eastAsia" w:hAnsi="宋体" w:cs="Times New Roman"/>
          <w:sz w:val="32"/>
          <w:szCs w:val="32"/>
          <w:lang w:val="en-US" w:eastAsia="zh-CN"/>
        </w:rPr>
        <w:t>5.04万元（其中向武汉重灾区捐助 1.5万元、区红十字会3.54万元）。</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（二）农业农村工作不断夯实。</w:t>
      </w:r>
      <w:r>
        <w:rPr>
          <w:rFonts w:hint="default" w:hAnsi="宋体" w:cs="Times New Roman"/>
          <w:sz w:val="32"/>
          <w:szCs w:val="32"/>
        </w:rPr>
        <w:t>一是抓好抓实农业生产工作，全力做好“米城贡米”水稻种子订购及配套工作，抓好抓实农业政策性保险工作，做好2020年耕地地力保护补贴公示、核实、纠错工作，落实水稻、玉米、油菜病虫草绿色防控技术措施宣传工作。二是继续夯实特色产业工作，做好已发展产业的管护工作，进行施肥、除草、预防病虫害，保障产业生长优势。同时，大力支持各村（社区）发展青花椒、西瓜、柑橘等特色产业，有力地带动群众增收、增效，推动全镇特色产业快速发展。三是鼓励发展新型农业经营主体，依托“一村一品”产业格局，增加经营种养大户规模。支持受疫情影响的新型农业经营主体坚定信心、共渡难关，通过加大政策性农业保险支持等措施，确保新型农业经营主体复工复产，稳定经营。四是继续推进“非洲猪瘟”工作。加大“非洲猪瘟”防疫知识宣传，确保了无一例“非洲猪瘟”疫情发生。</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（三）基础设施逐步完善。</w:t>
      </w:r>
      <w:r>
        <w:rPr>
          <w:rFonts w:hint="default" w:hAnsi="宋体" w:cs="Times New Roman"/>
          <w:sz w:val="32"/>
          <w:szCs w:val="32"/>
        </w:rPr>
        <w:t>一是积极向上争取项目和资金，先后在</w:t>
      </w:r>
      <w:r>
        <w:rPr>
          <w:rFonts w:hint="default" w:hAnsi="宋体" w:cs="Times New Roman"/>
          <w:sz w:val="32"/>
          <w:szCs w:val="32"/>
          <w:lang w:val="en-US" w:eastAsia="zh-CN"/>
        </w:rPr>
        <w:t>谷王</w:t>
      </w:r>
      <w:r>
        <w:rPr>
          <w:rFonts w:hint="default" w:hAnsi="宋体" w:cs="Times New Roman"/>
          <w:sz w:val="32"/>
          <w:szCs w:val="32"/>
        </w:rPr>
        <w:t>村、</w:t>
      </w:r>
      <w:r>
        <w:rPr>
          <w:rFonts w:hint="default" w:hAnsi="宋体" w:cs="Times New Roman"/>
          <w:sz w:val="32"/>
          <w:szCs w:val="32"/>
          <w:lang w:val="en-US" w:eastAsia="zh-CN"/>
        </w:rPr>
        <w:t>茶岩</w:t>
      </w:r>
      <w:r>
        <w:rPr>
          <w:rFonts w:hint="default" w:hAnsi="宋体" w:cs="Times New Roman"/>
          <w:sz w:val="32"/>
          <w:szCs w:val="32"/>
        </w:rPr>
        <w:t>村</w:t>
      </w:r>
      <w:r>
        <w:rPr>
          <w:rFonts w:hint="default" w:hAnsi="宋体" w:cs="Times New Roman"/>
          <w:sz w:val="32"/>
          <w:szCs w:val="32"/>
          <w:lang w:val="en-US" w:eastAsia="zh-CN"/>
        </w:rPr>
        <w:t>、南井村</w:t>
      </w:r>
      <w:r>
        <w:rPr>
          <w:rFonts w:hint="default" w:hAnsi="宋体" w:cs="Times New Roman"/>
          <w:sz w:val="32"/>
          <w:szCs w:val="32"/>
        </w:rPr>
        <w:t>分别硬化了道路1.</w:t>
      </w:r>
      <w:r>
        <w:rPr>
          <w:rFonts w:hint="default" w:hAnsi="宋体" w:cs="Times New Roman"/>
          <w:sz w:val="32"/>
          <w:szCs w:val="32"/>
          <w:lang w:val="en-US" w:eastAsia="zh-CN"/>
        </w:rPr>
        <w:t>5</w:t>
      </w:r>
      <w:r>
        <w:rPr>
          <w:rFonts w:hint="default" w:hAnsi="宋体" w:cs="Times New Roman"/>
          <w:sz w:val="32"/>
          <w:szCs w:val="32"/>
        </w:rPr>
        <w:t>公里，</w:t>
      </w:r>
      <w:r>
        <w:rPr>
          <w:rFonts w:hint="default" w:hAnsi="宋体" w:cs="Times New Roman"/>
          <w:sz w:val="32"/>
          <w:szCs w:val="32"/>
          <w:lang w:val="en-US" w:eastAsia="zh-CN"/>
        </w:rPr>
        <w:t>0.22公里，1.1公里，</w:t>
      </w:r>
      <w:r>
        <w:rPr>
          <w:rFonts w:hint="default" w:hAnsi="宋体" w:cs="Times New Roman"/>
          <w:sz w:val="32"/>
          <w:szCs w:val="32"/>
        </w:rPr>
        <w:t>解决了</w:t>
      </w:r>
      <w:r>
        <w:rPr>
          <w:rFonts w:hint="default" w:hAnsi="宋体" w:cs="Times New Roman"/>
          <w:sz w:val="32"/>
          <w:szCs w:val="32"/>
          <w:lang w:val="en-US" w:eastAsia="zh-CN"/>
        </w:rPr>
        <w:t>396</w:t>
      </w:r>
      <w:r>
        <w:rPr>
          <w:rFonts w:hint="default" w:hAnsi="宋体" w:cs="Times New Roman"/>
          <w:sz w:val="32"/>
          <w:szCs w:val="32"/>
        </w:rPr>
        <w:t>户群众的出行难问题；</w:t>
      </w:r>
      <w:r>
        <w:rPr>
          <w:rFonts w:hint="default" w:hAnsi="宋体" w:cs="Times New Roman"/>
          <w:sz w:val="32"/>
          <w:szCs w:val="32"/>
          <w:lang w:val="en-US" w:eastAsia="zh-CN"/>
        </w:rPr>
        <w:t>二</w:t>
      </w:r>
      <w:r>
        <w:rPr>
          <w:rFonts w:hint="default" w:hAnsi="宋体" w:cs="Times New Roman"/>
          <w:sz w:val="32"/>
          <w:szCs w:val="32"/>
        </w:rPr>
        <w:t>是投资</w:t>
      </w:r>
      <w:r>
        <w:rPr>
          <w:rFonts w:hint="default" w:hAnsi="宋体" w:cs="Times New Roman"/>
          <w:sz w:val="32"/>
          <w:szCs w:val="32"/>
          <w:lang w:val="en-US" w:eastAsia="zh-CN"/>
        </w:rPr>
        <w:t>50</w:t>
      </w:r>
      <w:r>
        <w:rPr>
          <w:rFonts w:hint="default" w:hAnsi="宋体" w:cs="Times New Roman"/>
          <w:sz w:val="32"/>
          <w:szCs w:val="32"/>
        </w:rPr>
        <w:t>万元的赵固镇场镇</w:t>
      </w:r>
      <w:r>
        <w:rPr>
          <w:rFonts w:hint="default" w:hAnsi="宋体" w:cs="Times New Roman"/>
          <w:sz w:val="32"/>
          <w:szCs w:val="32"/>
          <w:lang w:eastAsia="zh-CN"/>
        </w:rPr>
        <w:t>新建公厕</w:t>
      </w:r>
      <w:r>
        <w:rPr>
          <w:rFonts w:hint="default" w:hAnsi="宋体" w:cs="Times New Roman"/>
          <w:sz w:val="32"/>
          <w:szCs w:val="32"/>
        </w:rPr>
        <w:t>项目已经</w:t>
      </w:r>
      <w:r>
        <w:rPr>
          <w:rFonts w:hint="default" w:hAnsi="宋体" w:cs="Times New Roman"/>
          <w:sz w:val="32"/>
          <w:szCs w:val="32"/>
          <w:lang w:eastAsia="zh-CN"/>
        </w:rPr>
        <w:t>完成前期工作，计划于</w:t>
      </w:r>
      <w:r>
        <w:rPr>
          <w:rFonts w:hint="default" w:hAnsi="宋体" w:cs="Times New Roman"/>
          <w:sz w:val="32"/>
          <w:szCs w:val="32"/>
          <w:lang w:val="en-US" w:eastAsia="zh-CN"/>
        </w:rPr>
        <w:t>2020年12月底建成并使用</w:t>
      </w:r>
      <w:r>
        <w:rPr>
          <w:rFonts w:hint="default" w:hAnsi="宋体" w:cs="Times New Roman"/>
          <w:sz w:val="32"/>
          <w:szCs w:val="32"/>
        </w:rPr>
        <w:t>。</w:t>
      </w:r>
    </w:p>
    <w:p>
      <w:pPr>
        <w:pStyle w:val="7"/>
        <w:adjustRightInd w:val="0"/>
        <w:snapToGrid w:val="0"/>
        <w:spacing w:beforeLines="0" w:line="540" w:lineRule="exact"/>
        <w:ind w:firstLine="642" w:firstLineChars="200"/>
        <w:outlineLvl w:val="2"/>
        <w:rPr>
          <w:rFonts w:hint="eastAsia" w:hAnsi="宋体" w:cs="Times New Roman"/>
          <w:sz w:val="32"/>
          <w:szCs w:val="32"/>
        </w:rPr>
      </w:pPr>
      <w:r>
        <w:rPr>
          <w:rFonts w:hint="eastAsia" w:ascii="楷体" w:hAnsi="楷体" w:eastAsia="楷体" w:cs="楷体"/>
          <w:b/>
          <w:bCs/>
          <w:sz w:val="32"/>
          <w:szCs w:val="32"/>
          <w:lang w:eastAsia="zh-CN"/>
        </w:rPr>
        <w:t>（四）城乡面貌持续改善。</w:t>
      </w:r>
      <w:r>
        <w:rPr>
          <w:rFonts w:hint="eastAsia" w:hAnsi="宋体" w:cs="Times New Roman"/>
          <w:sz w:val="32"/>
          <w:szCs w:val="32"/>
        </w:rPr>
        <w:t>一是健全完善城乡环境综合治理常态长效机制，先后出动宣传车2次，开展宣传教育6次，组织开展环境治理督查12次，进一步美化和净化了乡村环境；</w:t>
      </w:r>
      <w:r>
        <w:rPr>
          <w:rFonts w:hint="eastAsia" w:hAnsi="宋体" w:cs="Times New Roman"/>
          <w:sz w:val="32"/>
          <w:szCs w:val="32"/>
          <w:lang w:eastAsia="zh-CN"/>
        </w:rPr>
        <w:t>二是扎实开展“</w:t>
      </w:r>
      <w:r>
        <w:rPr>
          <w:rFonts w:hint="eastAsia" w:hAnsi="宋体" w:cs="Times New Roman"/>
          <w:sz w:val="32"/>
          <w:szCs w:val="32"/>
          <w:lang w:val="en-US" w:eastAsia="zh-CN"/>
        </w:rPr>
        <w:t>农村生活垃圾清运不及时，处理不规范问题整治</w:t>
      </w:r>
      <w:r>
        <w:rPr>
          <w:rFonts w:hint="eastAsia" w:hAnsi="宋体" w:cs="Times New Roman"/>
          <w:sz w:val="32"/>
          <w:szCs w:val="32"/>
          <w:lang w:eastAsia="zh-CN"/>
        </w:rPr>
        <w:t>”</w:t>
      </w:r>
      <w:r>
        <w:rPr>
          <w:rFonts w:hint="eastAsia" w:hAnsi="宋体" w:cs="Times New Roman"/>
          <w:sz w:val="32"/>
          <w:szCs w:val="32"/>
          <w:lang w:val="en-US" w:eastAsia="zh-CN"/>
        </w:rPr>
        <w:t>群众最不满意的10件事整治工作；</w:t>
      </w:r>
      <w:r>
        <w:rPr>
          <w:rFonts w:hint="eastAsia" w:hAnsi="宋体" w:cs="Times New Roman"/>
          <w:sz w:val="32"/>
          <w:szCs w:val="32"/>
          <w:lang w:eastAsia="zh-CN"/>
        </w:rPr>
        <w:t>三</w:t>
      </w:r>
      <w:r>
        <w:rPr>
          <w:rFonts w:hint="eastAsia" w:hAnsi="宋体" w:cs="Times New Roman"/>
          <w:sz w:val="32"/>
          <w:szCs w:val="32"/>
        </w:rPr>
        <w:t>是全面落实推进“河长制”工作，镇党委、政府主要负责人亲自巡河并牵头开展环保行动30余次，定期督促各村（社区）清理白色垃圾和河塘漂流物，群众生活环境得到了大力改善。</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（五）脱贫攻坚工作取得实效。</w:t>
      </w:r>
      <w:r>
        <w:rPr>
          <w:rFonts w:hint="default" w:hAnsi="宋体" w:cs="Times New Roman"/>
          <w:sz w:val="32"/>
          <w:szCs w:val="32"/>
        </w:rPr>
        <w:t>一是狠抓党建引领。大力实施村级党组织“发家计划”，深入推进党员精准扶贫示范工程，管好用活贫困村“5+2”非贫困村“3+2”驻村帮扶力量，根据机构改革人事变动情况，及时更换调整了</w:t>
      </w:r>
      <w:r>
        <w:rPr>
          <w:rFonts w:hint="default" w:hAnsi="宋体" w:cs="Times New Roman"/>
          <w:sz w:val="32"/>
          <w:szCs w:val="32"/>
          <w:lang w:val="en-US" w:eastAsia="zh-CN"/>
        </w:rPr>
        <w:t>1</w:t>
      </w:r>
      <w:r>
        <w:rPr>
          <w:rFonts w:hint="default" w:hAnsi="宋体" w:cs="Times New Roman"/>
          <w:sz w:val="32"/>
          <w:szCs w:val="32"/>
        </w:rPr>
        <w:t>名非贫困村第一书记</w:t>
      </w:r>
      <w:r>
        <w:rPr>
          <w:rFonts w:hint="default" w:hAnsi="宋体" w:cs="Times New Roman"/>
          <w:sz w:val="32"/>
          <w:szCs w:val="32"/>
          <w:lang w:val="en-US" w:eastAsia="zh-CN"/>
        </w:rPr>
        <w:t>、4名贫困村驻村队员</w:t>
      </w:r>
      <w:r>
        <w:rPr>
          <w:rFonts w:hint="default" w:hAnsi="宋体" w:cs="Times New Roman"/>
          <w:sz w:val="32"/>
          <w:szCs w:val="32"/>
        </w:rPr>
        <w:t>及</w:t>
      </w:r>
      <w:r>
        <w:rPr>
          <w:rFonts w:hint="default" w:hAnsi="宋体" w:cs="Times New Roman"/>
          <w:sz w:val="32"/>
          <w:szCs w:val="32"/>
          <w:lang w:val="en-US" w:eastAsia="zh-CN"/>
        </w:rPr>
        <w:t>22</w:t>
      </w:r>
      <w:r>
        <w:rPr>
          <w:rFonts w:hint="default" w:hAnsi="宋体" w:cs="Times New Roman"/>
          <w:sz w:val="32"/>
          <w:szCs w:val="32"/>
        </w:rPr>
        <w:t>名帮扶责任人。二是压实工作责任。明确第一书记、支部书记、驻村干部、帮扶责任人的职责责任，镇纪委、镇脱贫办加强监督检查、跟踪督办，工作责任不断压实。三是抓实巩固提升。以“两不愁三保障”回头看大排查发现问题及省、市、区脱贫攻坚反馈问题整改为契机，针对反馈的贫困户</w:t>
      </w:r>
      <w:r>
        <w:rPr>
          <w:rFonts w:hint="default" w:hAnsi="宋体" w:cs="Times New Roman"/>
          <w:sz w:val="32"/>
          <w:szCs w:val="32"/>
          <w:lang w:val="en-US" w:eastAsia="zh-CN"/>
        </w:rPr>
        <w:t>9</w:t>
      </w:r>
      <w:r>
        <w:rPr>
          <w:rFonts w:hint="default" w:hAnsi="宋体" w:cs="Times New Roman"/>
          <w:sz w:val="32"/>
          <w:szCs w:val="32"/>
        </w:rPr>
        <w:t>户</w:t>
      </w:r>
      <w:r>
        <w:rPr>
          <w:rFonts w:hint="default" w:hAnsi="宋体" w:cs="Times New Roman"/>
          <w:sz w:val="32"/>
          <w:szCs w:val="32"/>
          <w:lang w:val="en-US" w:eastAsia="zh-CN"/>
        </w:rPr>
        <w:t>9</w:t>
      </w:r>
      <w:r>
        <w:rPr>
          <w:rFonts w:hint="default" w:hAnsi="宋体" w:cs="Times New Roman"/>
          <w:sz w:val="32"/>
          <w:szCs w:val="32"/>
        </w:rPr>
        <w:t>条问题、边缘户</w:t>
      </w:r>
      <w:r>
        <w:rPr>
          <w:rFonts w:hint="default" w:hAnsi="宋体" w:cs="Times New Roman"/>
          <w:sz w:val="32"/>
          <w:szCs w:val="32"/>
          <w:lang w:val="en-US" w:eastAsia="zh-CN"/>
        </w:rPr>
        <w:t>13</w:t>
      </w:r>
      <w:r>
        <w:rPr>
          <w:rFonts w:hint="default" w:hAnsi="宋体" w:cs="Times New Roman"/>
          <w:sz w:val="32"/>
          <w:szCs w:val="32"/>
        </w:rPr>
        <w:t>户</w:t>
      </w:r>
      <w:r>
        <w:rPr>
          <w:rFonts w:hint="default" w:hAnsi="宋体" w:cs="Times New Roman"/>
          <w:sz w:val="32"/>
          <w:szCs w:val="32"/>
          <w:lang w:val="en-US" w:eastAsia="zh-CN"/>
        </w:rPr>
        <w:t>13</w:t>
      </w:r>
      <w:r>
        <w:rPr>
          <w:rFonts w:hint="default" w:hAnsi="宋体" w:cs="Times New Roman"/>
          <w:sz w:val="32"/>
          <w:szCs w:val="32"/>
        </w:rPr>
        <w:t>条问题，对标贫困户“两不愁三保障”、“一超六有”标准，逐村、逐户、逐项对照，并组织帮扶干部因户施策，量身定制，支持贫困户激发内生动力，通过发展种养殖、庭院经济等方式，实现</w:t>
      </w:r>
      <w:r>
        <w:rPr>
          <w:rFonts w:hint="default" w:hAnsi="宋体" w:cs="Times New Roman"/>
          <w:sz w:val="32"/>
          <w:szCs w:val="32"/>
          <w:lang w:eastAsia="zh-CN"/>
        </w:rPr>
        <w:t>人民增收</w:t>
      </w:r>
      <w:r>
        <w:rPr>
          <w:rFonts w:hint="default" w:hAnsi="宋体" w:cs="Times New Roman"/>
          <w:sz w:val="32"/>
          <w:szCs w:val="32"/>
        </w:rPr>
        <w:t>，确保了稳定增收不返贫。四是全力对标补短。</w:t>
      </w:r>
      <w:r>
        <w:rPr>
          <w:rFonts w:hint="default" w:hAnsi="宋体" w:cs="Times New Roman"/>
          <w:sz w:val="32"/>
          <w:szCs w:val="32"/>
          <w:lang w:val="en-US" w:eastAsia="zh-CN"/>
        </w:rPr>
        <w:t>20</w:t>
      </w:r>
      <w:r>
        <w:rPr>
          <w:rFonts w:hint="default" w:hAnsi="宋体" w:cs="Times New Roman"/>
          <w:sz w:val="32"/>
          <w:szCs w:val="32"/>
        </w:rPr>
        <w:t>户</w:t>
      </w:r>
      <w:r>
        <w:rPr>
          <w:rFonts w:hint="default" w:hAnsi="宋体" w:cs="Times New Roman"/>
          <w:sz w:val="32"/>
          <w:szCs w:val="32"/>
          <w:lang w:val="en-US" w:eastAsia="zh-CN"/>
        </w:rPr>
        <w:t>98</w:t>
      </w:r>
      <w:r>
        <w:rPr>
          <w:rFonts w:hint="default" w:hAnsi="宋体" w:cs="Times New Roman"/>
          <w:sz w:val="32"/>
          <w:szCs w:val="32"/>
        </w:rPr>
        <w:t>人脱贫监测户、</w:t>
      </w:r>
      <w:r>
        <w:rPr>
          <w:rFonts w:hint="default" w:hAnsi="宋体" w:cs="Times New Roman"/>
          <w:sz w:val="32"/>
          <w:szCs w:val="32"/>
          <w:lang w:val="en-US" w:eastAsia="zh-CN"/>
        </w:rPr>
        <w:t>5</w:t>
      </w:r>
      <w:r>
        <w:rPr>
          <w:rFonts w:hint="default" w:hAnsi="宋体" w:cs="Times New Roman"/>
          <w:sz w:val="32"/>
          <w:szCs w:val="32"/>
        </w:rPr>
        <w:t>户</w:t>
      </w:r>
      <w:r>
        <w:rPr>
          <w:rFonts w:hint="default" w:hAnsi="宋体" w:cs="Times New Roman"/>
          <w:sz w:val="32"/>
          <w:szCs w:val="32"/>
          <w:lang w:val="en-US" w:eastAsia="zh-CN"/>
        </w:rPr>
        <w:t>15</w:t>
      </w:r>
      <w:r>
        <w:rPr>
          <w:rFonts w:hint="default" w:hAnsi="宋体" w:cs="Times New Roman"/>
          <w:sz w:val="32"/>
          <w:szCs w:val="32"/>
        </w:rPr>
        <w:t>人边缘户，均落实了帮扶单位和帮扶责任人加大帮扶力度，通过发展产业、劳务输出和政策性兜底等不断增加收入，目前基本能够实现稳定增收。五是扎实推进扶贫项目建设。大力实施交通、水利等扶贫项目建设。目前第一批</w:t>
      </w:r>
      <w:r>
        <w:rPr>
          <w:rFonts w:hint="default" w:hAnsi="宋体" w:cs="Times New Roman"/>
          <w:sz w:val="32"/>
          <w:szCs w:val="32"/>
          <w:lang w:val="en-US" w:eastAsia="zh-CN"/>
        </w:rPr>
        <w:t>4</w:t>
      </w:r>
      <w:r>
        <w:rPr>
          <w:rFonts w:hint="default" w:hAnsi="宋体" w:cs="Times New Roman"/>
          <w:sz w:val="32"/>
          <w:szCs w:val="32"/>
        </w:rPr>
        <w:t>个村</w:t>
      </w:r>
      <w:r>
        <w:rPr>
          <w:rFonts w:hint="default" w:hAnsi="宋体" w:cs="Times New Roman"/>
          <w:sz w:val="32"/>
          <w:szCs w:val="32"/>
          <w:lang w:val="en-US" w:eastAsia="zh-CN"/>
        </w:rPr>
        <w:t>100</w:t>
      </w:r>
      <w:r>
        <w:rPr>
          <w:rFonts w:hint="default" w:hAnsi="宋体" w:cs="Times New Roman"/>
          <w:sz w:val="32"/>
          <w:szCs w:val="32"/>
        </w:rPr>
        <w:t>万元扶贫项目已基本完工；第二批</w:t>
      </w:r>
      <w:r>
        <w:rPr>
          <w:rFonts w:hint="default" w:hAnsi="宋体" w:cs="Times New Roman"/>
          <w:sz w:val="32"/>
          <w:szCs w:val="32"/>
          <w:lang w:val="en-US" w:eastAsia="zh-CN"/>
        </w:rPr>
        <w:t>3</w:t>
      </w:r>
      <w:r>
        <w:rPr>
          <w:rFonts w:hint="default" w:hAnsi="宋体" w:cs="Times New Roman"/>
          <w:sz w:val="32"/>
          <w:szCs w:val="32"/>
        </w:rPr>
        <w:t>个村</w:t>
      </w:r>
      <w:r>
        <w:rPr>
          <w:rFonts w:hint="default" w:hAnsi="宋体" w:cs="Times New Roman"/>
          <w:sz w:val="32"/>
          <w:szCs w:val="32"/>
          <w:lang w:val="en-US" w:eastAsia="zh-CN"/>
        </w:rPr>
        <w:t>90.4491</w:t>
      </w:r>
      <w:r>
        <w:rPr>
          <w:rFonts w:hint="default" w:hAnsi="宋体" w:cs="Times New Roman"/>
          <w:sz w:val="32"/>
          <w:szCs w:val="32"/>
        </w:rPr>
        <w:t>万元扶贫项目，目前已启动前期工作。实施D级危房改造</w:t>
      </w:r>
      <w:r>
        <w:rPr>
          <w:rFonts w:hint="default" w:hAnsi="宋体" w:cs="Times New Roman"/>
          <w:sz w:val="32"/>
          <w:szCs w:val="32"/>
          <w:lang w:val="en-US" w:eastAsia="zh-CN"/>
        </w:rPr>
        <w:t>2</w:t>
      </w:r>
      <w:r>
        <w:rPr>
          <w:rFonts w:hint="default" w:hAnsi="宋体" w:cs="Times New Roman"/>
          <w:sz w:val="32"/>
          <w:szCs w:val="32"/>
        </w:rPr>
        <w:t>户，目前已全面竣工并通过验收。六是扎实开展脱贫攻坚区级挂牌督战工作。坚持问题导向，通过“大走访、大排查、大落实”扎实开展挂牌督战工作。针对反馈问题，建立问题清单、责任清单、进度清单、效果清单，即查即改，对标销号，对标补短，目前两轮反馈的</w:t>
      </w:r>
      <w:r>
        <w:rPr>
          <w:rFonts w:hint="default" w:hAnsi="宋体" w:cs="Times New Roman"/>
          <w:sz w:val="32"/>
          <w:szCs w:val="32"/>
          <w:lang w:val="en-US" w:eastAsia="zh-CN"/>
        </w:rPr>
        <w:t>5</w:t>
      </w:r>
      <w:r>
        <w:rPr>
          <w:rFonts w:hint="default" w:hAnsi="宋体" w:cs="Times New Roman"/>
          <w:sz w:val="32"/>
          <w:szCs w:val="32"/>
        </w:rPr>
        <w:t>个问题已全部整改到位并通过镇脱贫办验收。七是全面开展扶贫领域作风问题专项整治工作。通过明查暗访，自查自纠等方式，深入查找扶贫领域作风问题，并切实加以整改。加强干部作风建设，通过警示教育、谈心谈话，抓早抓小等方式，从根源解决扶贫领域作风问题。</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w:t>
      </w:r>
      <w:r>
        <w:rPr>
          <w:rFonts w:hint="default" w:ascii="楷体" w:hAnsi="楷体" w:eastAsia="楷体" w:cs="楷体"/>
          <w:b/>
          <w:bCs/>
          <w:sz w:val="32"/>
          <w:szCs w:val="32"/>
          <w:lang w:val="en-US" w:eastAsia="zh-CN"/>
        </w:rPr>
        <w:t>六</w:t>
      </w:r>
      <w:r>
        <w:rPr>
          <w:rFonts w:hint="default" w:ascii="楷体" w:hAnsi="楷体" w:eastAsia="楷体" w:cs="楷体"/>
          <w:b/>
          <w:bCs/>
          <w:sz w:val="32"/>
          <w:szCs w:val="32"/>
          <w:lang w:eastAsia="zh-CN"/>
        </w:rPr>
        <w:t>）社会事业不断进步。</w:t>
      </w:r>
      <w:r>
        <w:rPr>
          <w:rFonts w:hint="default" w:hAnsi="宋体" w:cs="Times New Roman"/>
          <w:sz w:val="32"/>
          <w:szCs w:val="32"/>
        </w:rPr>
        <w:t>一是切实抓好控辍保学工作，全镇无适龄儿童辍学情况发生，同时进一步加大扶贫助学力度，确保做到从源头上遏制“穷根”蔓延；二是通过广泛宣传政策，动员群众积极参保，农业政策性保险参保金额达</w:t>
      </w:r>
      <w:r>
        <w:rPr>
          <w:rFonts w:hint="eastAsia" w:hAnsi="宋体" w:cs="Times New Roman"/>
          <w:sz w:val="32"/>
          <w:szCs w:val="32"/>
          <w:lang w:val="en-US" w:eastAsia="zh-CN"/>
        </w:rPr>
        <w:t>220余</w:t>
      </w:r>
      <w:r>
        <w:rPr>
          <w:rFonts w:hint="default" w:hAnsi="宋体" w:cs="Times New Roman"/>
          <w:sz w:val="32"/>
          <w:szCs w:val="32"/>
        </w:rPr>
        <w:t>万元，城镇居民医疗保险参保</w:t>
      </w:r>
      <w:r>
        <w:rPr>
          <w:rFonts w:hint="eastAsia" w:hAnsi="宋体" w:cs="Times New Roman"/>
          <w:sz w:val="32"/>
          <w:szCs w:val="32"/>
          <w:lang w:val="en-US" w:eastAsia="zh-CN"/>
        </w:rPr>
        <w:t>2.3万</w:t>
      </w:r>
      <w:r>
        <w:rPr>
          <w:rFonts w:hint="default" w:hAnsi="宋体" w:cs="Times New Roman"/>
          <w:sz w:val="32"/>
          <w:szCs w:val="32"/>
        </w:rPr>
        <w:t>人，其中特殊群众参保率达100%；三是扎实开展无偿献血工作，全年组织义务献血</w:t>
      </w:r>
      <w:r>
        <w:rPr>
          <w:rFonts w:hint="eastAsia" w:hAnsi="宋体" w:cs="Times New Roman"/>
          <w:sz w:val="32"/>
          <w:szCs w:val="32"/>
          <w:lang w:val="en-US" w:eastAsia="zh-CN"/>
        </w:rPr>
        <w:t>127</w:t>
      </w:r>
      <w:r>
        <w:rPr>
          <w:rFonts w:hint="default" w:hAnsi="宋体" w:cs="Times New Roman"/>
          <w:sz w:val="32"/>
          <w:szCs w:val="32"/>
        </w:rPr>
        <w:t>人，全面完成任务；四是落实“十大民生救助”制度，特殊病种救助</w:t>
      </w:r>
      <w:r>
        <w:rPr>
          <w:rFonts w:hint="eastAsia" w:hAnsi="宋体" w:cs="Times New Roman"/>
          <w:sz w:val="32"/>
          <w:szCs w:val="32"/>
          <w:lang w:val="en-US" w:eastAsia="zh-CN"/>
        </w:rPr>
        <w:t>41</w:t>
      </w:r>
      <w:r>
        <w:rPr>
          <w:rFonts w:hint="default" w:hAnsi="宋体" w:cs="Times New Roman"/>
          <w:sz w:val="32"/>
          <w:szCs w:val="32"/>
        </w:rPr>
        <w:t>人、残疾人救助</w:t>
      </w:r>
      <w:r>
        <w:rPr>
          <w:rFonts w:hint="eastAsia" w:hAnsi="宋体" w:cs="Times New Roman"/>
          <w:sz w:val="32"/>
          <w:szCs w:val="32"/>
          <w:lang w:val="en-US" w:eastAsia="zh-CN"/>
        </w:rPr>
        <w:t>629</w:t>
      </w:r>
      <w:r>
        <w:rPr>
          <w:rFonts w:hint="default" w:hAnsi="宋体" w:cs="Times New Roman"/>
          <w:sz w:val="32"/>
          <w:szCs w:val="32"/>
        </w:rPr>
        <w:t>人、重点优抚对象生活救助</w:t>
      </w:r>
      <w:r>
        <w:rPr>
          <w:rFonts w:hint="eastAsia" w:hAnsi="宋体" w:cs="Times New Roman"/>
          <w:sz w:val="32"/>
          <w:szCs w:val="32"/>
          <w:lang w:val="en-US" w:eastAsia="zh-CN"/>
        </w:rPr>
        <w:t>270</w:t>
      </w:r>
      <w:r>
        <w:rPr>
          <w:rFonts w:hint="default" w:hAnsi="宋体" w:cs="Times New Roman"/>
          <w:sz w:val="32"/>
          <w:szCs w:val="32"/>
        </w:rPr>
        <w:t>人、困难群众医疗救助</w:t>
      </w:r>
      <w:r>
        <w:rPr>
          <w:rFonts w:hint="eastAsia" w:hAnsi="宋体" w:cs="Times New Roman"/>
          <w:sz w:val="32"/>
          <w:szCs w:val="32"/>
          <w:lang w:val="en-US" w:eastAsia="zh-CN"/>
        </w:rPr>
        <w:t>45</w:t>
      </w:r>
      <w:r>
        <w:rPr>
          <w:rFonts w:hint="default" w:hAnsi="宋体" w:cs="Times New Roman"/>
          <w:sz w:val="32"/>
          <w:szCs w:val="32"/>
        </w:rPr>
        <w:t>人、临时生活救助</w:t>
      </w:r>
      <w:r>
        <w:rPr>
          <w:rFonts w:hint="eastAsia" w:hAnsi="宋体" w:cs="Times New Roman"/>
          <w:sz w:val="32"/>
          <w:szCs w:val="32"/>
          <w:lang w:val="en-US" w:eastAsia="zh-CN"/>
        </w:rPr>
        <w:t>121</w:t>
      </w:r>
      <w:r>
        <w:rPr>
          <w:rFonts w:hint="default" w:hAnsi="宋体" w:cs="Times New Roman"/>
          <w:sz w:val="32"/>
          <w:szCs w:val="32"/>
        </w:rPr>
        <w:t>人、高龄救助</w:t>
      </w:r>
      <w:r>
        <w:rPr>
          <w:rFonts w:hint="eastAsia" w:hAnsi="宋体" w:cs="Times New Roman"/>
          <w:sz w:val="32"/>
          <w:szCs w:val="32"/>
          <w:lang w:val="en-US" w:eastAsia="zh-CN"/>
        </w:rPr>
        <w:t>485</w:t>
      </w:r>
      <w:r>
        <w:rPr>
          <w:rFonts w:hint="default" w:hAnsi="宋体" w:cs="Times New Roman"/>
          <w:sz w:val="32"/>
          <w:szCs w:val="32"/>
        </w:rPr>
        <w:t>人，城镇低保</w:t>
      </w:r>
      <w:r>
        <w:rPr>
          <w:rFonts w:hint="eastAsia" w:hAnsi="宋体" w:cs="Times New Roman"/>
          <w:sz w:val="32"/>
          <w:szCs w:val="32"/>
          <w:lang w:val="en-US" w:eastAsia="zh-CN"/>
        </w:rPr>
        <w:t>43</w:t>
      </w:r>
      <w:r>
        <w:rPr>
          <w:rFonts w:hint="default" w:hAnsi="宋体" w:cs="Times New Roman"/>
          <w:sz w:val="32"/>
          <w:szCs w:val="32"/>
        </w:rPr>
        <w:t>人，农村低保救助</w:t>
      </w:r>
      <w:r>
        <w:rPr>
          <w:rFonts w:hint="eastAsia" w:hAnsi="宋体" w:cs="Times New Roman"/>
          <w:sz w:val="32"/>
          <w:szCs w:val="32"/>
          <w:lang w:val="en-US" w:eastAsia="zh-CN"/>
        </w:rPr>
        <w:t>1378</w:t>
      </w:r>
      <w:r>
        <w:rPr>
          <w:rFonts w:hint="default" w:hAnsi="宋体" w:cs="Times New Roman"/>
          <w:sz w:val="32"/>
          <w:szCs w:val="32"/>
        </w:rPr>
        <w:t>人、特困供养</w:t>
      </w:r>
      <w:r>
        <w:rPr>
          <w:rFonts w:hint="eastAsia" w:hAnsi="宋体" w:cs="Times New Roman"/>
          <w:sz w:val="32"/>
          <w:szCs w:val="32"/>
          <w:lang w:val="en-US" w:eastAsia="zh-CN"/>
        </w:rPr>
        <w:t>174</w:t>
      </w:r>
      <w:r>
        <w:rPr>
          <w:rFonts w:hint="default" w:hAnsi="宋体" w:cs="Times New Roman"/>
          <w:sz w:val="32"/>
          <w:szCs w:val="32"/>
        </w:rPr>
        <w:t>人， 共计发放救助资金达</w:t>
      </w:r>
      <w:r>
        <w:rPr>
          <w:rFonts w:hint="eastAsia" w:hAnsi="宋体" w:cs="Times New Roman"/>
          <w:sz w:val="32"/>
          <w:szCs w:val="32"/>
          <w:lang w:val="en-US" w:eastAsia="zh-CN"/>
        </w:rPr>
        <w:t>1200余</w:t>
      </w:r>
      <w:r>
        <w:rPr>
          <w:rFonts w:hint="default" w:hAnsi="宋体" w:cs="Times New Roman"/>
          <w:sz w:val="32"/>
          <w:szCs w:val="32"/>
        </w:rPr>
        <w:t>万，各项民生政策全面有效落实；五是做好农民工服务中心工作。充分发挥农民工服务中心作用，做好疫情外出务工人员健康申请及登记工作并建立台账，开展了达川区劳务品牌培训和返乡创业培训，建立了农民工2020年春节后外出务工未就业再返乡人员工作台帐等工作，为返乡农民工提供各类政策咨询服务，不断提升服务农民工效能和水平；六是推进退役军人事务服务站达标建设，建立完善了工作制度和办公阵地。为</w:t>
      </w:r>
      <w:r>
        <w:rPr>
          <w:rFonts w:hint="eastAsia" w:hAnsi="宋体" w:cs="Times New Roman"/>
          <w:sz w:val="32"/>
          <w:szCs w:val="32"/>
          <w:lang w:val="en-US" w:eastAsia="zh-CN"/>
        </w:rPr>
        <w:t>543</w:t>
      </w:r>
      <w:r>
        <w:rPr>
          <w:rFonts w:hint="default" w:hAnsi="宋体" w:cs="Times New Roman"/>
          <w:sz w:val="32"/>
          <w:szCs w:val="32"/>
        </w:rPr>
        <w:t>余名退役士兵建立了档案，解决了</w:t>
      </w:r>
      <w:r>
        <w:rPr>
          <w:rFonts w:hint="eastAsia" w:hAnsi="宋体" w:cs="Times New Roman"/>
          <w:sz w:val="32"/>
          <w:szCs w:val="32"/>
          <w:lang w:val="en-US" w:eastAsia="zh-CN"/>
        </w:rPr>
        <w:t>18</w:t>
      </w:r>
      <w:r>
        <w:rPr>
          <w:rFonts w:hint="default" w:hAnsi="宋体" w:cs="Times New Roman"/>
          <w:sz w:val="32"/>
          <w:szCs w:val="32"/>
        </w:rPr>
        <w:t>名退役老兵社会保险续保问题，对</w:t>
      </w:r>
      <w:r>
        <w:rPr>
          <w:rFonts w:hint="eastAsia" w:hAnsi="宋体" w:cs="Times New Roman"/>
          <w:sz w:val="32"/>
          <w:szCs w:val="32"/>
          <w:lang w:val="en-US" w:eastAsia="zh-CN"/>
        </w:rPr>
        <w:t>8</w:t>
      </w:r>
      <w:r>
        <w:rPr>
          <w:rFonts w:hint="default" w:hAnsi="宋体" w:cs="Times New Roman"/>
          <w:sz w:val="32"/>
          <w:szCs w:val="32"/>
        </w:rPr>
        <w:t>名参加抗美援朝老兵进行登记，即将为其颁发纪念勋章。</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w:t>
      </w:r>
      <w:r>
        <w:rPr>
          <w:rFonts w:hint="default" w:ascii="楷体" w:hAnsi="楷体" w:eastAsia="楷体" w:cs="楷体"/>
          <w:b/>
          <w:bCs/>
          <w:sz w:val="32"/>
          <w:szCs w:val="32"/>
          <w:lang w:val="en-US" w:eastAsia="zh-CN"/>
        </w:rPr>
        <w:t>七</w:t>
      </w:r>
      <w:r>
        <w:rPr>
          <w:rFonts w:hint="default" w:ascii="楷体" w:hAnsi="楷体" w:eastAsia="楷体" w:cs="楷体"/>
          <w:b/>
          <w:bCs/>
          <w:sz w:val="32"/>
          <w:szCs w:val="32"/>
          <w:lang w:eastAsia="zh-CN"/>
        </w:rPr>
        <w:t>）社会治理高效运行。</w:t>
      </w:r>
      <w:r>
        <w:rPr>
          <w:rFonts w:hint="default" w:hAnsi="宋体" w:cs="Times New Roman"/>
          <w:sz w:val="32"/>
          <w:szCs w:val="32"/>
        </w:rPr>
        <w:t>一是坚持“逢会必讲安全”的原则，先后开展干部安全教育20余次，开展安全大宣传活动1次，发放各类宣传资料</w:t>
      </w:r>
      <w:r>
        <w:rPr>
          <w:rFonts w:hint="default" w:hAnsi="宋体" w:cs="Times New Roman"/>
          <w:sz w:val="32"/>
          <w:szCs w:val="32"/>
          <w:lang w:val="en-US" w:eastAsia="zh-CN"/>
        </w:rPr>
        <w:t>4000</w:t>
      </w:r>
      <w:r>
        <w:rPr>
          <w:rFonts w:hint="default" w:hAnsi="宋体" w:cs="Times New Roman"/>
          <w:sz w:val="32"/>
          <w:szCs w:val="32"/>
        </w:rPr>
        <w:t>余份，镇应急管理所不定期对食品安全、非煤矿山、烟花爆竹等领域进行安全大检查10次，开展道路交通安全执法检查50余次，组织地质灾害安全演练1次、消防安全演练1次、防洪应急演练1次，全镇未发生任何一起安全事故；二是认真落实依法治区的相关要求，将党委、政府的各项工作统统纳入到法治的轨道上来，先后组织开展法制宣传3次、警示教育1次；三是扎实开展“法律七进”活动，充分发挥好各村法律顾问和法律服务巡回顾问团的作用，广泛宣传典型法治事件和法制知识，广大干群知法、懂法、守法的氛围逐渐形成；四是严格落实信访维稳工作“一岗双责”责任制，镇党委于年初与各村（社区）、镇级各单位（部门）签订责任书30余份，利用会议契机开展《信访条例》学习培训5次，</w:t>
      </w:r>
      <w:r>
        <w:rPr>
          <w:rFonts w:hint="default" w:hAnsi="宋体" w:cs="Times New Roman"/>
          <w:sz w:val="32"/>
          <w:szCs w:val="32"/>
          <w:lang w:eastAsia="zh-CN"/>
        </w:rPr>
        <w:t>发放信访宣传手册</w:t>
      </w:r>
      <w:r>
        <w:rPr>
          <w:rFonts w:hint="default" w:hAnsi="宋体" w:cs="Times New Roman"/>
          <w:sz w:val="32"/>
          <w:szCs w:val="32"/>
          <w:lang w:val="en-US" w:eastAsia="zh-CN"/>
        </w:rPr>
        <w:t>1000余份，</w:t>
      </w:r>
      <w:r>
        <w:rPr>
          <w:rFonts w:hint="default" w:hAnsi="宋体" w:cs="Times New Roman"/>
          <w:sz w:val="32"/>
          <w:szCs w:val="32"/>
        </w:rPr>
        <w:t>对一些重点人员落实专人盯控，全年来没有出现到市赴省进京上访的情况；五是认真贯彻落实各级关于开展扫黑除恶专项斗争工作的要求，持续深化“平安</w:t>
      </w:r>
      <w:r>
        <w:rPr>
          <w:rFonts w:hint="default" w:hAnsi="宋体" w:cs="Times New Roman"/>
          <w:sz w:val="32"/>
          <w:szCs w:val="32"/>
          <w:lang w:eastAsia="zh-CN"/>
        </w:rPr>
        <w:t>赵固</w:t>
      </w:r>
      <w:r>
        <w:rPr>
          <w:rFonts w:hint="default" w:hAnsi="宋体" w:cs="Times New Roman"/>
          <w:sz w:val="32"/>
          <w:szCs w:val="32"/>
        </w:rPr>
        <w:t>”创建行动，切实加强境内黑恶势力线索排查，配合</w:t>
      </w:r>
      <w:r>
        <w:rPr>
          <w:rFonts w:hint="default" w:hAnsi="宋体" w:cs="Times New Roman"/>
          <w:sz w:val="32"/>
          <w:szCs w:val="32"/>
          <w:lang w:eastAsia="zh-CN"/>
        </w:rPr>
        <w:t>桥湾派出所成功破获一起假币欺诈案</w:t>
      </w:r>
      <w:r>
        <w:rPr>
          <w:rFonts w:hint="default" w:hAnsi="宋体" w:cs="Times New Roman"/>
          <w:sz w:val="32"/>
          <w:szCs w:val="32"/>
        </w:rPr>
        <w:t>，群众安全指数不断提高。</w:t>
      </w:r>
    </w:p>
    <w:p>
      <w:pPr>
        <w:pStyle w:val="7"/>
        <w:adjustRightInd w:val="0"/>
        <w:snapToGrid w:val="0"/>
        <w:spacing w:beforeLines="0" w:line="540" w:lineRule="exact"/>
        <w:ind w:firstLine="642" w:firstLineChars="200"/>
        <w:outlineLvl w:val="2"/>
        <w:rPr>
          <w:rFonts w:hint="default" w:hAnsi="宋体" w:cs="Times New Roman"/>
          <w:sz w:val="32"/>
          <w:szCs w:val="32"/>
        </w:rPr>
      </w:pPr>
      <w:r>
        <w:rPr>
          <w:rFonts w:hint="default" w:ascii="楷体" w:hAnsi="楷体" w:eastAsia="楷体" w:cs="楷体"/>
          <w:b/>
          <w:bCs/>
          <w:sz w:val="32"/>
          <w:szCs w:val="32"/>
          <w:lang w:eastAsia="zh-CN"/>
        </w:rPr>
        <w:t>（八）党的建设不断加强。</w:t>
      </w:r>
      <w:r>
        <w:rPr>
          <w:rFonts w:hint="default" w:hAnsi="宋体" w:cs="Times New Roman"/>
          <w:sz w:val="32"/>
          <w:szCs w:val="32"/>
        </w:rPr>
        <w:t>一是认真履行职责，全面落实责任。与各党支部书记签订党建工作目标管理责任书，明确责任，强化工作措施，加强领导和指导，形成一级抓一级，层层抓落实的工作格局；二是深入推进学习教育常态化制度化，组织党委中心组理论学习12次、开展“党员活动日”活动12次， 深入学习宣传贯彻党的十九届</w:t>
      </w:r>
      <w:r>
        <w:rPr>
          <w:rFonts w:hint="default" w:hAnsi="宋体" w:cs="Times New Roman"/>
          <w:sz w:val="32"/>
          <w:szCs w:val="32"/>
          <w:lang w:val="en-US" w:eastAsia="zh-CN"/>
        </w:rPr>
        <w:t>五</w:t>
      </w:r>
      <w:r>
        <w:rPr>
          <w:rFonts w:hint="default" w:hAnsi="宋体" w:cs="Times New Roman"/>
          <w:sz w:val="32"/>
          <w:szCs w:val="32"/>
        </w:rPr>
        <w:t>中全会、省委十一届六次全会、市委四届八次全会、区委二届五次党代会精神，引导广大党员干部把思想和行动统一到中央和省委、市委、</w:t>
      </w:r>
      <w:r>
        <w:rPr>
          <w:rFonts w:hint="default" w:hAnsi="宋体" w:cs="Times New Roman"/>
          <w:sz w:val="32"/>
          <w:szCs w:val="32"/>
          <w:lang w:val="en-US" w:eastAsia="zh-CN"/>
        </w:rPr>
        <w:t>区委</w:t>
      </w:r>
      <w:r>
        <w:rPr>
          <w:rFonts w:hint="default" w:hAnsi="宋体" w:cs="Times New Roman"/>
          <w:sz w:val="32"/>
          <w:szCs w:val="32"/>
        </w:rPr>
        <w:t>的决策部署上来；三是全面完成了村级建制调整改革工作。我镇原有村（社区）</w:t>
      </w:r>
      <w:r>
        <w:rPr>
          <w:rFonts w:hint="default" w:hAnsi="宋体" w:cs="Times New Roman"/>
          <w:sz w:val="32"/>
          <w:szCs w:val="32"/>
          <w:lang w:val="en-US" w:eastAsia="zh-CN"/>
        </w:rPr>
        <w:t>17</w:t>
      </w:r>
      <w:r>
        <w:rPr>
          <w:rFonts w:hint="default" w:hAnsi="宋体" w:cs="Times New Roman"/>
          <w:sz w:val="32"/>
          <w:szCs w:val="32"/>
        </w:rPr>
        <w:t>个，此次建制调整改革后现有村（社区）10个，改革率达</w:t>
      </w:r>
      <w:r>
        <w:rPr>
          <w:rFonts w:hint="default" w:hAnsi="宋体" w:cs="Times New Roman"/>
          <w:sz w:val="32"/>
          <w:szCs w:val="32"/>
          <w:lang w:val="en-US" w:eastAsia="zh-CN"/>
        </w:rPr>
        <w:t>43</w:t>
      </w:r>
      <w:r>
        <w:rPr>
          <w:rFonts w:hint="default" w:hAnsi="宋体" w:cs="Times New Roman"/>
          <w:sz w:val="32"/>
          <w:szCs w:val="32"/>
        </w:rPr>
        <w:t>%，进一步提升了基层党组织的凝聚力和战斗力；四是稳妥有序推进村党组织书记、村委会主任“一肩挑”，目前已有8个村（社区）完成一肩挑，完成比例达80%。五是认真落实意识形态工作责任制，将意识形态工作纳入年终目标考核和干部述职述廉报告的重要内容，与各村党支部、镇级各单位（部门）签订目标责任书30余份，先后召开意识形态工作推进会6次，全镇网络舆论引导水平不断提高，意识形态领域未出现影响大局或不可控的现象；六是深入推进党风廉政建设和反腐败工作。</w:t>
      </w:r>
      <w:r>
        <w:rPr>
          <w:rFonts w:hint="default" w:hAnsi="宋体" w:cs="Times New Roman"/>
          <w:sz w:val="32"/>
          <w:szCs w:val="32"/>
          <w:lang w:val="en-US" w:eastAsia="zh-CN"/>
        </w:rPr>
        <w:t>2020年</w:t>
      </w:r>
      <w:r>
        <w:rPr>
          <w:rFonts w:hint="default" w:hAnsi="宋体" w:cs="Times New Roman"/>
          <w:sz w:val="32"/>
          <w:szCs w:val="32"/>
        </w:rPr>
        <w:t>来，严格按照“两个责任”内容，严格落实全面从严管党治党职责。组织党员干部观看警示片、学习典型案例、学习会议精神20余次，通过正反两面加强警示教育，全镇党员干部较好树立了底线思维；通过“民情户户通”活动和整治“群众最不满意的10件事”“八大活动”等走访接访群众</w:t>
      </w:r>
      <w:r>
        <w:rPr>
          <w:rFonts w:hint="default" w:hAnsi="宋体" w:cs="Times New Roman"/>
          <w:sz w:val="32"/>
          <w:szCs w:val="32"/>
          <w:lang w:val="en-US" w:eastAsia="zh-CN"/>
        </w:rPr>
        <w:t>1500</w:t>
      </w:r>
      <w:r>
        <w:rPr>
          <w:rFonts w:hint="default" w:hAnsi="宋体" w:cs="Times New Roman"/>
          <w:sz w:val="32"/>
          <w:szCs w:val="32"/>
        </w:rPr>
        <w:t>人次，切实解决群众问题困难，进一步提升了群众满意度，党的执政基础更加夯实； 七是扎实推进“优秀农民工回引培养工程”，分层分类开展返乡优秀农民工走访慰问，及时掌握优秀农民工变化情况，更新平台系统信息，重点掌握一批政治素质好、道德品行好、带富能力强、协调能力强、有回乡发展意愿的优秀农民工，由镇领导班子成员跟踪联系、重点培养，完善农民工党员回乡创业、领办集体经济鼓励支持政策，确保引得回、留得下、干得好，目前已培养农民工后备力量</w:t>
      </w:r>
      <w:r>
        <w:rPr>
          <w:rFonts w:hint="eastAsia" w:hAnsi="宋体" w:cs="Times New Roman"/>
          <w:sz w:val="32"/>
          <w:szCs w:val="32"/>
          <w:lang w:val="en-US" w:eastAsia="zh-CN"/>
        </w:rPr>
        <w:t>12</w:t>
      </w:r>
      <w:r>
        <w:rPr>
          <w:rFonts w:hint="default" w:hAnsi="宋体" w:cs="Times New Roman"/>
          <w:sz w:val="32"/>
          <w:szCs w:val="32"/>
        </w:rPr>
        <w:t>名；八是抓好党员队伍建设。全年，镇党委进一步加大了党员</w:t>
      </w:r>
      <w:r>
        <w:rPr>
          <w:rFonts w:hint="default" w:hAnsi="宋体" w:cs="Times New Roman"/>
          <w:sz w:val="32"/>
          <w:szCs w:val="32"/>
          <w:lang w:eastAsia="zh-CN"/>
        </w:rPr>
        <w:t>、干部</w:t>
      </w:r>
      <w:r>
        <w:rPr>
          <w:rFonts w:hint="default" w:hAnsi="宋体" w:cs="Times New Roman"/>
          <w:sz w:val="32"/>
          <w:szCs w:val="32"/>
        </w:rPr>
        <w:t>队伍的教育管理，</w:t>
      </w:r>
      <w:r>
        <w:rPr>
          <w:rFonts w:hint="default" w:hAnsi="宋体" w:cs="Times New Roman"/>
          <w:sz w:val="32"/>
          <w:szCs w:val="32"/>
          <w:lang w:eastAsia="zh-CN"/>
        </w:rPr>
        <w:t>全年开展党员、干部集中培训</w:t>
      </w:r>
      <w:r>
        <w:rPr>
          <w:rFonts w:hint="default" w:hAnsi="宋体" w:cs="Times New Roman"/>
          <w:sz w:val="32"/>
          <w:szCs w:val="32"/>
          <w:lang w:val="en-US" w:eastAsia="zh-CN"/>
        </w:rPr>
        <w:t>420人次 ，</w:t>
      </w:r>
      <w:r>
        <w:rPr>
          <w:rFonts w:hint="default" w:hAnsi="宋体" w:cs="Times New Roman"/>
          <w:sz w:val="32"/>
          <w:szCs w:val="32"/>
        </w:rPr>
        <w:t>共发展预备党员</w:t>
      </w:r>
      <w:r>
        <w:rPr>
          <w:rFonts w:hint="default" w:hAnsi="宋体" w:cs="Times New Roman"/>
          <w:sz w:val="32"/>
          <w:szCs w:val="32"/>
          <w:lang w:val="en-US" w:eastAsia="zh-CN"/>
        </w:rPr>
        <w:t xml:space="preserve"> 6 </w:t>
      </w:r>
      <w:r>
        <w:rPr>
          <w:rFonts w:hint="default" w:hAnsi="宋体" w:cs="Times New Roman"/>
          <w:sz w:val="32"/>
          <w:szCs w:val="32"/>
        </w:rPr>
        <w:t>名，</w:t>
      </w:r>
      <w:r>
        <w:rPr>
          <w:rFonts w:hint="default" w:hAnsi="宋体" w:cs="Times New Roman"/>
          <w:sz w:val="32"/>
          <w:szCs w:val="32"/>
          <w:lang w:eastAsia="zh-CN"/>
        </w:rPr>
        <w:t>党员转正</w:t>
      </w:r>
      <w:r>
        <w:rPr>
          <w:rFonts w:hint="default" w:hAnsi="宋体" w:cs="Times New Roman"/>
          <w:sz w:val="32"/>
          <w:szCs w:val="32"/>
          <w:lang w:val="en-US" w:eastAsia="zh-CN"/>
        </w:rPr>
        <w:t>10名，</w:t>
      </w:r>
      <w:r>
        <w:rPr>
          <w:rFonts w:hint="default" w:hAnsi="宋体" w:cs="Times New Roman"/>
          <w:sz w:val="32"/>
          <w:szCs w:val="32"/>
        </w:rPr>
        <w:t>培养入党积极分子</w:t>
      </w:r>
      <w:r>
        <w:rPr>
          <w:rFonts w:hint="default" w:hAnsi="宋体" w:cs="Times New Roman"/>
          <w:sz w:val="32"/>
          <w:szCs w:val="32"/>
          <w:lang w:val="en-US" w:eastAsia="zh-CN"/>
        </w:rPr>
        <w:t xml:space="preserve"> 8 </w:t>
      </w:r>
      <w:r>
        <w:rPr>
          <w:rFonts w:hint="default" w:hAnsi="宋体" w:cs="Times New Roman"/>
          <w:sz w:val="32"/>
          <w:szCs w:val="32"/>
        </w:rPr>
        <w:t>名，其中培养农</w:t>
      </w:r>
      <w:r>
        <w:rPr>
          <w:rFonts w:hint="default" w:hAnsi="宋体" w:cs="Times New Roman"/>
          <w:sz w:val="32"/>
          <w:szCs w:val="32"/>
          <w:lang w:eastAsia="zh-CN"/>
        </w:rPr>
        <w:t>民</w:t>
      </w:r>
      <w:r>
        <w:rPr>
          <w:rFonts w:hint="default" w:hAnsi="宋体" w:cs="Times New Roman"/>
          <w:sz w:val="32"/>
          <w:szCs w:val="32"/>
        </w:rPr>
        <w:t>工入党积极分子</w:t>
      </w:r>
      <w:r>
        <w:rPr>
          <w:rFonts w:hint="default" w:hAnsi="宋体" w:cs="Times New Roman"/>
          <w:sz w:val="32"/>
          <w:szCs w:val="32"/>
          <w:lang w:val="en-US" w:eastAsia="zh-CN"/>
        </w:rPr>
        <w:t xml:space="preserve"> 6 </w:t>
      </w:r>
      <w:r>
        <w:rPr>
          <w:rFonts w:hint="default" w:hAnsi="宋体" w:cs="Times New Roman"/>
          <w:sz w:val="32"/>
          <w:szCs w:val="32"/>
        </w:rPr>
        <w:t>名；</w:t>
      </w:r>
      <w:r>
        <w:rPr>
          <w:rFonts w:hint="default" w:hAnsi="宋体" w:cs="Times New Roman"/>
          <w:sz w:val="32"/>
          <w:szCs w:val="32"/>
          <w:lang w:eastAsia="zh-CN"/>
        </w:rPr>
        <w:t>九是开展软弱涣散党组织整顿提档晋级</w:t>
      </w:r>
      <w:r>
        <w:rPr>
          <w:rFonts w:hint="default" w:hAnsi="宋体" w:cs="Times New Roman"/>
          <w:sz w:val="32"/>
          <w:szCs w:val="32"/>
          <w:lang w:val="en-US" w:eastAsia="zh-CN"/>
        </w:rPr>
        <w:t>1个；十是开展村（社区）两委换届前期准备工作，即开展班子运行测评、调研、党员干部谈心谈话、村（社区）财务届期审计、建立风险防控台账；十一是开展困难党员走访慰问、党内救助关爱活动。全年慰问困难（残疾、重大疾病)党员56名、办理年满90岁党员救助3人，累计发放现金慰问2.16万元；</w:t>
      </w:r>
      <w:r>
        <w:rPr>
          <w:rFonts w:hint="default" w:hAnsi="宋体" w:cs="Times New Roman"/>
          <w:sz w:val="32"/>
          <w:szCs w:val="32"/>
          <w:lang w:eastAsia="zh-CN"/>
        </w:rPr>
        <w:t>十二</w:t>
      </w:r>
      <w:r>
        <w:rPr>
          <w:rFonts w:hint="default" w:hAnsi="宋体" w:cs="Times New Roman"/>
          <w:sz w:val="32"/>
          <w:szCs w:val="32"/>
        </w:rPr>
        <w:t>是夯实基层组织，不断提升服务水平。全力落实整改“群众最不满意十件事”，分层分类建立台账，落实责任到人，限定整改时限，全镇共收集诉求意见</w:t>
      </w:r>
      <w:r>
        <w:rPr>
          <w:rFonts w:hint="default" w:hAnsi="宋体" w:cs="Times New Roman"/>
          <w:sz w:val="32"/>
          <w:szCs w:val="32"/>
          <w:lang w:val="en-US" w:eastAsia="zh-CN"/>
        </w:rPr>
        <w:t>303</w:t>
      </w:r>
      <w:r>
        <w:rPr>
          <w:rFonts w:hint="default" w:hAnsi="宋体" w:cs="Times New Roman"/>
          <w:sz w:val="32"/>
          <w:szCs w:val="32"/>
        </w:rPr>
        <w:t>条，</w:t>
      </w:r>
      <w:r>
        <w:rPr>
          <w:rFonts w:hint="default" w:hAnsi="宋体" w:cs="Times New Roman"/>
          <w:sz w:val="32"/>
          <w:szCs w:val="32"/>
          <w:lang w:val="en-US" w:eastAsia="zh-CN"/>
        </w:rPr>
        <w:t>目前303</w:t>
      </w:r>
      <w:r>
        <w:rPr>
          <w:rFonts w:hint="default" w:hAnsi="宋体" w:cs="Times New Roman"/>
          <w:sz w:val="32"/>
          <w:szCs w:val="32"/>
        </w:rPr>
        <w:t>条全部整改落实，有效提高了群众满意度。</w:t>
      </w:r>
    </w:p>
    <w:p>
      <w:pPr>
        <w:pStyle w:val="5"/>
        <w:spacing w:before="0" w:after="0" w:line="540" w:lineRule="exact"/>
        <w:ind w:firstLine="640" w:firstLineChars="200"/>
        <w:rPr>
          <w:rFonts w:ascii="方正黑体_GBK" w:hAnsi="Times New Roman" w:eastAsia="方正黑体_GBK"/>
          <w:b w:val="0"/>
          <w:color w:val="000000"/>
        </w:rPr>
      </w:pPr>
      <w:r>
        <w:rPr>
          <w:rFonts w:hint="eastAsia" w:ascii="方正黑体_GBK" w:hAnsi="Times New Roman" w:eastAsia="方正黑体_GBK"/>
          <w:b w:val="0"/>
          <w:color w:val="000000"/>
        </w:rPr>
        <w:t>二、机构设置</w:t>
      </w:r>
      <w:bookmarkEnd w:id="20"/>
      <w:bookmarkEnd w:id="21"/>
    </w:p>
    <w:p>
      <w:pPr>
        <w:pStyle w:val="7"/>
        <w:adjustRightInd w:val="0"/>
        <w:snapToGrid w:val="0"/>
        <w:spacing w:before="93" w:line="578" w:lineRule="exact"/>
        <w:ind w:firstLine="672" w:firstLineChars="210"/>
        <w:rPr>
          <w:rFonts w:hAnsi="宋体"/>
          <w:sz w:val="32"/>
          <w:szCs w:val="32"/>
        </w:rPr>
      </w:pPr>
      <w:bookmarkStart w:id="22" w:name="_Toc15377204"/>
      <w:bookmarkStart w:id="23" w:name="_Toc15396602"/>
      <w:r>
        <w:rPr>
          <w:rFonts w:hint="eastAsia" w:hAnsi="宋体"/>
          <w:sz w:val="32"/>
          <w:szCs w:val="32"/>
          <w:lang w:eastAsia="zh-CN"/>
        </w:rPr>
        <w:t>赵固镇</w:t>
      </w:r>
      <w:r>
        <w:rPr>
          <w:rFonts w:hint="eastAsia" w:hAnsi="宋体"/>
          <w:sz w:val="32"/>
          <w:szCs w:val="32"/>
        </w:rPr>
        <w:t>下属单位5个，其中行政单位1个，其他事业单位4个。主要包括：达州市达川区</w:t>
      </w:r>
      <w:r>
        <w:rPr>
          <w:rFonts w:hint="eastAsia" w:hAnsi="宋体"/>
          <w:sz w:val="32"/>
          <w:szCs w:val="32"/>
          <w:lang w:eastAsia="zh-CN"/>
        </w:rPr>
        <w:t>赵固镇</w:t>
      </w:r>
      <w:r>
        <w:rPr>
          <w:rFonts w:hint="eastAsia" w:hAnsi="宋体"/>
          <w:sz w:val="32"/>
          <w:szCs w:val="32"/>
        </w:rPr>
        <w:t>人民政府、达州市达川区</w:t>
      </w:r>
      <w:r>
        <w:rPr>
          <w:rFonts w:hint="eastAsia" w:hAnsi="宋体"/>
          <w:sz w:val="32"/>
          <w:szCs w:val="32"/>
          <w:lang w:eastAsia="zh-CN"/>
        </w:rPr>
        <w:t>赵固镇</w:t>
      </w:r>
      <w:r>
        <w:rPr>
          <w:rFonts w:hint="eastAsia"/>
          <w:sz w:val="32"/>
          <w:szCs w:val="32"/>
        </w:rPr>
        <w:t>便民服务中心</w:t>
      </w:r>
      <w:r>
        <w:rPr>
          <w:rFonts w:hint="eastAsia" w:hAnsi="宋体"/>
          <w:sz w:val="32"/>
          <w:szCs w:val="32"/>
        </w:rPr>
        <w:t>、达州市达川区</w:t>
      </w:r>
      <w:r>
        <w:rPr>
          <w:rFonts w:hint="eastAsia" w:hAnsi="宋体"/>
          <w:sz w:val="32"/>
          <w:szCs w:val="32"/>
          <w:lang w:eastAsia="zh-CN"/>
        </w:rPr>
        <w:t>赵固镇</w:t>
      </w:r>
      <w:r>
        <w:rPr>
          <w:rFonts w:hint="eastAsia" w:hAnsi="宋体"/>
          <w:sz w:val="32"/>
          <w:szCs w:val="32"/>
        </w:rPr>
        <w:t>农业综合服务中心、达州市达川区</w:t>
      </w:r>
      <w:r>
        <w:rPr>
          <w:rFonts w:hint="eastAsia" w:hAnsi="宋体"/>
          <w:sz w:val="32"/>
          <w:szCs w:val="32"/>
          <w:lang w:eastAsia="zh-CN"/>
        </w:rPr>
        <w:t>赵固镇</w:t>
      </w:r>
      <w:r>
        <w:rPr>
          <w:rFonts w:hint="eastAsia" w:hAnsi="宋体"/>
          <w:sz w:val="32"/>
          <w:szCs w:val="32"/>
        </w:rPr>
        <w:t>社会事业发展中心、达州市达川区</w:t>
      </w:r>
      <w:r>
        <w:rPr>
          <w:rFonts w:hint="eastAsia" w:hAnsi="宋体"/>
          <w:sz w:val="32"/>
          <w:szCs w:val="32"/>
          <w:lang w:eastAsia="zh-CN"/>
        </w:rPr>
        <w:t>赵固镇</w:t>
      </w:r>
      <w:r>
        <w:rPr>
          <w:rFonts w:hint="eastAsia" w:hAnsi="宋体"/>
          <w:sz w:val="32"/>
          <w:szCs w:val="32"/>
        </w:rPr>
        <w:t>农民工服务中心。</w:t>
      </w:r>
    </w:p>
    <w:p>
      <w:pPr>
        <w:pStyle w:val="4"/>
        <w:spacing w:before="0" w:after="0" w:line="540" w:lineRule="exact"/>
        <w:jc w:val="center"/>
        <w:rPr>
          <w:rStyle w:val="19"/>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9"/>
          <w:rFonts w:ascii="方正小标宋_GBK" w:eastAsia="方正小标宋_GBK"/>
          <w:b w:val="0"/>
          <w:bCs w:val="0"/>
          <w:color w:val="000000"/>
          <w:sz w:val="32"/>
          <w:szCs w:val="32"/>
        </w:rPr>
        <w:t>20</w:t>
      </w:r>
      <w:r>
        <w:rPr>
          <w:rStyle w:val="19"/>
          <w:rFonts w:hint="eastAsia" w:ascii="方正小标宋_GBK" w:eastAsia="方正小标宋_GBK"/>
          <w:b w:val="0"/>
          <w:bCs w:val="0"/>
          <w:color w:val="000000"/>
          <w:sz w:val="32"/>
          <w:szCs w:val="32"/>
        </w:rPr>
        <w:t>20年度部门决算情况说明</w:t>
      </w:r>
      <w:bookmarkEnd w:id="22"/>
      <w:bookmarkEnd w:id="23"/>
    </w:p>
    <w:p>
      <w:pPr>
        <w:pStyle w:val="5"/>
        <w:spacing w:before="0" w:after="0" w:line="540" w:lineRule="exact"/>
        <w:ind w:firstLine="640" w:firstLineChars="200"/>
        <w:rPr>
          <w:rFonts w:ascii="方正黑体_GBK" w:eastAsia="方正黑体_GBK"/>
          <w:b w:val="0"/>
          <w:bCs w:val="0"/>
        </w:rPr>
      </w:pPr>
      <w:bookmarkStart w:id="24" w:name="_Toc15396603"/>
      <w:bookmarkStart w:id="25" w:name="_Toc15377205"/>
      <w:r>
        <w:rPr>
          <w:rFonts w:hint="eastAsia" w:ascii="方正黑体_GBK" w:hAnsi="Times New Roman"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2020年度收、支总计</w:t>
      </w:r>
      <w:r>
        <w:rPr>
          <w:rFonts w:hint="eastAsia" w:ascii="仿宋" w:hAnsi="仿宋" w:eastAsia="仿宋" w:cs="仿宋"/>
          <w:color w:val="000000"/>
          <w:sz w:val="32"/>
          <w:szCs w:val="32"/>
          <w:lang w:val="en-US" w:eastAsia="zh-CN"/>
        </w:rPr>
        <w:t>1536.6</w:t>
      </w:r>
      <w:r>
        <w:rPr>
          <w:rFonts w:hint="eastAsia" w:ascii="仿宋" w:hAnsi="仿宋" w:eastAsia="仿宋" w:cs="仿宋"/>
          <w:color w:val="000000"/>
          <w:sz w:val="32"/>
          <w:szCs w:val="32"/>
        </w:rPr>
        <w:t>万元。与2019年相比，收、支总计各减少</w:t>
      </w:r>
      <w:r>
        <w:rPr>
          <w:rFonts w:hint="eastAsia" w:ascii="仿宋" w:hAnsi="仿宋" w:eastAsia="仿宋" w:cs="仿宋"/>
          <w:color w:val="000000"/>
          <w:sz w:val="32"/>
          <w:szCs w:val="32"/>
          <w:lang w:val="en-US" w:eastAsia="zh-CN"/>
        </w:rPr>
        <w:t>94.69</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。主要变动原因是</w:t>
      </w:r>
      <w:r>
        <w:rPr>
          <w:rFonts w:hint="eastAsia" w:ascii="仿宋" w:hAnsi="仿宋" w:eastAsia="仿宋" w:cs="仿宋"/>
          <w:sz w:val="32"/>
          <w:szCs w:val="32"/>
        </w:rPr>
        <w:t>人员经费</w:t>
      </w:r>
      <w:r>
        <w:rPr>
          <w:rFonts w:hint="eastAsia" w:ascii="仿宋" w:hAnsi="仿宋" w:eastAsia="仿宋" w:cs="仿宋"/>
          <w:sz w:val="32"/>
          <w:szCs w:val="32"/>
          <w:lang w:eastAsia="zh-CN"/>
        </w:rPr>
        <w:t>及项目</w:t>
      </w:r>
      <w:r>
        <w:rPr>
          <w:rFonts w:hint="eastAsia" w:ascii="仿宋" w:hAnsi="仿宋" w:eastAsia="仿宋" w:cs="仿宋"/>
          <w:sz w:val="32"/>
          <w:szCs w:val="32"/>
        </w:rPr>
        <w:t>减少。</w:t>
      </w:r>
    </w:p>
    <w:p>
      <w:pPr>
        <w:pStyle w:val="5"/>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hAnsi="Times New Roman"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2020年本年收入合计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万元，其中：一般公共预算财政拨款收入</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93.8</w:t>
      </w:r>
      <w:r>
        <w:rPr>
          <w:rFonts w:hint="eastAsia" w:ascii="仿宋" w:hAnsi="仿宋" w:eastAsia="仿宋" w:cs="仿宋"/>
          <w:color w:val="000000"/>
          <w:sz w:val="32"/>
          <w:szCs w:val="32"/>
        </w:rPr>
        <w:t>%；政府性基金预算财政拨款收入</w:t>
      </w:r>
      <w:r>
        <w:rPr>
          <w:rFonts w:hint="eastAsia" w:ascii="仿宋" w:hAnsi="仿宋" w:eastAsia="仿宋" w:cs="仿宋"/>
          <w:color w:val="000000"/>
          <w:sz w:val="32"/>
          <w:szCs w:val="32"/>
          <w:lang w:val="en-US" w:eastAsia="zh-CN"/>
        </w:rPr>
        <w:t>95.66</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%；上级补助收入0万元，占0%；事业收入0万元，占0%；经营收入0万元，占0%；附属单位上缴收入0万元，占0%；其他收入0万元，占0%。</w:t>
      </w:r>
    </w:p>
    <w:p>
      <w:pPr>
        <w:pStyle w:val="30"/>
        <w:spacing w:line="540" w:lineRule="exact"/>
        <w:ind w:firstLine="640"/>
        <w:outlineLvl w:val="1"/>
        <w:rPr>
          <w:rStyle w:val="20"/>
          <w:rFonts w:ascii="方正黑体_GBK" w:hAnsi="Times New Roman" w:eastAsia="方正黑体_GBK"/>
          <w:b w:val="0"/>
          <w:color w:val="000000"/>
        </w:rPr>
      </w:pPr>
      <w:bookmarkStart w:id="28" w:name="_Toc15377207"/>
      <w:bookmarkStart w:id="29" w:name="_Toc15396605"/>
      <w:r>
        <w:rPr>
          <w:rFonts w:hint="eastAsia" w:ascii="方正黑体_GBK" w:eastAsia="方正黑体_GBK"/>
          <w:color w:val="000000"/>
          <w:sz w:val="32"/>
          <w:szCs w:val="32"/>
        </w:rPr>
        <w:t>三、支</w:t>
      </w:r>
      <w:r>
        <w:rPr>
          <w:rStyle w:val="20"/>
          <w:rFonts w:hint="eastAsia" w:ascii="方正黑体_GBK" w:hAnsi="Times New Roman"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hAnsi="仿宋" w:eastAsia="仿宋" w:cs="仿宋"/>
          <w:color w:val="000000"/>
          <w:sz w:val="32"/>
          <w:szCs w:val="32"/>
        </w:rPr>
        <w:t>2020年本年支出合计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1117.61</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72.7</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418.99</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27.3</w:t>
      </w:r>
      <w:r>
        <w:rPr>
          <w:rFonts w:hint="eastAsia" w:ascii="仿宋" w:hAnsi="仿宋" w:eastAsia="仿宋" w:cs="仿宋"/>
          <w:color w:val="000000"/>
          <w:sz w:val="32"/>
          <w:szCs w:val="32"/>
        </w:rPr>
        <w:t>%；上缴上级支出0万元，占0%；经营支出0万元，占0%；对附属单位补助支出0万元，占0%。</w:t>
      </w:r>
    </w:p>
    <w:p>
      <w:pPr>
        <w:spacing w:line="540" w:lineRule="exact"/>
        <w:ind w:firstLine="642" w:firstLineChars="200"/>
        <w:outlineLvl w:val="1"/>
        <w:rPr>
          <w:rStyle w:val="20"/>
          <w:rFonts w:ascii="方正黑体_GBK" w:hAnsi="Times New Roman" w:eastAsia="方正黑体_GBK"/>
          <w:b w:val="0"/>
          <w:color w:val="000000"/>
        </w:rPr>
      </w:pPr>
      <w:bookmarkStart w:id="30" w:name="_Toc15377208"/>
      <w:bookmarkStart w:id="31" w:name="_Toc15396606"/>
      <w:r>
        <w:rPr>
          <w:rStyle w:val="20"/>
          <w:rFonts w:hint="eastAsia" w:ascii="方正黑体_GBK" w:hAnsi="Times New Roman" w:eastAsia="方正黑体_GBK"/>
        </w:rPr>
        <w:t>四、</w:t>
      </w:r>
      <w:r>
        <w:rPr>
          <w:rStyle w:val="20"/>
          <w:rFonts w:hint="eastAsia" w:ascii="方正黑体_GBK" w:hAnsi="Times New Roman" w:eastAsia="方正黑体_GBK"/>
          <w:b w:val="0"/>
          <w:color w:val="000000"/>
        </w:rPr>
        <w:t>财政拨款收入支出决算总体情况说明</w:t>
      </w:r>
      <w:bookmarkEnd w:id="30"/>
      <w:bookmarkEnd w:id="31"/>
    </w:p>
    <w:p>
      <w:pPr>
        <w:spacing w:line="54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2020年财政拨款收、支总计</w:t>
      </w:r>
      <w:r>
        <w:rPr>
          <w:rFonts w:hint="eastAsia" w:ascii="仿宋" w:hAnsi="仿宋" w:eastAsia="仿宋" w:cs="仿宋"/>
          <w:color w:val="000000"/>
          <w:sz w:val="32"/>
          <w:szCs w:val="32"/>
          <w:lang w:eastAsia="zh-CN"/>
        </w:rPr>
        <w:t>1536.6</w:t>
      </w:r>
      <w:r>
        <w:rPr>
          <w:rFonts w:hint="eastAsia" w:ascii="仿宋" w:hAnsi="仿宋" w:eastAsia="仿宋" w:cs="仿宋"/>
          <w:color w:val="000000"/>
          <w:sz w:val="32"/>
          <w:szCs w:val="32"/>
        </w:rPr>
        <w:t>万元。与2019年相比，财政拨款收、支总计各减少</w:t>
      </w:r>
      <w:r>
        <w:rPr>
          <w:rFonts w:hint="eastAsia" w:ascii="仿宋" w:hAnsi="仿宋" w:eastAsia="仿宋" w:cs="仿宋"/>
          <w:color w:val="000000"/>
          <w:sz w:val="32"/>
          <w:szCs w:val="32"/>
          <w:lang w:val="en-US" w:eastAsia="zh-CN"/>
        </w:rPr>
        <w:t>94.69</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6.2%</w:t>
      </w:r>
      <w:r>
        <w:rPr>
          <w:rFonts w:hint="eastAsia" w:ascii="仿宋" w:hAnsi="仿宋" w:eastAsia="仿宋" w:cs="仿宋"/>
          <w:color w:val="000000"/>
          <w:sz w:val="32"/>
          <w:szCs w:val="32"/>
        </w:rPr>
        <w:t>。主要变动原因是</w:t>
      </w:r>
      <w:r>
        <w:rPr>
          <w:rFonts w:hint="eastAsia" w:ascii="仿宋" w:hAnsi="仿宋" w:eastAsia="仿宋" w:cs="仿宋"/>
          <w:sz w:val="32"/>
          <w:szCs w:val="32"/>
        </w:rPr>
        <w:t>人员经费</w:t>
      </w:r>
      <w:r>
        <w:rPr>
          <w:rFonts w:hint="eastAsia" w:ascii="仿宋" w:hAnsi="仿宋" w:eastAsia="仿宋" w:cs="仿宋"/>
          <w:sz w:val="32"/>
          <w:szCs w:val="32"/>
          <w:lang w:eastAsia="zh-CN"/>
        </w:rPr>
        <w:t>及项目</w:t>
      </w:r>
      <w:r>
        <w:rPr>
          <w:rFonts w:hint="eastAsia" w:ascii="仿宋" w:hAnsi="仿宋" w:eastAsia="仿宋" w:cs="仿宋"/>
          <w:sz w:val="32"/>
          <w:szCs w:val="32"/>
        </w:rPr>
        <w:t>减少。</w:t>
      </w:r>
      <w:bookmarkStart w:id="32" w:name="_Toc15377209"/>
      <w:bookmarkStart w:id="33" w:name="_Toc15396607"/>
    </w:p>
    <w:p>
      <w:pPr>
        <w:spacing w:line="540" w:lineRule="exact"/>
        <w:ind w:firstLine="642" w:firstLineChars="200"/>
        <w:rPr>
          <w:rStyle w:val="20"/>
          <w:rFonts w:ascii="方正黑体_GBK" w:hAnsi="Times New Roman" w:eastAsia="方正黑体_GBK"/>
          <w:b w:val="0"/>
          <w:color w:val="000000"/>
        </w:rPr>
      </w:pPr>
      <w:r>
        <w:rPr>
          <w:rStyle w:val="20"/>
          <w:rFonts w:hint="eastAsia" w:ascii="方正黑体_GBK" w:hAnsi="Times New Roman" w:eastAsia="方正黑体_GBK"/>
        </w:rPr>
        <w:t>五、一</w:t>
      </w:r>
      <w:r>
        <w:rPr>
          <w:rStyle w:val="20"/>
          <w:rFonts w:hint="eastAsia" w:ascii="方正黑体_GBK" w:hAnsi="Times New Roman" w:eastAsia="方正黑体_GBK"/>
          <w:b w:val="0"/>
          <w:color w:val="000000"/>
        </w:rPr>
        <w:t>般公共预算财政拨款支出决算情况说明</w:t>
      </w:r>
      <w:bookmarkEnd w:id="32"/>
      <w:bookmarkEnd w:id="33"/>
    </w:p>
    <w:p>
      <w:pPr>
        <w:spacing w:line="540" w:lineRule="exact"/>
        <w:ind w:firstLine="642"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2020年一般公共预算财政拨款支出</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万元，占本年支出合计的</w:t>
      </w:r>
      <w:r>
        <w:rPr>
          <w:rFonts w:hint="eastAsia" w:ascii="仿宋" w:hAnsi="仿宋" w:eastAsia="仿宋" w:cs="仿宋"/>
          <w:color w:val="000000"/>
          <w:sz w:val="32"/>
          <w:szCs w:val="32"/>
          <w:lang w:val="en-US" w:eastAsia="zh-CN"/>
        </w:rPr>
        <w:t>93.8</w:t>
      </w:r>
      <w:r>
        <w:rPr>
          <w:rFonts w:hint="eastAsia" w:ascii="仿宋" w:hAnsi="仿宋" w:eastAsia="仿宋" w:cs="仿宋"/>
          <w:color w:val="000000"/>
          <w:sz w:val="32"/>
          <w:szCs w:val="32"/>
        </w:rPr>
        <w:t>%。与</w:t>
      </w:r>
      <w:r>
        <w:rPr>
          <w:rFonts w:hint="eastAsia" w:ascii="仿宋" w:hAnsi="仿宋" w:eastAsia="仿宋" w:cs="仿宋"/>
          <w:color w:val="000000"/>
          <w:sz w:val="32"/>
          <w:szCs w:val="32"/>
          <w:lang w:val="en-US" w:eastAsia="zh-CN"/>
        </w:rPr>
        <w:t>2019</w:t>
      </w:r>
      <w:r>
        <w:rPr>
          <w:rFonts w:hint="eastAsia" w:ascii="仿宋" w:hAnsi="仿宋" w:eastAsia="仿宋" w:cs="仿宋"/>
          <w:color w:val="000000"/>
          <w:sz w:val="32"/>
          <w:szCs w:val="32"/>
        </w:rPr>
        <w:t>年相比，一般公共预算财政拨款减少</w:t>
      </w:r>
      <w:r>
        <w:rPr>
          <w:rFonts w:hint="eastAsia" w:ascii="仿宋" w:hAnsi="仿宋" w:eastAsia="仿宋" w:cs="仿宋"/>
          <w:color w:val="000000"/>
          <w:sz w:val="32"/>
          <w:szCs w:val="32"/>
          <w:lang w:val="en-US" w:eastAsia="zh-CN"/>
        </w:rPr>
        <w:t>61.35</w:t>
      </w:r>
      <w:r>
        <w:rPr>
          <w:rFonts w:hint="eastAsia" w:ascii="仿宋" w:hAnsi="仿宋" w:eastAsia="仿宋" w:cs="仿宋"/>
          <w:color w:val="000000"/>
          <w:sz w:val="32"/>
          <w:szCs w:val="32"/>
        </w:rPr>
        <w:t>万元，减少</w:t>
      </w:r>
      <w:r>
        <w:rPr>
          <w:rFonts w:hint="eastAsia" w:ascii="仿宋" w:hAnsi="仿宋" w:eastAsia="仿宋" w:cs="仿宋"/>
          <w:color w:val="000000"/>
          <w:sz w:val="32"/>
          <w:szCs w:val="32"/>
          <w:lang w:val="en-US" w:eastAsia="zh-CN"/>
        </w:rPr>
        <w:t>4.3</w:t>
      </w:r>
      <w:r>
        <w:rPr>
          <w:rFonts w:hint="eastAsia" w:ascii="仿宋" w:hAnsi="仿宋" w:eastAsia="仿宋" w:cs="仿宋"/>
          <w:color w:val="000000"/>
          <w:sz w:val="32"/>
          <w:szCs w:val="32"/>
        </w:rPr>
        <w:t>%。主要变动原因是</w:t>
      </w:r>
      <w:r>
        <w:rPr>
          <w:rFonts w:hint="eastAsia" w:ascii="仿宋" w:hAnsi="仿宋" w:eastAsia="仿宋" w:cs="仿宋"/>
          <w:color w:val="000000"/>
          <w:sz w:val="32"/>
          <w:szCs w:val="32"/>
          <w:lang w:eastAsia="zh-CN"/>
        </w:rPr>
        <w:t>人员变动</w:t>
      </w:r>
      <w:r>
        <w:rPr>
          <w:rFonts w:hint="eastAsia" w:ascii="仿宋" w:hAnsi="仿宋" w:eastAsia="仿宋" w:cs="仿宋"/>
          <w:sz w:val="32"/>
          <w:szCs w:val="32"/>
        </w:rPr>
        <w:t>。</w:t>
      </w:r>
    </w:p>
    <w:p>
      <w:pPr>
        <w:spacing w:line="540" w:lineRule="exact"/>
        <w:ind w:firstLine="642"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ascii="仿宋" w:hAnsi="仿宋" w:eastAsia="仿宋" w:cs="仿宋"/>
          <w:b/>
          <w:color w:val="000000"/>
          <w:sz w:val="32"/>
          <w:szCs w:val="32"/>
        </w:rPr>
      </w:pPr>
      <w:r>
        <w:rPr>
          <w:rFonts w:hint="eastAsia" w:ascii="仿宋" w:hAnsi="仿宋" w:eastAsia="仿宋" w:cs="仿宋"/>
          <w:color w:val="000000"/>
          <w:sz w:val="32"/>
          <w:szCs w:val="32"/>
        </w:rPr>
        <w:t>2020年一般公共预算财政拨款支出</w:t>
      </w:r>
      <w:r>
        <w:rPr>
          <w:rFonts w:hint="eastAsia" w:ascii="仿宋" w:hAnsi="仿宋" w:eastAsia="仿宋" w:cs="仿宋"/>
          <w:color w:val="000000"/>
          <w:sz w:val="32"/>
          <w:szCs w:val="32"/>
          <w:lang w:val="en-US" w:eastAsia="zh-CN"/>
        </w:rPr>
        <w:t>1440.94</w:t>
      </w:r>
      <w:r>
        <w:rPr>
          <w:rFonts w:hint="eastAsia" w:ascii="仿宋" w:hAnsi="仿宋" w:eastAsia="仿宋" w:cs="仿宋"/>
          <w:color w:val="000000"/>
          <w:sz w:val="32"/>
          <w:szCs w:val="32"/>
        </w:rPr>
        <w:t>万元，主要用于以下方面</w:t>
      </w:r>
      <w:r>
        <w:rPr>
          <w:rFonts w:hint="eastAsia" w:ascii="仿宋" w:hAnsi="仿宋" w:eastAsia="仿宋" w:cs="仿宋"/>
          <w:color w:val="auto"/>
          <w:sz w:val="32"/>
          <w:szCs w:val="32"/>
        </w:rPr>
        <w:t>:</w:t>
      </w:r>
      <w:r>
        <w:rPr>
          <w:rFonts w:hint="eastAsia" w:ascii="仿宋" w:hAnsi="仿宋" w:eastAsia="仿宋" w:cs="仿宋"/>
          <w:b/>
          <w:color w:val="auto"/>
          <w:sz w:val="32"/>
          <w:szCs w:val="32"/>
        </w:rPr>
        <w:t>一般公共服务（类）</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322.49</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22.38</w:t>
      </w:r>
      <w:r>
        <w:rPr>
          <w:rFonts w:hint="eastAsia" w:ascii="仿宋" w:hAnsi="仿宋" w:eastAsia="仿宋" w:cs="仿宋"/>
          <w:color w:val="auto"/>
          <w:sz w:val="32"/>
          <w:szCs w:val="32"/>
        </w:rPr>
        <w:t>%；</w:t>
      </w:r>
      <w:r>
        <w:rPr>
          <w:rFonts w:hint="eastAsia" w:ascii="仿宋" w:hAnsi="仿宋" w:eastAsia="仿宋" w:cs="仿宋"/>
          <w:b/>
          <w:bCs/>
          <w:color w:val="auto"/>
          <w:sz w:val="32"/>
          <w:szCs w:val="32"/>
        </w:rPr>
        <w:t>文化旅游体育与传媒（类）支出</w:t>
      </w:r>
      <w:r>
        <w:rPr>
          <w:rFonts w:hint="eastAsia" w:ascii="仿宋" w:hAnsi="仿宋" w:eastAsia="仿宋" w:cs="仿宋"/>
          <w:b/>
          <w:bCs/>
          <w:color w:val="auto"/>
          <w:sz w:val="32"/>
          <w:szCs w:val="32"/>
          <w:lang w:val="en-US" w:eastAsia="zh-CN"/>
        </w:rPr>
        <w:t>20.66</w:t>
      </w:r>
      <w:r>
        <w:rPr>
          <w:rFonts w:hint="eastAsia" w:ascii="仿宋" w:hAnsi="仿宋" w:eastAsia="仿宋" w:cs="仿宋"/>
          <w:b/>
          <w:bCs/>
          <w:color w:val="auto"/>
          <w:sz w:val="32"/>
          <w:szCs w:val="32"/>
        </w:rPr>
        <w:t>万元，占</w:t>
      </w:r>
      <w:r>
        <w:rPr>
          <w:rFonts w:hint="eastAsia" w:ascii="仿宋" w:hAnsi="仿宋" w:eastAsia="仿宋" w:cs="仿宋"/>
          <w:b/>
          <w:bCs/>
          <w:color w:val="auto"/>
          <w:sz w:val="32"/>
          <w:szCs w:val="32"/>
          <w:lang w:val="en-US" w:eastAsia="zh-CN"/>
        </w:rPr>
        <w:t>1.43</w:t>
      </w:r>
      <w:r>
        <w:rPr>
          <w:rFonts w:hint="eastAsia" w:ascii="仿宋" w:hAnsi="仿宋" w:eastAsia="仿宋" w:cs="仿宋"/>
          <w:b/>
          <w:bCs/>
          <w:color w:val="auto"/>
          <w:sz w:val="32"/>
          <w:szCs w:val="32"/>
        </w:rPr>
        <w:t>%</w:t>
      </w:r>
      <w:r>
        <w:rPr>
          <w:rFonts w:hint="eastAsia" w:ascii="仿宋" w:hAnsi="仿宋" w:eastAsia="仿宋" w:cs="仿宋"/>
          <w:color w:val="auto"/>
          <w:sz w:val="32"/>
          <w:szCs w:val="32"/>
        </w:rPr>
        <w:t>；</w:t>
      </w:r>
      <w:r>
        <w:rPr>
          <w:rFonts w:hint="eastAsia" w:ascii="仿宋" w:hAnsi="仿宋" w:eastAsia="仿宋" w:cs="仿宋"/>
          <w:b/>
          <w:color w:val="auto"/>
          <w:sz w:val="32"/>
          <w:szCs w:val="32"/>
        </w:rPr>
        <w:t>社会保障和就业（类）</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136.67</w:t>
      </w:r>
      <w:r>
        <w:rPr>
          <w:rFonts w:hint="eastAsia" w:ascii="仿宋" w:hAnsi="仿宋" w:eastAsia="仿宋" w:cs="仿宋"/>
          <w:color w:val="auto"/>
          <w:sz w:val="32"/>
          <w:szCs w:val="32"/>
        </w:rPr>
        <w:t>万</w:t>
      </w:r>
      <w:r>
        <w:rPr>
          <w:rFonts w:hint="eastAsia" w:ascii="仿宋" w:hAnsi="仿宋" w:eastAsia="仿宋" w:cs="仿宋"/>
          <w:color w:val="000000"/>
          <w:sz w:val="32"/>
          <w:szCs w:val="32"/>
        </w:rPr>
        <w:t>元，占</w:t>
      </w:r>
      <w:r>
        <w:rPr>
          <w:rFonts w:hint="eastAsia" w:ascii="仿宋" w:hAnsi="仿宋" w:eastAsia="仿宋" w:cs="仿宋"/>
          <w:color w:val="000000"/>
          <w:sz w:val="32"/>
          <w:szCs w:val="32"/>
          <w:lang w:val="en-US" w:eastAsia="zh-CN"/>
        </w:rPr>
        <w:t>9.48</w:t>
      </w:r>
      <w:r>
        <w:rPr>
          <w:rFonts w:hint="eastAsia" w:ascii="仿宋" w:hAnsi="仿宋" w:eastAsia="仿宋" w:cs="仿宋"/>
          <w:color w:val="000000"/>
          <w:sz w:val="32"/>
          <w:szCs w:val="32"/>
        </w:rPr>
        <w:t>%；</w:t>
      </w:r>
      <w:r>
        <w:rPr>
          <w:rFonts w:hint="eastAsia" w:ascii="仿宋" w:hAnsi="仿宋" w:eastAsia="仿宋" w:cs="仿宋"/>
          <w:b/>
          <w:bCs/>
          <w:color w:val="000000"/>
          <w:sz w:val="32"/>
          <w:szCs w:val="32"/>
        </w:rPr>
        <w:t>卫生健康支出</w:t>
      </w:r>
      <w:r>
        <w:rPr>
          <w:rFonts w:hint="eastAsia" w:ascii="仿宋" w:hAnsi="仿宋" w:eastAsia="仿宋" w:cs="仿宋"/>
          <w:color w:val="000000"/>
          <w:sz w:val="32"/>
          <w:szCs w:val="32"/>
          <w:lang w:val="en-US" w:eastAsia="zh-CN"/>
        </w:rPr>
        <w:t>24.02</w:t>
      </w:r>
      <w:r>
        <w:rPr>
          <w:rFonts w:hint="eastAsia" w:ascii="仿宋" w:hAnsi="仿宋" w:eastAsia="仿宋" w:cs="仿宋"/>
          <w:color w:val="000000"/>
          <w:sz w:val="32"/>
          <w:szCs w:val="32"/>
        </w:rPr>
        <w:t>万元，占1.6</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w:t>
      </w:r>
      <w:r>
        <w:rPr>
          <w:rFonts w:hint="eastAsia" w:ascii="仿宋" w:hAnsi="仿宋" w:eastAsia="仿宋" w:cs="仿宋"/>
          <w:b/>
          <w:sz w:val="32"/>
          <w:szCs w:val="32"/>
        </w:rPr>
        <w:t>城乡社区支出（类）</w:t>
      </w:r>
      <w:r>
        <w:rPr>
          <w:rFonts w:hint="eastAsia" w:ascii="仿宋" w:hAnsi="仿宋" w:eastAsia="仿宋" w:cs="仿宋"/>
          <w:color w:val="000000"/>
          <w:sz w:val="32"/>
          <w:szCs w:val="32"/>
          <w:lang w:val="en-US" w:eastAsia="zh-CN"/>
        </w:rPr>
        <w:t>37.74</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2.63</w:t>
      </w:r>
      <w:r>
        <w:rPr>
          <w:rFonts w:hint="eastAsia" w:ascii="仿宋" w:hAnsi="仿宋" w:eastAsia="仿宋" w:cs="仿宋"/>
          <w:color w:val="000000"/>
          <w:sz w:val="32"/>
          <w:szCs w:val="32"/>
        </w:rPr>
        <w:t>%；</w:t>
      </w:r>
      <w:r>
        <w:rPr>
          <w:rFonts w:hint="eastAsia" w:ascii="仿宋" w:hAnsi="仿宋" w:eastAsia="仿宋" w:cs="仿宋"/>
          <w:b/>
          <w:color w:val="000000"/>
          <w:sz w:val="32"/>
          <w:szCs w:val="32"/>
        </w:rPr>
        <w:t>农林水支出（类）</w:t>
      </w:r>
      <w:r>
        <w:rPr>
          <w:rFonts w:hint="eastAsia" w:ascii="仿宋" w:hAnsi="仿宋" w:eastAsia="仿宋" w:cs="仿宋"/>
          <w:color w:val="000000"/>
          <w:sz w:val="32"/>
          <w:szCs w:val="32"/>
          <w:lang w:val="en-US" w:eastAsia="zh-CN"/>
        </w:rPr>
        <w:t>848.35</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58.87</w:t>
      </w:r>
      <w:r>
        <w:rPr>
          <w:rFonts w:hint="eastAsia" w:ascii="仿宋" w:hAnsi="仿宋" w:eastAsia="仿宋" w:cs="仿宋"/>
          <w:color w:val="000000"/>
          <w:sz w:val="32"/>
          <w:szCs w:val="32"/>
        </w:rPr>
        <w:t>%；</w:t>
      </w:r>
      <w:r>
        <w:rPr>
          <w:rFonts w:hint="eastAsia" w:ascii="仿宋" w:hAnsi="仿宋" w:eastAsia="仿宋" w:cs="仿宋"/>
          <w:b/>
          <w:color w:val="000000"/>
          <w:sz w:val="32"/>
          <w:szCs w:val="32"/>
        </w:rPr>
        <w:t>交通运输支出（类）</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0.69</w:t>
      </w:r>
      <w:r>
        <w:rPr>
          <w:rFonts w:hint="eastAsia" w:ascii="仿宋" w:hAnsi="仿宋" w:eastAsia="仿宋" w:cs="仿宋"/>
          <w:color w:val="000000"/>
          <w:sz w:val="32"/>
          <w:szCs w:val="32"/>
        </w:rPr>
        <w:t>%；</w:t>
      </w:r>
      <w:r>
        <w:rPr>
          <w:rFonts w:hint="eastAsia" w:ascii="仿宋" w:hAnsi="仿宋" w:eastAsia="仿宋" w:cs="仿宋"/>
          <w:b/>
          <w:color w:val="000000"/>
          <w:sz w:val="32"/>
          <w:szCs w:val="32"/>
        </w:rPr>
        <w:t>住房保障支出</w:t>
      </w:r>
      <w:r>
        <w:rPr>
          <w:rFonts w:hint="eastAsia" w:ascii="仿宋" w:hAnsi="仿宋" w:eastAsia="仿宋" w:cs="仿宋"/>
          <w:color w:val="000000"/>
          <w:sz w:val="32"/>
          <w:szCs w:val="32"/>
          <w:lang w:val="en-US" w:eastAsia="zh-CN"/>
        </w:rPr>
        <w:t>41</w:t>
      </w:r>
      <w:r>
        <w:rPr>
          <w:rFonts w:hint="eastAsia" w:ascii="仿宋" w:hAnsi="仿宋" w:eastAsia="仿宋" w:cs="仿宋"/>
          <w:color w:val="000000"/>
          <w:sz w:val="32"/>
          <w:szCs w:val="32"/>
        </w:rPr>
        <w:t>万元，占2.</w:t>
      </w:r>
      <w:r>
        <w:rPr>
          <w:rFonts w:hint="eastAsia" w:ascii="仿宋" w:hAnsi="仿宋" w:eastAsia="仿宋" w:cs="仿宋"/>
          <w:color w:val="000000"/>
          <w:sz w:val="32"/>
          <w:szCs w:val="32"/>
          <w:lang w:val="en-US" w:eastAsia="zh-CN"/>
        </w:rPr>
        <w:t>85</w:t>
      </w:r>
      <w:r>
        <w:rPr>
          <w:rFonts w:hint="eastAsia" w:ascii="仿宋" w:hAnsi="仿宋" w:eastAsia="仿宋" w:cs="仿宋"/>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2" w:firstLineChars="200"/>
        <w:outlineLvl w:val="2"/>
        <w:rPr>
          <w:rFonts w:eastAsia="方正仿宋_GBK"/>
          <w:color w:val="000000"/>
          <w:sz w:val="32"/>
          <w:szCs w:val="32"/>
        </w:rPr>
      </w:pPr>
      <w:bookmarkStart w:id="37" w:name="_Toc15377213"/>
      <w:bookmarkStart w:id="38" w:name="_Toc15378460"/>
      <w:bookmarkStart w:id="39" w:name="_Toc15377444"/>
      <w:r>
        <w:rPr>
          <w:rFonts w:hint="eastAsia" w:eastAsia="方正仿宋_GBK"/>
          <w:b/>
          <w:color w:val="000000"/>
          <w:sz w:val="32"/>
          <w:szCs w:val="32"/>
        </w:rPr>
        <w:t>2020年一般公共预算支出决算数为</w:t>
      </w:r>
      <w:r>
        <w:rPr>
          <w:rFonts w:hint="eastAsia" w:eastAsia="方正仿宋_GBK"/>
          <w:b/>
          <w:color w:val="000000"/>
          <w:sz w:val="32"/>
          <w:szCs w:val="32"/>
          <w:lang w:val="en-US" w:eastAsia="zh-CN"/>
        </w:rPr>
        <w:t>1440.94</w:t>
      </w:r>
      <w:r>
        <w:rPr>
          <w:rFonts w:hint="eastAsia" w:eastAsia="方正仿宋_GBK"/>
          <w:b/>
          <w:color w:val="000000"/>
          <w:sz w:val="32"/>
          <w:szCs w:val="32"/>
        </w:rPr>
        <w:t>万元</w:t>
      </w:r>
      <w:r>
        <w:rPr>
          <w:rFonts w:hint="eastAsia" w:eastAsia="方正仿宋_GBK"/>
          <w:color w:val="000000"/>
          <w:sz w:val="32"/>
          <w:szCs w:val="32"/>
        </w:rPr>
        <w:t>，</w:t>
      </w:r>
      <w:r>
        <w:rPr>
          <w:rStyle w:val="17"/>
          <w:rFonts w:hint="eastAsia" w:eastAsia="方正仿宋_GBK"/>
          <w:bCs/>
          <w:color w:val="000000"/>
          <w:sz w:val="32"/>
          <w:szCs w:val="32"/>
        </w:rPr>
        <w:t>完成预算100</w:t>
      </w:r>
      <w:r>
        <w:rPr>
          <w:rStyle w:val="17"/>
          <w:rFonts w:eastAsia="方正仿宋_GBK"/>
          <w:bCs/>
          <w:color w:val="000000"/>
          <w:sz w:val="32"/>
          <w:szCs w:val="32"/>
        </w:rPr>
        <w:t>%</w:t>
      </w:r>
      <w:r>
        <w:rPr>
          <w:rStyle w:val="17"/>
          <w:rFonts w:hint="eastAsia" w:eastAsia="方正仿宋_GBK"/>
          <w:bCs/>
          <w:color w:val="000000"/>
          <w:sz w:val="32"/>
          <w:szCs w:val="32"/>
        </w:rPr>
        <w:t>。其中：</w:t>
      </w:r>
      <w:bookmarkEnd w:id="37"/>
      <w:bookmarkEnd w:id="38"/>
      <w:bookmarkEnd w:id="39"/>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1.一般公共服务：</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2010301一般公共服务支出（类）政府办公厅（室）及相关机构事务（款）行政运行（项）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255.25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2010302一般公共服务支出（类）政府办公厅（室）及相关机构事务（款）一般行政管理事务（项）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61.03</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2010601一般公共服务支出（类）财政事务（款）行政运行（项）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6.21</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Fonts w:ascii="仿宋" w:hAnsi="仿宋" w:eastAsia="仿宋" w:cs="仿宋"/>
          <w:color w:val="000000"/>
          <w:sz w:val="32"/>
          <w:szCs w:val="32"/>
        </w:rPr>
      </w:pPr>
      <w:r>
        <w:rPr>
          <w:rStyle w:val="17"/>
          <w:rFonts w:hint="eastAsia" w:ascii="仿宋" w:hAnsi="仿宋" w:eastAsia="仿宋" w:cs="仿宋"/>
          <w:bCs/>
          <w:color w:val="000000"/>
          <w:sz w:val="32"/>
          <w:szCs w:val="32"/>
        </w:rPr>
        <w:t>2.</w:t>
      </w:r>
      <w:r>
        <w:rPr>
          <w:rStyle w:val="17"/>
          <w:rFonts w:hint="eastAsia" w:ascii="仿宋" w:hAnsi="仿宋" w:eastAsia="仿宋" w:cs="仿宋"/>
          <w:color w:val="000000"/>
          <w:sz w:val="32"/>
          <w:szCs w:val="32"/>
        </w:rPr>
        <w:t>文化体育与传媒类：</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2070114文化体育与传媒支出（类）文化（款）文化和旅游管理事务（项）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16.36</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2070199文化体育与传媒支出（类）文化（款）其他文化支出（项）</w:t>
      </w:r>
      <w:r>
        <w:rPr>
          <w:rStyle w:val="17"/>
          <w:rFonts w:hint="eastAsia" w:ascii="仿宋" w:hAnsi="仿宋" w:eastAsia="仿宋" w:cs="仿宋"/>
          <w:b w:val="0"/>
          <w:color w:val="000000"/>
          <w:sz w:val="32"/>
          <w:szCs w:val="32"/>
        </w:rPr>
        <w:t>支出决算为4.3万元，完成预算100%，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Style w:val="17"/>
          <w:rFonts w:ascii="仿宋" w:hAnsi="仿宋" w:eastAsia="仿宋" w:cs="仿宋"/>
          <w:color w:val="000000"/>
          <w:sz w:val="32"/>
          <w:szCs w:val="32"/>
        </w:rPr>
      </w:pPr>
      <w:r>
        <w:rPr>
          <w:rStyle w:val="17"/>
          <w:rFonts w:hint="eastAsia" w:ascii="仿宋" w:hAnsi="仿宋" w:eastAsia="仿宋" w:cs="仿宋"/>
          <w:bCs/>
          <w:color w:val="000000"/>
          <w:sz w:val="32"/>
          <w:szCs w:val="32"/>
        </w:rPr>
        <w:t>3.</w:t>
      </w:r>
      <w:r>
        <w:rPr>
          <w:rStyle w:val="17"/>
          <w:rFonts w:hint="eastAsia" w:ascii="仿宋" w:hAnsi="仿宋" w:eastAsia="仿宋" w:cs="仿宋"/>
          <w:color w:val="000000"/>
          <w:sz w:val="32"/>
          <w:szCs w:val="32"/>
        </w:rPr>
        <w:t>社会保障和就业：</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2080104社会保障和就业支出（类）人力资源和社</w:t>
      </w:r>
      <w:r>
        <w:rPr>
          <w:rStyle w:val="17"/>
          <w:rFonts w:hint="eastAsia" w:ascii="仿宋" w:hAnsi="仿宋" w:eastAsia="仿宋" w:cs="仿宋"/>
          <w:bCs/>
          <w:color w:val="000000"/>
          <w:sz w:val="32"/>
          <w:szCs w:val="32"/>
          <w:lang w:eastAsia="zh-CN"/>
        </w:rPr>
        <w:t>会</w:t>
      </w:r>
      <w:bookmarkStart w:id="72" w:name="_GoBack"/>
      <w:bookmarkEnd w:id="72"/>
      <w:r>
        <w:rPr>
          <w:rStyle w:val="17"/>
          <w:rFonts w:hint="eastAsia" w:ascii="仿宋" w:hAnsi="仿宋" w:eastAsia="仿宋" w:cs="仿宋"/>
          <w:bCs/>
          <w:color w:val="000000"/>
          <w:sz w:val="32"/>
          <w:szCs w:val="32"/>
        </w:rPr>
        <w:t>保障管理事务（款）综合业务管理（项）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35.45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2080505社会保障和就业支出（类）行政事业单位离退休（款）机关事业单位基本养老保险费支出（项）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61.58</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2080805社会保障和就业支出（类）抚恤（款）义务兵优待（项）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30.50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Fonts w:ascii="仿宋" w:hAnsi="仿宋" w:eastAsia="仿宋" w:cs="仿宋"/>
          <w:b/>
          <w:bCs/>
          <w:color w:val="000000"/>
          <w:sz w:val="32"/>
          <w:szCs w:val="32"/>
        </w:rPr>
      </w:pPr>
      <w:r>
        <w:rPr>
          <w:rStyle w:val="17"/>
          <w:rFonts w:hint="eastAsia" w:ascii="仿宋" w:hAnsi="仿宋" w:eastAsia="仿宋" w:cs="仿宋"/>
          <w:bCs/>
          <w:color w:val="000000"/>
          <w:sz w:val="32"/>
          <w:szCs w:val="32"/>
        </w:rPr>
        <w:t>2089901社会保障和就业支出（类）其他社会保障和就业支出（款）社会保障和就业支出（项）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9.14</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4.</w:t>
      </w:r>
      <w:r>
        <w:rPr>
          <w:rStyle w:val="17"/>
          <w:rFonts w:hint="eastAsia" w:ascii="仿宋" w:hAnsi="仿宋" w:eastAsia="仿宋" w:cs="仿宋"/>
          <w:color w:val="000000"/>
          <w:sz w:val="32"/>
          <w:szCs w:val="32"/>
        </w:rPr>
        <w:t>医疗卫生与计划生育：</w:t>
      </w:r>
      <w:r>
        <w:rPr>
          <w:rStyle w:val="17"/>
          <w:rFonts w:hint="eastAsia" w:ascii="仿宋" w:hAnsi="仿宋" w:eastAsia="仿宋" w:cs="仿宋"/>
          <w:b w:val="0"/>
          <w:bCs/>
          <w:color w:val="000000"/>
          <w:sz w:val="32"/>
          <w:szCs w:val="32"/>
        </w:rPr>
        <w:t xml:space="preserve">                            </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2101101医疗卫生与计划生育支出（类）行政事业单位医疗（款）行政单位医疗（项）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24.02</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7"/>
          <w:rFonts w:ascii="仿宋" w:hAnsi="仿宋" w:eastAsia="仿宋" w:cs="仿宋"/>
          <w:color w:val="000000"/>
          <w:sz w:val="32"/>
          <w:szCs w:val="32"/>
        </w:rPr>
      </w:pPr>
      <w:r>
        <w:rPr>
          <w:rStyle w:val="17"/>
          <w:rFonts w:hint="eastAsia" w:ascii="仿宋" w:hAnsi="仿宋" w:eastAsia="仿宋" w:cs="仿宋"/>
          <w:color w:val="000000"/>
          <w:sz w:val="32"/>
          <w:szCs w:val="32"/>
        </w:rPr>
        <w:t>5.城乡社区支出：</w:t>
      </w:r>
    </w:p>
    <w:p>
      <w:pPr>
        <w:spacing w:line="578" w:lineRule="exact"/>
        <w:ind w:firstLine="642" w:firstLineChars="200"/>
        <w:rPr>
          <w:rStyle w:val="17"/>
          <w:rFonts w:ascii="仿宋" w:hAnsi="仿宋" w:eastAsia="仿宋" w:cs="仿宋"/>
          <w:b w:val="0"/>
          <w:bCs/>
          <w:color w:val="000000"/>
          <w:sz w:val="32"/>
          <w:szCs w:val="32"/>
        </w:rPr>
      </w:pPr>
      <w:r>
        <w:rPr>
          <w:rFonts w:hint="eastAsia" w:ascii="仿宋" w:hAnsi="仿宋" w:eastAsia="仿宋" w:cs="仿宋"/>
          <w:b/>
          <w:bCs/>
          <w:sz w:val="32"/>
          <w:szCs w:val="32"/>
        </w:rPr>
        <w:t>2120</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0</w:t>
      </w:r>
      <w:r>
        <w:rPr>
          <w:rFonts w:hint="eastAsia" w:ascii="仿宋" w:hAnsi="仿宋" w:eastAsia="仿宋" w:cs="仿宋"/>
          <w:b/>
          <w:bCs/>
          <w:sz w:val="32"/>
          <w:szCs w:val="32"/>
          <w:lang w:val="en-US" w:eastAsia="zh-CN"/>
        </w:rPr>
        <w:t>1</w:t>
      </w:r>
      <w:r>
        <w:rPr>
          <w:rStyle w:val="17"/>
          <w:rFonts w:hint="eastAsia" w:ascii="仿宋" w:hAnsi="仿宋" w:eastAsia="仿宋" w:cs="仿宋"/>
          <w:bCs/>
          <w:color w:val="000000"/>
          <w:sz w:val="32"/>
          <w:szCs w:val="32"/>
        </w:rPr>
        <w:t>城乡社区支出（类）城乡社区</w:t>
      </w:r>
      <w:r>
        <w:rPr>
          <w:rStyle w:val="17"/>
          <w:rFonts w:hint="eastAsia" w:ascii="仿宋" w:hAnsi="仿宋" w:eastAsia="仿宋" w:cs="仿宋"/>
          <w:bCs/>
          <w:color w:val="000000"/>
          <w:sz w:val="32"/>
          <w:szCs w:val="32"/>
          <w:lang w:eastAsia="zh-CN"/>
        </w:rPr>
        <w:t>环境卫生</w:t>
      </w:r>
      <w:r>
        <w:rPr>
          <w:rStyle w:val="17"/>
          <w:rFonts w:hint="eastAsia" w:ascii="仿宋" w:hAnsi="仿宋" w:eastAsia="仿宋" w:cs="仿宋"/>
          <w:bCs/>
          <w:color w:val="000000"/>
          <w:sz w:val="32"/>
          <w:szCs w:val="32"/>
        </w:rPr>
        <w:t>（款）城乡社区</w:t>
      </w:r>
      <w:r>
        <w:rPr>
          <w:rStyle w:val="17"/>
          <w:rFonts w:hint="eastAsia" w:ascii="仿宋" w:hAnsi="仿宋" w:eastAsia="仿宋" w:cs="仿宋"/>
          <w:bCs/>
          <w:color w:val="000000"/>
          <w:sz w:val="32"/>
          <w:szCs w:val="32"/>
          <w:lang w:eastAsia="zh-CN"/>
        </w:rPr>
        <w:t>环境卫生</w:t>
      </w:r>
      <w:r>
        <w:rPr>
          <w:rStyle w:val="17"/>
          <w:rFonts w:hint="eastAsia" w:ascii="仿宋" w:hAnsi="仿宋" w:eastAsia="仿宋" w:cs="仿宋"/>
          <w:bCs/>
          <w:color w:val="000000"/>
          <w:sz w:val="32"/>
          <w:szCs w:val="32"/>
        </w:rPr>
        <w:t>（项）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7</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2129901城乡社区支出（类）其他城乡社区支出（款）其他城乡社区支出（项）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30.74</w:t>
      </w:r>
      <w:r>
        <w:rPr>
          <w:rStyle w:val="17"/>
          <w:rFonts w:hint="eastAsia" w:ascii="仿宋" w:hAnsi="仿宋" w:eastAsia="仿宋" w:cs="仿宋"/>
          <w:b w:val="0"/>
          <w:color w:val="000000"/>
          <w:sz w:val="32"/>
          <w:szCs w:val="32"/>
        </w:rPr>
        <w:t>1万元，完成预算100%，</w:t>
      </w:r>
      <w:r>
        <w:rPr>
          <w:rStyle w:val="17"/>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color w:val="000000"/>
          <w:sz w:val="32"/>
          <w:szCs w:val="32"/>
        </w:rPr>
        <w:t>6.农林水支出：</w:t>
      </w:r>
    </w:p>
    <w:p>
      <w:pPr>
        <w:spacing w:line="578"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2130104农林水支出（类）农业（款）事业运行（项）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271.91</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 xml:space="preserve">决算数等于预算数。                            </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2130142 农林水支出（类）农业（款）农村道路建设（项）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52</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2130701 农林水支出（类）农村综合改革（款）对村级一事一议的补助（项）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60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2130705农林水支出（类）农村综合改革（款）对村民委员会和村党支部的补助（项）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459.44</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 xml:space="preserve"> 2139999农林水支出（类）其他农林水支出（款）其他农林水支出（项）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5</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numPr>
          <w:ilvl w:val="0"/>
          <w:numId w:val="1"/>
        </w:num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交通运输支出：</w:t>
      </w:r>
    </w:p>
    <w:p>
      <w:pPr>
        <w:spacing w:line="600" w:lineRule="exact"/>
        <w:ind w:firstLine="642" w:firstLineChars="200"/>
        <w:rPr>
          <w:rStyle w:val="17"/>
          <w:rFonts w:ascii="仿宋" w:hAnsi="仿宋" w:eastAsia="仿宋" w:cs="仿宋"/>
          <w:bCs/>
          <w:color w:val="000000"/>
          <w:sz w:val="32"/>
          <w:szCs w:val="32"/>
        </w:rPr>
      </w:pPr>
      <w:r>
        <w:rPr>
          <w:rStyle w:val="17"/>
          <w:rFonts w:hint="eastAsia" w:ascii="仿宋" w:hAnsi="仿宋" w:eastAsia="仿宋" w:cs="仿宋"/>
          <w:bCs/>
          <w:color w:val="000000"/>
          <w:sz w:val="32"/>
          <w:szCs w:val="32"/>
        </w:rPr>
        <w:t>2140199交通运输支出（类）公路水路运输（款）其他公路水路运输支出（项）</w:t>
      </w:r>
      <w:r>
        <w:rPr>
          <w:rStyle w:val="17"/>
          <w:rFonts w:hint="eastAsia" w:ascii="仿宋" w:hAnsi="仿宋" w:eastAsia="仿宋" w:cs="仿宋"/>
          <w:b w:val="0"/>
          <w:color w:val="000000"/>
          <w:sz w:val="32"/>
          <w:szCs w:val="32"/>
        </w:rPr>
        <w:t>支出决算为</w:t>
      </w:r>
      <w:r>
        <w:rPr>
          <w:rStyle w:val="17"/>
          <w:rFonts w:hint="eastAsia" w:ascii="仿宋" w:hAnsi="仿宋" w:eastAsia="仿宋" w:cs="仿宋"/>
          <w:b w:val="0"/>
          <w:color w:val="000000"/>
          <w:sz w:val="32"/>
          <w:szCs w:val="32"/>
          <w:lang w:val="en-US" w:eastAsia="zh-CN"/>
        </w:rPr>
        <w:t>10</w:t>
      </w:r>
      <w:r>
        <w:rPr>
          <w:rStyle w:val="17"/>
          <w:rFonts w:hint="eastAsia" w:ascii="仿宋" w:hAnsi="仿宋" w:eastAsia="仿宋" w:cs="仿宋"/>
          <w:b w:val="0"/>
          <w:color w:val="000000"/>
          <w:sz w:val="32"/>
          <w:szCs w:val="32"/>
        </w:rPr>
        <w:t>万元，完成预算100%，</w:t>
      </w:r>
      <w:r>
        <w:rPr>
          <w:rStyle w:val="17"/>
          <w:rFonts w:hint="eastAsia" w:ascii="仿宋" w:hAnsi="仿宋" w:eastAsia="仿宋" w:cs="仿宋"/>
          <w:b w:val="0"/>
          <w:bCs/>
          <w:color w:val="000000"/>
          <w:sz w:val="32"/>
          <w:szCs w:val="32"/>
        </w:rPr>
        <w:t>决算数等于预算数。</w:t>
      </w:r>
    </w:p>
    <w:p>
      <w:pPr>
        <w:spacing w:line="578" w:lineRule="exact"/>
        <w:ind w:firstLine="642" w:firstLineChars="200"/>
        <w:rPr>
          <w:rFonts w:ascii="仿宋" w:hAnsi="仿宋" w:eastAsia="仿宋" w:cs="仿宋"/>
          <w:b/>
          <w:bCs/>
          <w:sz w:val="32"/>
          <w:szCs w:val="32"/>
        </w:rPr>
      </w:pPr>
      <w:r>
        <w:rPr>
          <w:rStyle w:val="17"/>
          <w:rFonts w:hint="eastAsia" w:ascii="仿宋" w:hAnsi="仿宋" w:eastAsia="仿宋" w:cs="仿宋"/>
          <w:bCs/>
          <w:color w:val="000000"/>
          <w:sz w:val="32"/>
          <w:szCs w:val="32"/>
        </w:rPr>
        <w:t>8、住房保障支出</w:t>
      </w:r>
    </w:p>
    <w:p>
      <w:pPr>
        <w:spacing w:line="600" w:lineRule="exact"/>
        <w:ind w:firstLine="642" w:firstLineChars="200"/>
        <w:rPr>
          <w:rStyle w:val="17"/>
          <w:rFonts w:ascii="仿宋" w:hAnsi="仿宋" w:eastAsia="仿宋" w:cs="仿宋"/>
          <w:b w:val="0"/>
          <w:bCs/>
          <w:color w:val="000000"/>
          <w:sz w:val="32"/>
          <w:szCs w:val="32"/>
        </w:rPr>
      </w:pPr>
      <w:r>
        <w:rPr>
          <w:rStyle w:val="17"/>
          <w:rFonts w:hint="eastAsia" w:ascii="仿宋" w:hAnsi="仿宋" w:eastAsia="仿宋" w:cs="仿宋"/>
          <w:bCs/>
          <w:color w:val="000000"/>
          <w:sz w:val="32"/>
          <w:szCs w:val="32"/>
        </w:rPr>
        <w:t>2210201住房保障支出（类）住房改革支出（款）住房公积金（项）</w:t>
      </w:r>
      <w:r>
        <w:rPr>
          <w:rStyle w:val="17"/>
          <w:rFonts w:hint="eastAsia" w:ascii="仿宋" w:hAnsi="仿宋" w:eastAsia="仿宋" w:cs="仿宋"/>
          <w:b w:val="0"/>
          <w:color w:val="000000"/>
          <w:sz w:val="32"/>
          <w:szCs w:val="32"/>
        </w:rPr>
        <w:t>支出</w:t>
      </w:r>
      <w:r>
        <w:rPr>
          <w:rFonts w:hint="eastAsia" w:ascii="仿宋" w:hAnsi="仿宋" w:eastAsia="仿宋" w:cs="仿宋"/>
          <w:sz w:val="32"/>
          <w:szCs w:val="32"/>
        </w:rPr>
        <w:t>决算数</w:t>
      </w:r>
      <w:r>
        <w:rPr>
          <w:rFonts w:hint="eastAsia" w:ascii="仿宋" w:hAnsi="仿宋" w:eastAsia="仿宋" w:cs="仿宋"/>
          <w:sz w:val="32"/>
          <w:szCs w:val="32"/>
          <w:lang w:val="en-US" w:eastAsia="zh-CN"/>
        </w:rPr>
        <w:t>41.01</w:t>
      </w:r>
      <w:r>
        <w:rPr>
          <w:rFonts w:hint="eastAsia" w:ascii="仿宋" w:hAnsi="仿宋" w:eastAsia="仿宋" w:cs="仿宋"/>
          <w:sz w:val="32"/>
          <w:szCs w:val="32"/>
        </w:rPr>
        <w:t>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20"/>
          <w:rFonts w:ascii="方正黑体_GBK" w:hAnsi="Times New Roman"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20"/>
          <w:rFonts w:hint="eastAsia" w:ascii="方正黑体_GBK" w:hAnsi="Times New Roman" w:eastAsia="方正黑体_GBK"/>
          <w:b w:val="0"/>
          <w:color w:val="000000"/>
        </w:rPr>
        <w:t>般公共预算财政拨款基本支出决算情况说明</w:t>
      </w:r>
      <w:bookmarkEnd w:id="40"/>
      <w:bookmarkEnd w:id="41"/>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2020年一般公共预算财政拨款基本支出</w:t>
      </w:r>
      <w:r>
        <w:rPr>
          <w:rFonts w:hint="eastAsia" w:ascii="仿宋" w:hAnsi="仿宋" w:eastAsia="仿宋" w:cs="仿宋"/>
          <w:color w:val="000000"/>
          <w:sz w:val="32"/>
          <w:szCs w:val="32"/>
          <w:lang w:val="en-US" w:eastAsia="zh-CN"/>
        </w:rPr>
        <w:t>1117.61</w:t>
      </w:r>
      <w:r>
        <w:rPr>
          <w:rFonts w:hint="eastAsia" w:ascii="仿宋" w:hAnsi="仿宋" w:eastAsia="仿宋" w:cs="仿宋"/>
          <w:color w:val="000000"/>
          <w:sz w:val="32"/>
          <w:szCs w:val="32"/>
        </w:rPr>
        <w:t>万元，其中：</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人员经费</w:t>
      </w:r>
      <w:r>
        <w:rPr>
          <w:rFonts w:hint="eastAsia" w:ascii="仿宋" w:hAnsi="仿宋" w:eastAsia="仿宋" w:cs="仿宋"/>
          <w:color w:val="000000"/>
          <w:sz w:val="32"/>
          <w:szCs w:val="32"/>
          <w:lang w:val="en-US" w:eastAsia="zh-CN"/>
        </w:rPr>
        <w:t>893.51</w:t>
      </w:r>
      <w:r>
        <w:rPr>
          <w:rFonts w:hint="eastAsia" w:ascii="仿宋" w:hAns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ascii="仿宋" w:hAnsi="仿宋" w:eastAsia="仿宋" w:cs="仿宋"/>
          <w:color w:val="000000"/>
          <w:sz w:val="32"/>
          <w:szCs w:val="32"/>
        </w:rPr>
      </w:pPr>
      <w:r>
        <w:rPr>
          <w:rFonts w:hint="eastAsia" w:ascii="仿宋" w:hAnsi="仿宋" w:eastAsia="仿宋" w:cs="仿宋"/>
          <w:color w:val="000000"/>
          <w:sz w:val="32"/>
          <w:szCs w:val="32"/>
        </w:rPr>
        <w:t>日常公用经费</w:t>
      </w:r>
      <w:r>
        <w:rPr>
          <w:rFonts w:hint="eastAsia" w:ascii="仿宋" w:hAnsi="仿宋" w:eastAsia="仿宋" w:cs="仿宋"/>
          <w:color w:val="000000"/>
          <w:sz w:val="32"/>
          <w:szCs w:val="32"/>
          <w:lang w:val="en-US" w:eastAsia="zh-CN"/>
        </w:rPr>
        <w:t>224.10</w:t>
      </w:r>
      <w:r>
        <w:rPr>
          <w:rFonts w:hint="eastAsia" w:ascii="仿宋" w:hAns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2" w:firstLineChars="200"/>
        <w:outlineLvl w:val="2"/>
        <w:rPr>
          <w:rFonts w:ascii="仿宋" w:hAnsi="仿宋" w:eastAsia="仿宋" w:cs="仿宋"/>
          <w:b/>
          <w:color w:val="000000"/>
          <w:sz w:val="32"/>
          <w:szCs w:val="32"/>
        </w:rPr>
      </w:pPr>
      <w:bookmarkStart w:id="44" w:name="_Toc15377216"/>
      <w:r>
        <w:rPr>
          <w:rFonts w:hint="eastAsia" w:ascii="仿宋" w:hAnsi="仿宋" w:eastAsia="仿宋" w:cs="仿宋"/>
          <w:b/>
          <w:color w:val="000000"/>
          <w:sz w:val="32"/>
          <w:szCs w:val="32"/>
        </w:rPr>
        <w:t>（一）“三公”经费财政拨款支出决算总体情况说明</w:t>
      </w:r>
      <w:bookmarkEnd w:id="44"/>
    </w:p>
    <w:p>
      <w:pPr>
        <w:spacing w:line="540" w:lineRule="exact"/>
        <w:ind w:firstLine="640"/>
        <w:rPr>
          <w:rFonts w:ascii="仿宋" w:hAnsi="仿宋" w:eastAsia="仿宋" w:cs="仿宋"/>
          <w:b/>
          <w:color w:val="000000"/>
          <w:sz w:val="32"/>
          <w:szCs w:val="32"/>
        </w:rPr>
      </w:pPr>
      <w:r>
        <w:rPr>
          <w:rFonts w:hint="eastAsia" w:ascii="仿宋" w:hAnsi="仿宋" w:eastAsia="仿宋" w:cs="仿宋"/>
          <w:color w:val="000000"/>
          <w:sz w:val="32"/>
          <w:szCs w:val="32"/>
        </w:rPr>
        <w:t>2020年“三公”经费财政拨款支出决算为</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万元，完成预算</w:t>
      </w:r>
      <w:r>
        <w:rPr>
          <w:rFonts w:hint="eastAsia" w:ascii="仿宋" w:hAnsi="仿宋" w:eastAsia="仿宋" w:cs="仿宋"/>
          <w:color w:val="000000"/>
          <w:sz w:val="32"/>
          <w:szCs w:val="32"/>
          <w:lang w:val="en-US" w:eastAsia="zh-CN"/>
        </w:rPr>
        <w:t>63.2</w:t>
      </w:r>
      <w:r>
        <w:rPr>
          <w:rFonts w:hint="eastAsia" w:ascii="仿宋" w:hAnsi="仿宋" w:eastAsia="仿宋" w:cs="仿宋"/>
          <w:color w:val="000000"/>
          <w:sz w:val="32"/>
          <w:szCs w:val="32"/>
        </w:rPr>
        <w:t>%，决算数与预算数</w:t>
      </w:r>
      <w:r>
        <w:rPr>
          <w:rFonts w:hint="eastAsia" w:ascii="仿宋" w:hAnsi="仿宋" w:eastAsia="仿宋" w:cs="仿宋"/>
          <w:color w:val="000000"/>
          <w:sz w:val="32"/>
          <w:szCs w:val="32"/>
          <w:lang w:eastAsia="zh-CN"/>
        </w:rPr>
        <w:t>不一致，系接待减少</w:t>
      </w:r>
      <w:r>
        <w:rPr>
          <w:rFonts w:hint="eastAsia" w:ascii="仿宋" w:hAnsi="仿宋" w:eastAsia="仿宋" w:cs="仿宋"/>
          <w:color w:val="000000"/>
          <w:sz w:val="32"/>
          <w:szCs w:val="32"/>
        </w:rPr>
        <w:t>。</w:t>
      </w:r>
    </w:p>
    <w:p>
      <w:pPr>
        <w:spacing w:line="540" w:lineRule="exact"/>
        <w:ind w:firstLine="642" w:firstLineChars="200"/>
        <w:outlineLvl w:val="2"/>
        <w:rPr>
          <w:rFonts w:ascii="仿宋" w:hAnsi="仿宋" w:eastAsia="仿宋" w:cs="仿宋"/>
          <w:b/>
          <w:color w:val="000000"/>
          <w:sz w:val="32"/>
          <w:szCs w:val="32"/>
        </w:rPr>
      </w:pPr>
      <w:bookmarkStart w:id="45" w:name="_Toc15377217"/>
      <w:r>
        <w:rPr>
          <w:rFonts w:hint="eastAsia" w:ascii="仿宋" w:hAnsi="仿宋" w:eastAsia="仿宋" w:cs="仿宋"/>
          <w:b/>
          <w:color w:val="000000"/>
          <w:sz w:val="32"/>
          <w:szCs w:val="32"/>
        </w:rPr>
        <w:t>（二）“三公”经费财政拨款支出决算具体情况说明</w:t>
      </w:r>
      <w:bookmarkEnd w:id="45"/>
    </w:p>
    <w:p>
      <w:pPr>
        <w:spacing w:line="540" w:lineRule="exact"/>
        <w:ind w:firstLine="640"/>
        <w:rPr>
          <w:rFonts w:ascii="仿宋" w:hAnsi="仿宋" w:eastAsia="仿宋" w:cs="仿宋"/>
          <w:color w:val="000000"/>
          <w:sz w:val="32"/>
          <w:szCs w:val="32"/>
        </w:rPr>
      </w:pPr>
      <w:r>
        <w:rPr>
          <w:rFonts w:hint="eastAsia" w:ascii="仿宋" w:hAnsi="仿宋" w:eastAsia="仿宋" w:cs="仿宋"/>
          <w:sz w:val="32"/>
          <w:szCs w:val="32"/>
        </w:rPr>
        <w:t>2020</w:t>
      </w:r>
      <w:r>
        <w:rPr>
          <w:rFonts w:hint="eastAsia" w:ascii="仿宋" w:hAnsi="仿宋" w:eastAsia="仿宋" w:cs="仿宋"/>
          <w:color w:val="000000"/>
          <w:sz w:val="32"/>
          <w:szCs w:val="32"/>
        </w:rPr>
        <w:t>年“三公”经费财政拨款支出决算中，因公出国（境）费支出决算0万元，占0%；公务用车购置及运行维护费支出决算0万元，占0%；公务接待费支出决算</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万元，占100%。具体情况如下：</w:t>
      </w:r>
    </w:p>
    <w:p>
      <w:pPr>
        <w:spacing w:line="600" w:lineRule="exact"/>
        <w:ind w:firstLine="642" w:firstLineChars="200"/>
        <w:rPr>
          <w:rFonts w:ascii="仿宋" w:hAnsi="仿宋" w:eastAsia="仿宋" w:cs="仿宋"/>
          <w:color w:val="000000"/>
          <w:sz w:val="32"/>
          <w:szCs w:val="32"/>
        </w:rPr>
      </w:pPr>
      <w:r>
        <w:rPr>
          <w:rFonts w:hint="eastAsia" w:ascii="仿宋" w:hAnsi="仿宋" w:eastAsia="仿宋" w:cs="仿宋"/>
          <w:b/>
          <w:bCs/>
          <w:color w:val="000000"/>
          <w:sz w:val="32"/>
          <w:szCs w:val="32"/>
        </w:rPr>
        <w:t>1.因公出国（境）经费</w:t>
      </w:r>
      <w:r>
        <w:rPr>
          <w:rFonts w:hint="eastAsia" w:ascii="仿宋" w:hAnsi="仿宋" w:eastAsia="仿宋" w:cs="仿宋"/>
          <w:color w:val="000000"/>
          <w:sz w:val="32"/>
          <w:szCs w:val="32"/>
        </w:rPr>
        <w:t>支出0万元，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Cs/>
          <w:color w:val="000000"/>
          <w:sz w:val="32"/>
          <w:szCs w:val="32"/>
        </w:rPr>
        <w:t>。</w:t>
      </w:r>
      <w:r>
        <w:rPr>
          <w:rFonts w:hint="eastAsia" w:ascii="仿宋" w:hAnsi="仿宋" w:eastAsia="仿宋" w:cs="仿宋"/>
          <w:color w:val="000000"/>
          <w:sz w:val="32"/>
          <w:szCs w:val="32"/>
        </w:rPr>
        <w:t>全年安排因公出国（境）团组0次，出国（境）0人。</w:t>
      </w:r>
    </w:p>
    <w:p>
      <w:pPr>
        <w:spacing w:line="600" w:lineRule="exact"/>
        <w:ind w:firstLine="640"/>
        <w:rPr>
          <w:rFonts w:ascii="仿宋" w:hAnsi="仿宋" w:eastAsia="仿宋" w:cs="仿宋"/>
          <w:b/>
          <w:color w:val="000000"/>
          <w:sz w:val="32"/>
          <w:szCs w:val="32"/>
        </w:rPr>
      </w:pPr>
      <w:r>
        <w:rPr>
          <w:rFonts w:hint="eastAsia" w:ascii="仿宋" w:hAnsi="仿宋" w:eastAsia="仿宋" w:cs="仿宋"/>
          <w:b/>
          <w:bCs/>
          <w:color w:val="000000"/>
          <w:sz w:val="32"/>
          <w:szCs w:val="32"/>
        </w:rPr>
        <w:t>2.公务用车购置及运行维护费</w:t>
      </w:r>
      <w:r>
        <w:rPr>
          <w:rFonts w:hint="eastAsia" w:ascii="仿宋" w:hAnsi="仿宋" w:eastAsia="仿宋" w:cs="仿宋"/>
          <w:color w:val="000000"/>
          <w:sz w:val="32"/>
          <w:szCs w:val="32"/>
        </w:rPr>
        <w:t>支出0万元,</w:t>
      </w:r>
      <w:r>
        <w:rPr>
          <w:rStyle w:val="17"/>
          <w:rFonts w:hint="eastAsia" w:ascii="仿宋" w:hAnsi="仿宋" w:eastAsia="仿宋" w:cs="仿宋"/>
          <w:b w:val="0"/>
          <w:color w:val="000000"/>
          <w:sz w:val="32"/>
          <w:szCs w:val="32"/>
        </w:rPr>
        <w:t>完成预算100%。</w:t>
      </w:r>
      <w:r>
        <w:rPr>
          <w:rStyle w:val="17"/>
          <w:rFonts w:hint="eastAsia" w:ascii="仿宋" w:hAnsi="仿宋" w:eastAsia="仿宋" w:cs="仿宋"/>
          <w:b w:val="0"/>
          <w:bCs/>
          <w:color w:val="000000"/>
          <w:sz w:val="32"/>
          <w:szCs w:val="32"/>
        </w:rPr>
        <w:t>年初无预算</w:t>
      </w:r>
      <w:r>
        <w:rPr>
          <w:rFonts w:hint="eastAsia" w:ascii="仿宋" w:hAnsi="仿宋" w:eastAsia="仿宋" w:cs="仿宋"/>
          <w:color w:val="000000"/>
          <w:sz w:val="32"/>
          <w:szCs w:val="32"/>
        </w:rPr>
        <w:t>公务用车购置及运行维护费。</w:t>
      </w:r>
    </w:p>
    <w:p>
      <w:pPr>
        <w:spacing w:line="600" w:lineRule="exact"/>
        <w:ind w:firstLine="640" w:firstLineChars="200"/>
        <w:rPr>
          <w:rFonts w:ascii="仿宋" w:hAnsi="仿宋" w:eastAsia="仿宋" w:cs="仿宋"/>
          <w:b/>
          <w:color w:val="000000"/>
          <w:sz w:val="32"/>
          <w:szCs w:val="32"/>
        </w:rPr>
      </w:pPr>
      <w:r>
        <w:rPr>
          <w:rFonts w:hint="eastAsia" w:ascii="仿宋" w:hAnsi="仿宋" w:eastAsia="仿宋" w:cs="仿宋"/>
          <w:color w:val="000000"/>
          <w:sz w:val="32"/>
          <w:szCs w:val="32"/>
        </w:rPr>
        <w:t>其中：</w:t>
      </w:r>
      <w:r>
        <w:rPr>
          <w:rFonts w:hint="eastAsia" w:ascii="仿宋" w:hAnsi="仿宋" w:eastAsia="仿宋" w:cs="仿宋"/>
          <w:b/>
          <w:color w:val="000000"/>
          <w:sz w:val="32"/>
          <w:szCs w:val="32"/>
        </w:rPr>
        <w:t>公务用车购置支出</w:t>
      </w:r>
      <w:r>
        <w:rPr>
          <w:rFonts w:hint="eastAsia" w:ascii="仿宋" w:hAnsi="仿宋" w:eastAsia="仿宋" w:cs="仿宋"/>
          <w:color w:val="000000"/>
          <w:sz w:val="32"/>
          <w:szCs w:val="32"/>
        </w:rPr>
        <w:t>0万元。全年按规定更新购置公务用车0辆，其中：轿车0辆、金额0万元，越野车0辆、金额0万元，载客汽车0辆、金额0万元，截至20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年12月底，单位公务用车0辆。</w:t>
      </w:r>
    </w:p>
    <w:p>
      <w:pPr>
        <w:spacing w:line="578" w:lineRule="exact"/>
        <w:ind w:firstLine="642" w:firstLineChars="200"/>
        <w:rPr>
          <w:rFonts w:ascii="仿宋" w:hAnsi="仿宋" w:eastAsia="仿宋" w:cs="仿宋"/>
          <w:b/>
          <w:bCs/>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color w:val="000000"/>
          <w:sz w:val="32"/>
          <w:szCs w:val="32"/>
          <w:lang w:val="en-US" w:eastAsia="zh-CN"/>
        </w:rPr>
        <w:t>3.65</w:t>
      </w:r>
      <w:r>
        <w:rPr>
          <w:rFonts w:hint="eastAsia" w:ascii="仿宋" w:hAnsi="仿宋" w:eastAsia="仿宋" w:cs="仿宋"/>
          <w:color w:val="000000"/>
          <w:sz w:val="32"/>
          <w:szCs w:val="32"/>
        </w:rPr>
        <w:t>万元，</w:t>
      </w:r>
      <w:r>
        <w:rPr>
          <w:rStyle w:val="17"/>
          <w:rFonts w:hint="eastAsia" w:ascii="仿宋" w:hAnsi="仿宋" w:eastAsia="仿宋" w:cs="仿宋"/>
          <w:b w:val="0"/>
          <w:bCs/>
          <w:color w:val="000000"/>
          <w:sz w:val="32"/>
          <w:szCs w:val="32"/>
        </w:rPr>
        <w:t>完成预算</w:t>
      </w:r>
      <w:r>
        <w:rPr>
          <w:rStyle w:val="17"/>
          <w:rFonts w:hint="eastAsia" w:ascii="仿宋" w:hAnsi="仿宋" w:eastAsia="仿宋" w:cs="仿宋"/>
          <w:b w:val="0"/>
          <w:bCs/>
          <w:color w:val="000000"/>
          <w:sz w:val="32"/>
          <w:szCs w:val="32"/>
          <w:lang w:val="en-US" w:eastAsia="zh-CN"/>
        </w:rPr>
        <w:t>63.2</w:t>
      </w:r>
      <w:r>
        <w:rPr>
          <w:rStyle w:val="17"/>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2.31</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40.59</w:t>
      </w:r>
      <w:r>
        <w:rPr>
          <w:rFonts w:hint="eastAsia" w:ascii="仿宋" w:hAnsi="仿宋" w:eastAsia="仿宋" w:cs="仿宋"/>
          <w:color w:val="000000"/>
          <w:sz w:val="32"/>
          <w:szCs w:val="32"/>
        </w:rPr>
        <w:t>%。主要原因是</w:t>
      </w:r>
      <w:r>
        <w:rPr>
          <w:rFonts w:hint="eastAsia" w:ascii="仿宋" w:hAnsi="仿宋" w:eastAsia="仿宋" w:cs="仿宋"/>
          <w:color w:val="000000"/>
          <w:sz w:val="32"/>
          <w:szCs w:val="32"/>
          <w:lang w:eastAsia="zh-CN"/>
        </w:rPr>
        <w:t>赵固镇</w:t>
      </w:r>
      <w:r>
        <w:rPr>
          <w:rFonts w:hint="eastAsia" w:ascii="仿宋" w:hAnsi="仿宋" w:eastAsia="仿宋" w:cs="仿宋"/>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及菜单，财政所才予以报销。</w:t>
      </w: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主要用于执行公务、开展业务活动开支的交通费、住宿费、用餐费等。其中：外事接待费支出0万元。国内公务接待1</w:t>
      </w:r>
      <w:r>
        <w:rPr>
          <w:rFonts w:hint="eastAsia" w:ascii="仿宋" w:hAnsi="仿宋" w:eastAsia="仿宋" w:cs="仿宋"/>
          <w:sz w:val="32"/>
          <w:szCs w:val="32"/>
          <w:lang w:val="en-US" w:eastAsia="zh-CN"/>
        </w:rPr>
        <w:t>87</w:t>
      </w:r>
      <w:r>
        <w:rPr>
          <w:rFonts w:hint="eastAsia" w:ascii="仿宋" w:hAnsi="仿宋" w:eastAsia="仿宋" w:cs="仿宋"/>
          <w:sz w:val="32"/>
          <w:szCs w:val="32"/>
        </w:rPr>
        <w:t>批次，1</w:t>
      </w:r>
      <w:r>
        <w:rPr>
          <w:rFonts w:hint="eastAsia" w:ascii="仿宋" w:hAnsi="仿宋" w:eastAsia="仿宋" w:cs="仿宋"/>
          <w:sz w:val="32"/>
          <w:szCs w:val="32"/>
          <w:lang w:val="en-US" w:eastAsia="zh-CN"/>
        </w:rPr>
        <w:t>2</w:t>
      </w:r>
      <w:r>
        <w:rPr>
          <w:rFonts w:hint="eastAsia" w:ascii="仿宋" w:hAnsi="仿宋" w:eastAsia="仿宋" w:cs="仿宋"/>
          <w:sz w:val="32"/>
          <w:szCs w:val="32"/>
        </w:rPr>
        <w:t>76人，共计支出</w:t>
      </w:r>
      <w:r>
        <w:rPr>
          <w:rFonts w:hint="eastAsia" w:ascii="仿宋" w:hAnsi="仿宋" w:eastAsia="仿宋" w:cs="仿宋"/>
          <w:sz w:val="32"/>
          <w:szCs w:val="32"/>
          <w:lang w:val="en-US" w:eastAsia="zh-CN"/>
        </w:rPr>
        <w:t>3.65</w:t>
      </w:r>
      <w:r>
        <w:rPr>
          <w:rFonts w:hint="eastAsia" w:ascii="仿宋" w:hAnsi="仿宋" w:eastAsia="仿宋" w:cs="仿宋"/>
          <w:sz w:val="32"/>
          <w:szCs w:val="32"/>
        </w:rPr>
        <w:t>万元，具体开支内容包括：开展工作交流，迎检，</w:t>
      </w:r>
      <w:r>
        <w:rPr>
          <w:rFonts w:hint="eastAsia" w:ascii="仿宋" w:hAnsi="仿宋" w:eastAsia="仿宋" w:cs="仿宋"/>
          <w:color w:val="000000"/>
          <w:sz w:val="32"/>
          <w:szCs w:val="32"/>
        </w:rPr>
        <w:t>脱贫攻坚巡查，</w:t>
      </w:r>
      <w:r>
        <w:rPr>
          <w:rFonts w:hint="eastAsia" w:ascii="仿宋" w:hAnsi="仿宋" w:eastAsia="仿宋" w:cs="仿宋"/>
          <w:sz w:val="32"/>
          <w:szCs w:val="32"/>
        </w:rPr>
        <w:t>上级工作指导等方面工作。</w:t>
      </w:r>
    </w:p>
    <w:p>
      <w:pPr>
        <w:spacing w:line="600" w:lineRule="exact"/>
        <w:ind w:firstLine="640"/>
        <w:outlineLvl w:val="1"/>
        <w:rPr>
          <w:rFonts w:ascii="仿宋" w:hAnsi="仿宋" w:eastAsia="仿宋" w:cs="仿宋"/>
          <w:color w:val="000000"/>
          <w:sz w:val="32"/>
          <w:szCs w:val="32"/>
        </w:rPr>
      </w:pPr>
      <w:r>
        <w:rPr>
          <w:rFonts w:hint="eastAsia" w:ascii="仿宋" w:hAnsi="仿宋" w:eastAsia="仿宋" w:cs="仿宋"/>
          <w:color w:val="000000"/>
          <w:sz w:val="32"/>
          <w:szCs w:val="32"/>
        </w:rPr>
        <w:t>外事接待支出0元，外事接待0批次，0人，共计支出0万元。</w:t>
      </w:r>
    </w:p>
    <w:p>
      <w:pPr>
        <w:spacing w:line="578"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其他国内公务接待支出0万元。</w:t>
      </w:r>
    </w:p>
    <w:p>
      <w:pPr>
        <w:spacing w:line="540" w:lineRule="exact"/>
        <w:ind w:firstLine="640"/>
        <w:outlineLvl w:val="1"/>
        <w:rPr>
          <w:rStyle w:val="20"/>
          <w:rFonts w:ascii="方正黑体_GBK" w:hAnsi="Times New Roman"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20"/>
          <w:rFonts w:hint="eastAsia" w:ascii="方正黑体_GBK" w:hAnsi="Times New Roman" w:eastAsia="方正黑体_GBK"/>
          <w:b w:val="0"/>
          <w:color w:val="000000"/>
        </w:rPr>
        <w:t>政府性基金预算支出决算情况说明</w:t>
      </w:r>
      <w:bookmarkEnd w:id="46"/>
      <w:bookmarkEnd w:id="47"/>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95.66</w:t>
      </w:r>
      <w:r>
        <w:rPr>
          <w:rFonts w:hint="eastAsia" w:ascii="仿宋" w:hAnsi="仿宋" w:eastAsia="仿宋" w:cs="仿宋"/>
          <w:color w:val="000000"/>
          <w:sz w:val="32"/>
          <w:szCs w:val="32"/>
        </w:rPr>
        <w:t>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2020年国有资本经营预算拨款支出0万元。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2"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w:t>
      </w:r>
      <w:bookmarkEnd w:id="52"/>
      <w:bookmarkStart w:id="53" w:name="_Toc15377223"/>
      <w:r>
        <w:rPr>
          <w:rFonts w:hint="eastAsia" w:ascii="方正楷体简体" w:eastAsia="方正楷体简体"/>
          <w:b/>
          <w:color w:val="000000"/>
          <w:sz w:val="32"/>
          <w:szCs w:val="32"/>
        </w:rPr>
        <w:t>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w:t>
      </w:r>
      <w:r>
        <w:rPr>
          <w:rFonts w:hint="eastAsia" w:ascii="仿宋_GB2312" w:eastAsia="仿宋_GB2312"/>
          <w:color w:val="000000"/>
          <w:sz w:val="32"/>
          <w:szCs w:val="32"/>
          <w:lang w:eastAsia="zh-CN"/>
        </w:rPr>
        <w:t>赵固镇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万元。主要用于购买打印机</w:t>
      </w:r>
      <w:r>
        <w:rPr>
          <w:rFonts w:hint="eastAsia" w:ascii="仿宋_GB2312" w:eastAsia="仿宋_GB2312"/>
          <w:color w:val="000000"/>
          <w:sz w:val="32"/>
          <w:szCs w:val="32"/>
          <w:lang w:eastAsia="zh-CN"/>
        </w:rPr>
        <w:t>、复印机、电脑、桌子、凳子等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8.25</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2"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赵固镇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sz w:val="32"/>
          <w:szCs w:val="32"/>
        </w:rPr>
        <w:t>场镇垃圾清理用车，但本单位未使用，故未产生公务车运行维护费。</w:t>
      </w:r>
      <w:r>
        <w:rPr>
          <w:rFonts w:hint="eastAsia" w:ascii="仿宋_GB2312" w:eastAsia="仿宋_GB2312"/>
          <w:color w:val="000000" w:themeColor="text1"/>
          <w:sz w:val="32"/>
          <w:szCs w:val="32"/>
          <w14:textFill>
            <w14:solidFill>
              <w14:schemeClr w14:val="tx1"/>
            </w14:solidFill>
          </w14:textFill>
        </w:rPr>
        <w:t>无单价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万元以上通用设备，无单价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p>
    <w:p>
      <w:pPr>
        <w:spacing w:line="540" w:lineRule="exact"/>
        <w:ind w:firstLine="642"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预算项目开展了预算事前绩效评估，对4个项目编制了绩效目标，预算执行过程中，选取4个项目开展绩效监控，年终执行完毕后，对4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1、财力保障环境综合治理项目绩效目标完成情况综述。项目全年预算数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项目支出绩效目标完成情况表（1）</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2020年度财力保障环境综合治理项目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推进环保节能治理，建立健全农村生活垃圾处理长效机制，深入开展环境污染和面源污染治理。</w:t>
            </w:r>
            <w:r>
              <w:rPr>
                <w:rFonts w:hint="eastAsia" w:ascii="宋体" w:hAnsi="宋体" w:cs="宋体"/>
                <w:color w:val="000000"/>
                <w:sz w:val="24"/>
              </w:rPr>
              <w:tab/>
            </w:r>
            <w:r>
              <w:rPr>
                <w:rFonts w:hint="eastAsia" w:ascii="宋体" w:hAnsi="宋体" w:cs="宋体"/>
                <w:color w:val="000000"/>
                <w:sz w:val="24"/>
              </w:rPr>
              <w:tab/>
            </w:r>
            <w:r>
              <w:rPr>
                <w:rFonts w:hint="eastAsia" w:ascii="宋体" w:hAns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落实社区保洁员</w:t>
            </w:r>
            <w:r>
              <w:rPr>
                <w:rFonts w:hint="eastAsia" w:ascii="宋体" w:hAnsi="宋体" w:cs="宋体"/>
                <w:color w:val="000000"/>
                <w:sz w:val="24"/>
                <w:lang w:val="en-US" w:eastAsia="zh-CN"/>
              </w:rPr>
              <w:t>7</w:t>
            </w:r>
            <w:r>
              <w:rPr>
                <w:rFonts w:hint="eastAsia" w:ascii="宋体" w:hAnsi="宋体" w:cs="宋体"/>
                <w:color w:val="000000"/>
                <w:sz w:val="24"/>
              </w:rPr>
              <w:t>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已完成落实社区保洁员</w:t>
            </w:r>
            <w:r>
              <w:rPr>
                <w:rFonts w:hint="eastAsia" w:ascii="宋体" w:hAnsi="宋体" w:cs="宋体"/>
                <w:color w:val="000000"/>
                <w:sz w:val="24"/>
                <w:lang w:val="en-US" w:eastAsia="zh-CN"/>
              </w:rPr>
              <w:t>7</w:t>
            </w:r>
            <w:r>
              <w:rPr>
                <w:rFonts w:hint="eastAsia" w:ascii="宋体" w:hAnsi="宋体" w:cs="宋体"/>
                <w:color w:val="000000"/>
                <w:sz w:val="24"/>
              </w:rPr>
              <w:t>名，各村保洁员1名、宣传标语不低于24幅，会议每月一次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已完成做到场镇和村主要交通路干净，无污水，无垃圾。天天有人清扫做到垃圾日清，及时将垃圾运往佳境环保做无害化处理。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严格按相关要求报账、严格按相关要求报账、严格按相关要求报账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为外来投资商创建一个干净、整治的投资环境，提升XX招商引资能力。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改善了群众的人居环境，提升了幸福生活 指数。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做到了垃圾日清，垃圾池周清。</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促进了全乡环境整治的发展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社会满意度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2、财力保障项促进发展项目绩效目标完成情况综述。项目全年预算数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2</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2020年度财力保障促发展项目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解决556余人出行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已完成涉及621人的出行问题</w:t>
            </w:r>
          </w:p>
        </w:tc>
      </w:tr>
      <w:tr>
        <w:tblPrEx>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严格预算，最后以审计价为准、以当地人工费用标准为准、严格预算，最后以审计价为准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提升运输能力，联通产业发展圈，提高运输迅速，节约运输成本，引起产业规模扩大，增加就业人员的工资水平，提高经济发展。</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方便群众出行，农产品物资运输更加方便快捷，提升物流速度，为社会提供安全便捷的运输条件。</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40" w:lineRule="exact"/>
        <w:ind w:firstLine="640" w:firstLineChars="200"/>
        <w:rPr>
          <w:rFonts w:eastAsia="方正仿宋_GBK"/>
          <w:color w:val="000000"/>
          <w:sz w:val="32"/>
          <w:szCs w:val="32"/>
        </w:rPr>
      </w:pPr>
      <w:r>
        <w:rPr>
          <w:rFonts w:hint="eastAsia" w:ascii="仿宋_GB2312" w:hAnsi="仿宋_GB2312" w:eastAsia="仿宋_GB2312" w:cs="仿宋_GB2312"/>
          <w:sz w:val="32"/>
          <w:szCs w:val="32"/>
        </w:rPr>
        <w:t>3、财力保障</w:t>
      </w:r>
      <w:r>
        <w:rPr>
          <w:rFonts w:hint="eastAsia" w:ascii="仿宋_GB2312" w:hAnsi="仿宋_GB2312" w:eastAsia="仿宋_GB2312" w:cs="仿宋_GB2312"/>
          <w:sz w:val="32"/>
          <w:szCs w:val="32"/>
          <w:lang w:eastAsia="zh-CN"/>
        </w:rPr>
        <w:t>脱贫攻坚</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78"/>
        <w:gridCol w:w="2339"/>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keepNext w:val="0"/>
              <w:keepLines w:val="0"/>
              <w:widowControl/>
              <w:suppressLineNumbers w:val="0"/>
              <w:spacing w:before="0" w:beforeAutospacing="0" w:after="0" w:afterAutospacing="0"/>
              <w:ind w:left="4173" w:leftChars="1310" w:right="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3</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w:t>
            </w:r>
            <w:r>
              <w:rPr>
                <w:rFonts w:hint="eastAsia" w:ascii="宋体" w:hAnsi="宋体" w:cs="宋体"/>
                <w:color w:val="000000"/>
                <w:sz w:val="24"/>
                <w:lang w:val="en-US" w:eastAsia="zh-CN"/>
              </w:rPr>
              <w:t>20</w:t>
            </w:r>
            <w:r>
              <w:rPr>
                <w:rFonts w:hint="eastAsia" w:ascii="宋体" w:hAnsi="宋体" w:cs="宋体"/>
                <w:color w:val="000000"/>
                <w:sz w:val="24"/>
              </w:rPr>
              <w:t>年度财力保障</w:t>
            </w:r>
            <w:r>
              <w:rPr>
                <w:rFonts w:hint="eastAsia" w:ascii="宋体" w:hAnsi="宋体" w:cs="宋体"/>
                <w:color w:val="000000"/>
                <w:sz w:val="24"/>
                <w:lang w:eastAsia="zh-CN"/>
              </w:rPr>
              <w:t>脱贫攻坚</w:t>
            </w:r>
            <w:r>
              <w:rPr>
                <w:rFonts w:hint="eastAsia" w:ascii="宋体" w:hAnsi="宋体" w:cs="宋体"/>
                <w:color w:val="000000"/>
                <w:sz w:val="24"/>
              </w:rPr>
              <w:t>项目</w:t>
            </w:r>
          </w:p>
        </w:tc>
      </w:tr>
      <w:tr>
        <w:tblPrEx>
          <w:tblCellMar>
            <w:top w:w="0" w:type="dxa"/>
            <w:left w:w="0" w:type="dxa"/>
            <w:bottom w:w="0" w:type="dxa"/>
            <w:right w:w="0" w:type="dxa"/>
          </w:tblCellMar>
        </w:tblPrEx>
        <w:trPr>
          <w:trHeight w:val="276" w:hRule="atLeast"/>
        </w:trPr>
        <w:tc>
          <w:tcPr>
            <w:tcW w:w="283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2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lang w:val="en-US" w:eastAsia="zh-CN"/>
              </w:rPr>
              <w:t>26</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244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suppressLineNumbers w:val="0"/>
              <w:spacing w:before="0" w:beforeAutospacing="0" w:after="0" w:afterAutospacing="0"/>
              <w:ind w:left="0" w:right="0"/>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化解遗留问题及临时突发事件，巩固基层组织建设</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数量指标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脱贫攻坚工作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宣传等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rPr>
              <w:t>已完</w:t>
            </w:r>
            <w:r>
              <w:rPr>
                <w:rFonts w:hint="eastAsia" w:ascii="宋体" w:hAnsi="宋体" w:cs="宋体"/>
                <w:color w:val="000000"/>
                <w:sz w:val="24"/>
                <w:lang w:eastAsia="zh-CN"/>
              </w:rPr>
              <w:t>宣传</w:t>
            </w:r>
            <w:r>
              <w:rPr>
                <w:rFonts w:hint="eastAsia" w:ascii="宋体" w:hAnsi="宋体" w:cs="宋体"/>
                <w:color w:val="000000"/>
                <w:sz w:val="24"/>
                <w:lang w:val="en-US" w:eastAsia="zh-CN"/>
              </w:rPr>
              <w:t>20余次，宣传标语100余幅。</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质量指标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账务处理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时效指标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解决存在债务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解决实际债务提高经济。</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已完成相关债务，达到目标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Arial" w:hAnsi="Arial" w:cs="Arial"/>
                <w:color w:val="000000"/>
                <w:sz w:val="24"/>
              </w:rPr>
              <w:t>促进了当地经济发展</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满意度指标</w:t>
            </w:r>
          </w:p>
        </w:tc>
        <w:tc>
          <w:tcPr>
            <w:tcW w:w="233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财力保障信访、维稳、扫黄、除黑、禁毒资金项目绩效目标完成情况综述。项目全年预算数2.74万元，执行数为2.74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0"/>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val="en-US" w:eastAsia="zh-CN"/>
              </w:rPr>
              <w:t>4</w:t>
            </w:r>
            <w:r>
              <w:rPr>
                <w:rFonts w:hint="eastAsia" w:ascii="黑体" w:hAnsi="黑体" w:eastAsia="黑体" w:cs="宋体"/>
                <w:bCs/>
                <w:color w:val="000000"/>
                <w:kern w:val="0"/>
                <w:sz w:val="36"/>
                <w:szCs w:val="36"/>
              </w:rPr>
              <w:t>）</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(2020年度)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lang w:eastAsia="zh-CN"/>
              </w:rPr>
              <w:t>赵固镇</w:t>
            </w:r>
            <w:r>
              <w:rPr>
                <w:rFonts w:hint="eastAsia" w:ascii="宋体" w:hAnsi="宋体" w:cs="宋体"/>
                <w:color w:val="000000"/>
                <w:sz w:val="24"/>
              </w:rPr>
              <w:t>2020年度信访、维稳、扫黄、除黑、禁毒资金项目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达州市达川区</w:t>
            </w:r>
            <w:r>
              <w:rPr>
                <w:rFonts w:hint="eastAsia" w:ascii="宋体" w:hAnsi="宋体" w:cs="宋体"/>
                <w:color w:val="000000"/>
                <w:sz w:val="24"/>
                <w:lang w:eastAsia="zh-CN"/>
              </w:rPr>
              <w:t>赵固镇</w:t>
            </w:r>
            <w:r>
              <w:rPr>
                <w:rFonts w:hint="eastAsia" w:ascii="宋体" w:hAnsi="宋体" w:cs="宋体"/>
                <w:color w:val="000000"/>
                <w:sz w:val="24"/>
              </w:rPr>
              <w:t>人民政府</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万元</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已完成全年开展了宣传活动12次，组织专项行动3次。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rPr>
              <w:t>合理诉求、</w:t>
            </w:r>
            <w:r>
              <w:rPr>
                <w:rFonts w:hint="eastAsia" w:ascii="宋体" w:hAnsi="宋体" w:cs="宋体"/>
                <w:color w:val="000000"/>
                <w:sz w:val="24"/>
                <w:lang w:eastAsia="zh-CN"/>
              </w:rPr>
              <w:t>扫黑除恶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已完成相关任务</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完成率</w:t>
            </w:r>
            <w:r>
              <w:rPr>
                <w:rFonts w:ascii="Arial" w:hAnsi="Arial" w:cs="Arial"/>
                <w:color w:val="000000"/>
                <w:sz w:val="24"/>
              </w:rPr>
              <w:t>≥</w:t>
            </w:r>
            <w:r>
              <w:rPr>
                <w:rFonts w:hint="eastAsia" w:ascii="宋体" w:hAnsi="宋体" w:cs="宋体"/>
                <w:color w:val="000000"/>
                <w:sz w:val="24"/>
              </w:rPr>
              <w:t>100%</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遵守达州市达川区差旅费有关标准、遵守达州市达川区会议费有关标准、遵守达州市达川区政府采购有关标准</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保护投资人的利益不受损害。确保社会平安、稳定。</w:t>
            </w:r>
          </w:p>
        </w:tc>
      </w:tr>
      <w:tr>
        <w:tblPrEx>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合理信访，及时处置，</w:t>
            </w:r>
            <w:r>
              <w:rPr>
                <w:rFonts w:hint="eastAsia" w:ascii="宋体" w:hAnsi="宋体" w:cs="宋体"/>
                <w:color w:val="000000"/>
                <w:sz w:val="24"/>
                <w:lang w:eastAsia="zh-CN"/>
              </w:rPr>
              <w:t>扫黑除恶</w:t>
            </w:r>
            <w:r>
              <w:rPr>
                <w:rFonts w:hint="eastAsia" w:ascii="宋体" w:hAnsi="宋体" w:cs="宋体"/>
                <w:color w:val="000000"/>
                <w:sz w:val="24"/>
              </w:rPr>
              <w:t>，综合治理，塑造了公平、正义、平安、和谐的社会。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w:t>
            </w:r>
          </w:p>
        </w:tc>
      </w:tr>
      <w:tr>
        <w:tblPrEx>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项目效益指标</w:t>
            </w:r>
            <w:r>
              <w:rPr>
                <w:rFonts w:hint="eastAsia" w:ascii="宋体" w:hAns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Arial" w:hAnsi="Arial" w:cs="Arial"/>
                <w:color w:val="000000"/>
                <w:sz w:val="24"/>
              </w:rPr>
              <w:t>已保障工作平稳进行</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       满意度</w:t>
            </w:r>
            <w:r>
              <w:rPr>
                <w:rFonts w:ascii="Arial" w:hAnsi="Arial" w:cs="Arial"/>
                <w:color w:val="000000"/>
                <w:sz w:val="24"/>
              </w:rPr>
              <w: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已达到满意度</w:t>
            </w:r>
            <w:r>
              <w:rPr>
                <w:rFonts w:ascii="Arial" w:hAnsi="Arial" w:cs="Arial"/>
                <w:color w:val="000000"/>
                <w:sz w:val="24"/>
              </w:rPr>
              <w:t>≥</w:t>
            </w:r>
            <w:r>
              <w:rPr>
                <w:rFonts w:hint="eastAsia" w:ascii="宋体" w:hAnsi="宋体" w:cs="宋体"/>
                <w:color w:val="000000"/>
                <w:sz w:val="24"/>
              </w:rPr>
              <w:t>95%</w:t>
            </w:r>
          </w:p>
        </w:tc>
      </w:tr>
    </w:tbl>
    <w:p>
      <w:p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（三）部门开展绩效评价结果。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本部门按要求对2020年部门整体支出绩效评价情况开展自评，《达川区</w:t>
      </w:r>
      <w:r>
        <w:rPr>
          <w:rFonts w:hint="eastAsia" w:ascii="仿宋_GB2312" w:hAnsi="仿宋_GB2312" w:eastAsia="仿宋_GB2312" w:cs="仿宋_GB2312"/>
          <w:sz w:val="32"/>
          <w:szCs w:val="32"/>
          <w:lang w:eastAsia="zh-CN"/>
        </w:rPr>
        <w:t>赵固镇</w:t>
      </w:r>
      <w:r>
        <w:rPr>
          <w:rFonts w:hint="eastAsia" w:ascii="仿宋_GB2312" w:hAnsi="仿宋_GB2312" w:eastAsia="仿宋_GB2312" w:cs="仿宋_GB2312"/>
          <w:sz w:val="32"/>
          <w:szCs w:val="32"/>
        </w:rPr>
        <w:t>部门2020年部门整体支出绩效评价报告》见附件。</w:t>
      </w:r>
    </w:p>
    <w:p>
      <w:pPr>
        <w:spacing w:line="600" w:lineRule="exact"/>
        <w:ind w:firstLine="800" w:firstLineChars="250"/>
        <w:outlineLvl w:val="1"/>
        <w:rPr>
          <w:rFonts w:ascii="黑体" w:hAnsi="黑体" w:eastAsia="黑体"/>
          <w:color w:val="000000"/>
          <w:sz w:val="32"/>
          <w:szCs w:val="32"/>
        </w:rPr>
      </w:pPr>
      <w:r>
        <w:rPr>
          <w:rFonts w:hint="eastAsia" w:ascii="仿宋_GB2312" w:hAnsi="仿宋_GB2312" w:eastAsia="仿宋_GB2312" w:cs="仿宋_GB2312"/>
          <w:sz w:val="32"/>
          <w:szCs w:val="32"/>
        </w:rPr>
        <w:t>本部门自行组织对财力保障项目开展了绩效评价，《</w:t>
      </w:r>
      <w:r>
        <w:rPr>
          <w:rFonts w:hint="eastAsia" w:ascii="仿宋_GB2312" w:hAnsi="仿宋_GB2312" w:eastAsia="仿宋_GB2312" w:cs="仿宋_GB2312"/>
          <w:sz w:val="32"/>
          <w:szCs w:val="32"/>
          <w:lang w:eastAsia="zh-CN"/>
        </w:rPr>
        <w:t>赵固镇</w:t>
      </w:r>
      <w:r>
        <w:rPr>
          <w:rFonts w:hint="eastAsia" w:ascii="仿宋_GB2312" w:hAnsi="仿宋_GB2312" w:eastAsia="仿宋_GB2312" w:cs="仿宋_GB2312"/>
          <w:sz w:val="32"/>
          <w:szCs w:val="32"/>
        </w:rPr>
        <w:t>2020项目年绩效评价报告》见附件。</w:t>
      </w:r>
    </w:p>
    <w:p>
      <w:pPr>
        <w:spacing w:line="600" w:lineRule="exact"/>
        <w:jc w:val="center"/>
        <w:outlineLvl w:val="0"/>
        <w:rPr>
          <w:rFonts w:ascii="黑体" w:hAns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hAnsi="黑体" w:eastAsia="黑体"/>
          <w:b/>
          <w:color w:val="000000"/>
          <w:sz w:val="44"/>
          <w:szCs w:val="44"/>
        </w:rPr>
        <w:t>第三部分名</w:t>
      </w:r>
      <w:r>
        <w:rPr>
          <w:rStyle w:val="33"/>
          <w:rFonts w:hint="eastAsia" w:ascii="黑体" w:hAns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7"/>
          <w:rFonts w:ascii="仿宋" w:hAns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7"/>
          <w:rFonts w:hint="eastAsia" w:ascii="仿宋" w:hAns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3"/>
        </w:rPr>
      </w:pPr>
      <w:bookmarkStart w:id="55" w:name="_Toc15377226"/>
      <w:r>
        <w:rPr>
          <w:rFonts w:hint="eastAsia" w:ascii="黑体" w:hAnsi="黑体" w:eastAsia="黑体"/>
          <w:color w:val="000000"/>
          <w:sz w:val="44"/>
          <w:szCs w:val="44"/>
        </w:rPr>
        <w:t>第</w:t>
      </w:r>
      <w:r>
        <w:rPr>
          <w:rStyle w:val="33"/>
          <w:rFonts w:hint="eastAsia" w:ascii="黑体" w:hAnsi="黑体" w:eastAsia="黑体"/>
          <w:b w:val="0"/>
        </w:rPr>
        <w:t>四部分 附件</w:t>
      </w:r>
    </w:p>
    <w:p>
      <w:pPr>
        <w:pStyle w:val="5"/>
        <w:rPr>
          <w:rStyle w:val="33"/>
          <w:rFonts w:hint="eastAsia" w:ascii="仿宋" w:hAnsi="仿宋" w:eastAsia="仿宋"/>
          <w:b w:val="0"/>
          <w:bCs w:val="0"/>
          <w:sz w:val="32"/>
          <w:szCs w:val="32"/>
          <w:lang w:val="en-US" w:eastAsia="zh-CN"/>
        </w:rPr>
      </w:pPr>
      <w:bookmarkStart w:id="56" w:name="_Toc15396615"/>
      <w:r>
        <w:rPr>
          <w:rStyle w:val="33"/>
          <w:rFonts w:hint="eastAsia" w:ascii="仿宋" w:hAnsi="仿宋" w:eastAsia="仿宋"/>
          <w:b w:val="0"/>
          <w:bCs w:val="0"/>
          <w:sz w:val="32"/>
          <w:szCs w:val="32"/>
        </w:rPr>
        <w:t>附件</w:t>
      </w:r>
      <w:bookmarkEnd w:id="56"/>
      <w:r>
        <w:rPr>
          <w:rStyle w:val="33"/>
          <w:rFonts w:hint="eastAsia" w:ascii="仿宋" w:hAnsi="仿宋" w:eastAsia="仿宋"/>
          <w:b w:val="0"/>
          <w:bCs w:val="0"/>
          <w:sz w:val="32"/>
          <w:szCs w:val="32"/>
          <w:lang w:val="en-US" w:eastAsia="zh-CN"/>
        </w:rPr>
        <w:t>1</w:t>
      </w:r>
    </w:p>
    <w:p>
      <w:pPr>
        <w:spacing w:line="600" w:lineRule="exact"/>
        <w:jc w:val="center"/>
        <w:outlineLvl w:val="0"/>
        <w:rPr>
          <w:rStyle w:val="33"/>
          <w:rFonts w:hint="eastAsia" w:ascii="仿宋" w:hAnsi="仿宋" w:eastAsia="仿宋"/>
          <w:b w:val="0"/>
          <w:bCs w:val="0"/>
          <w:sz w:val="32"/>
          <w:szCs w:val="32"/>
        </w:rPr>
      </w:pPr>
      <w:bookmarkStart w:id="57" w:name="_Toc15396616"/>
      <w:r>
        <w:rPr>
          <w:rFonts w:hint="eastAsia" w:ascii="黑体" w:hAnsi="黑体" w:eastAsia="黑体" w:cs="黑体"/>
          <w:sz w:val="44"/>
          <w:szCs w:val="44"/>
        </w:rPr>
        <w:t>关于20</w:t>
      </w:r>
      <w:r>
        <w:rPr>
          <w:rFonts w:hint="eastAsia" w:ascii="黑体" w:hAnsi="黑体" w:eastAsia="黑体" w:cs="黑体"/>
          <w:sz w:val="44"/>
          <w:szCs w:val="44"/>
          <w:lang w:val="en-US" w:eastAsia="zh-CN"/>
        </w:rPr>
        <w:t>20</w:t>
      </w:r>
      <w:r>
        <w:rPr>
          <w:rFonts w:hint="eastAsia" w:ascii="黑体" w:hAnsi="黑体" w:eastAsia="黑体" w:cs="黑体"/>
          <w:sz w:val="44"/>
          <w:szCs w:val="44"/>
        </w:rPr>
        <w:t>年度部门整体支出绩效自评报告</w:t>
      </w:r>
    </w:p>
    <w:bookmarkEnd w:id="57"/>
    <w:p>
      <w:pPr>
        <w:spacing w:line="578" w:lineRule="exact"/>
        <w:ind w:firstLine="800" w:firstLineChars="250"/>
        <w:rPr>
          <w:rFonts w:hint="eastAsia" w:ascii="仿宋" w:hAnsi="仿宋" w:eastAsia="仿宋" w:cs="仿宋"/>
          <w:sz w:val="32"/>
          <w:szCs w:val="32"/>
        </w:rPr>
      </w:pPr>
      <w:bookmarkStart w:id="58" w:name="_Toc15396618"/>
    </w:p>
    <w:p>
      <w:pPr>
        <w:spacing w:line="578" w:lineRule="exact"/>
        <w:rPr>
          <w:rFonts w:hint="eastAsia" w:ascii="仿宋" w:hAnsi="仿宋" w:eastAsia="仿宋" w:cs="仿宋"/>
          <w:sz w:val="32"/>
          <w:szCs w:val="32"/>
        </w:rPr>
      </w:pPr>
      <w:r>
        <w:rPr>
          <w:rFonts w:hint="eastAsia" w:ascii="仿宋" w:hAnsi="仿宋" w:eastAsia="仿宋" w:cs="仿宋"/>
          <w:sz w:val="32"/>
          <w:szCs w:val="32"/>
        </w:rPr>
        <w:t xml:space="preserve">    按照区委区政府全面推进财政绩效管理，进一步强化支出责任，着力提高财政资金使用效益，结合自身实际，特对我镇20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年度部门整体支出绩效自评报告如下：</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一、部门概况</w:t>
      </w:r>
    </w:p>
    <w:p>
      <w:pPr>
        <w:spacing w:line="578"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达州市达川区</w:t>
      </w:r>
      <w:r>
        <w:rPr>
          <w:rFonts w:hint="eastAsia" w:ascii="仿宋" w:hAnsi="仿宋" w:eastAsia="仿宋" w:cs="仿宋"/>
          <w:sz w:val="32"/>
          <w:szCs w:val="32"/>
          <w:lang w:eastAsia="zh-CN"/>
        </w:rPr>
        <w:t>赵固镇</w:t>
      </w:r>
      <w:r>
        <w:rPr>
          <w:rFonts w:hint="eastAsia" w:ascii="仿宋" w:hAnsi="仿宋" w:eastAsia="仿宋" w:cs="仿宋"/>
          <w:sz w:val="32"/>
          <w:szCs w:val="32"/>
        </w:rPr>
        <w:t>位于达城</w:t>
      </w:r>
      <w:r>
        <w:rPr>
          <w:rFonts w:hint="eastAsia" w:ascii="仿宋" w:hAnsi="仿宋" w:eastAsia="仿宋" w:cs="仿宋"/>
          <w:sz w:val="32"/>
          <w:szCs w:val="32"/>
          <w:lang w:eastAsia="zh-CN"/>
        </w:rPr>
        <w:t>西部</w:t>
      </w:r>
      <w:r>
        <w:rPr>
          <w:rFonts w:hint="eastAsia" w:ascii="仿宋" w:hAnsi="仿宋" w:eastAsia="仿宋" w:cs="仿宋"/>
          <w:sz w:val="32"/>
          <w:szCs w:val="32"/>
        </w:rPr>
        <w:t>，距达州市主城区</w:t>
      </w:r>
      <w:r>
        <w:rPr>
          <w:rFonts w:hint="eastAsia" w:ascii="仿宋" w:hAnsi="仿宋" w:eastAsia="仿宋" w:cs="仿宋"/>
          <w:sz w:val="32"/>
          <w:szCs w:val="32"/>
          <w:lang w:val="en-US" w:eastAsia="zh-CN"/>
        </w:rPr>
        <w:t>38</w:t>
      </w:r>
      <w:r>
        <w:rPr>
          <w:rFonts w:hint="eastAsia" w:ascii="仿宋" w:hAnsi="仿宋" w:eastAsia="仿宋" w:cs="仿宋"/>
          <w:sz w:val="32"/>
          <w:szCs w:val="32"/>
        </w:rPr>
        <w:t>公里，幅员面积</w:t>
      </w:r>
      <w:r>
        <w:rPr>
          <w:rFonts w:hint="eastAsia" w:ascii="仿宋" w:hAnsi="仿宋" w:eastAsia="仿宋" w:cs="仿宋"/>
          <w:sz w:val="32"/>
          <w:szCs w:val="32"/>
          <w:lang w:val="en-US" w:eastAsia="zh-CN"/>
        </w:rPr>
        <w:t>52</w:t>
      </w:r>
      <w:r>
        <w:rPr>
          <w:rFonts w:hint="eastAsia" w:ascii="仿宋" w:hAnsi="仿宋" w:eastAsia="仿宋" w:cs="仿宋"/>
          <w:sz w:val="32"/>
          <w:szCs w:val="32"/>
        </w:rPr>
        <w:t>平方公里。全镇总人口</w:t>
      </w:r>
      <w:r>
        <w:rPr>
          <w:rFonts w:hint="eastAsia" w:ascii="仿宋" w:hAnsi="仿宋" w:eastAsia="仿宋" w:cs="仿宋"/>
          <w:sz w:val="32"/>
          <w:szCs w:val="32"/>
          <w:lang w:val="en-US" w:eastAsia="zh-CN"/>
        </w:rPr>
        <w:t>2.3万</w:t>
      </w:r>
      <w:r>
        <w:rPr>
          <w:rFonts w:hint="eastAsia" w:ascii="仿宋" w:hAnsi="仿宋" w:eastAsia="仿宋" w:cs="仿宋"/>
          <w:sz w:val="32"/>
          <w:szCs w:val="32"/>
        </w:rPr>
        <w:t>人。辖区有</w:t>
      </w:r>
      <w:r>
        <w:rPr>
          <w:rFonts w:hint="eastAsia" w:ascii="仿宋" w:hAnsi="仿宋" w:eastAsia="仿宋" w:cs="仿宋"/>
          <w:sz w:val="32"/>
          <w:szCs w:val="32"/>
          <w:lang w:eastAsia="zh-CN"/>
        </w:rPr>
        <w:t>锤虹村、磨滩河村、谷王村、兴隆村、天坪村、普安村、茶岩村、水文村、南井村</w:t>
      </w:r>
      <w:r>
        <w:rPr>
          <w:rFonts w:hint="eastAsia" w:ascii="仿宋" w:hAnsi="仿宋" w:eastAsia="仿宋" w:cs="仿宋"/>
          <w:sz w:val="32"/>
          <w:szCs w:val="32"/>
          <w:lang w:val="en-US" w:eastAsia="zh-CN"/>
        </w:rPr>
        <w:t>9</w:t>
      </w:r>
      <w:r>
        <w:rPr>
          <w:rFonts w:hint="eastAsia" w:ascii="仿宋" w:hAnsi="仿宋" w:eastAsia="仿宋" w:cs="仿宋"/>
          <w:sz w:val="32"/>
          <w:szCs w:val="32"/>
        </w:rPr>
        <w:t>个行政村和1个街道社区</w:t>
      </w:r>
      <w:r>
        <w:rPr>
          <w:rFonts w:hint="eastAsia" w:ascii="仿宋" w:hAnsi="仿宋" w:eastAsia="仿宋" w:cs="仿宋"/>
          <w:sz w:val="32"/>
          <w:szCs w:val="32"/>
          <w:lang w:val="en-US" w:eastAsia="zh-CN"/>
        </w:rPr>
        <w:t>81</w:t>
      </w:r>
      <w:r>
        <w:rPr>
          <w:rFonts w:hint="eastAsia" w:ascii="仿宋" w:hAnsi="仿宋" w:eastAsia="仿宋" w:cs="仿宋"/>
          <w:sz w:val="32"/>
          <w:szCs w:val="32"/>
        </w:rPr>
        <w:t>个村民小组。</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（一）机构组成</w:t>
      </w:r>
    </w:p>
    <w:p>
      <w:pPr>
        <w:spacing w:line="578"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达州市达川区</w:t>
      </w:r>
      <w:r>
        <w:rPr>
          <w:rFonts w:hint="eastAsia" w:ascii="仿宋" w:hAnsi="仿宋" w:eastAsia="仿宋" w:cs="仿宋"/>
          <w:sz w:val="32"/>
          <w:szCs w:val="32"/>
          <w:lang w:val="en-US" w:eastAsia="zh-CN"/>
        </w:rPr>
        <w:t>赵固镇</w:t>
      </w:r>
      <w:r>
        <w:rPr>
          <w:rFonts w:hint="eastAsia" w:ascii="仿宋" w:hAnsi="仿宋" w:eastAsia="仿宋" w:cs="仿宋"/>
          <w:sz w:val="32"/>
          <w:szCs w:val="32"/>
        </w:rPr>
        <w:t>人民政府为四级行政单位，属于全额拨款行政单位，机关包括党委、政府、人大、政协联络组四个领导机构及</w:t>
      </w:r>
      <w:r>
        <w:rPr>
          <w:rFonts w:hint="eastAsia" w:ascii="仿宋" w:hAnsi="仿宋" w:eastAsia="仿宋" w:cs="仿宋"/>
          <w:sz w:val="32"/>
          <w:szCs w:val="32"/>
          <w:lang w:val="en-US" w:eastAsia="zh-CN"/>
        </w:rPr>
        <w:t>四</w:t>
      </w:r>
      <w:r>
        <w:rPr>
          <w:rFonts w:hint="eastAsia" w:ascii="仿宋" w:hAnsi="仿宋" w:eastAsia="仿宋" w:cs="仿宋"/>
          <w:sz w:val="32"/>
          <w:szCs w:val="32"/>
        </w:rPr>
        <w:t>个中心，即：便民服务中心、农民工服务中心、农业综合服务中心、社会事业发展中心。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（二）机构职能</w:t>
      </w:r>
    </w:p>
    <w:p>
      <w:pPr>
        <w:pStyle w:val="14"/>
        <w:shd w:val="clear" w:color="auto" w:fill="FFFFFF"/>
        <w:spacing w:before="0" w:beforeAutospacing="0" w:after="0" w:afterAutospacing="0" w:line="540" w:lineRule="exact"/>
        <w:ind w:firstLine="640" w:firstLineChars="200"/>
        <w:contextualSpacing/>
        <w:rPr>
          <w:rFonts w:hint="eastAsia" w:ascii="仿宋" w:hAnsi="仿宋" w:eastAsia="仿宋" w:cs="仿宋"/>
          <w:sz w:val="32"/>
          <w:szCs w:val="32"/>
        </w:rPr>
      </w:pPr>
      <w:r>
        <w:rPr>
          <w:rFonts w:hint="eastAsia" w:ascii="仿宋" w:hAnsi="仿宋" w:eastAsia="仿宋" w:cs="仿宋"/>
          <w:sz w:val="32"/>
          <w:szCs w:val="32"/>
          <w:lang w:val="en-US" w:eastAsia="zh-CN"/>
        </w:rPr>
        <w:t>达川区</w:t>
      </w:r>
      <w:r>
        <w:rPr>
          <w:rFonts w:hint="eastAsia" w:ascii="仿宋" w:hAnsi="仿宋" w:eastAsia="仿宋" w:cs="仿宋"/>
          <w:sz w:val="32"/>
          <w:szCs w:val="32"/>
          <w:lang w:eastAsia="zh-CN"/>
        </w:rPr>
        <w:t>赵固镇</w:t>
      </w:r>
      <w:r>
        <w:rPr>
          <w:rFonts w:hint="eastAsia" w:ascii="仿宋" w:hAnsi="仿宋" w:eastAsia="仿宋" w:cs="仿宋"/>
          <w:sz w:val="32"/>
          <w:szCs w:val="32"/>
        </w:rPr>
        <w:t>政府主要职责、职能为贯彻落实党和政府各项路线方针政策;维护社会稳定，促进经济发展，不断提高人民群众的生活水平，全心全意为人民服务。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hAnsi="仿宋" w:eastAsia="仿宋" w:cs="仿宋"/>
          <w:sz w:val="32"/>
          <w:szCs w:val="32"/>
          <w:lang w:eastAsia="zh-CN"/>
        </w:rPr>
        <w:t>赵固镇</w:t>
      </w:r>
      <w:r>
        <w:rPr>
          <w:rFonts w:hint="eastAsia" w:ascii="仿宋" w:hAnsi="仿宋" w:eastAsia="仿宋" w:cs="仿宋"/>
          <w:sz w:val="32"/>
          <w:szCs w:val="32"/>
        </w:rPr>
        <w:t>经济发展、改善人民生活、保持农村社会稳定、偿还乡镇和村级债务、搞好场镇建设和加快新农村基础设施建设工作。</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（三）人员概况</w:t>
      </w:r>
    </w:p>
    <w:p>
      <w:pPr>
        <w:spacing w:line="540" w:lineRule="exact"/>
        <w:ind w:firstLine="600"/>
        <w:rPr>
          <w:rFonts w:hint="eastAsia" w:ascii="仿宋" w:hAnsi="仿宋" w:eastAsia="仿宋" w:cs="仿宋"/>
          <w:sz w:val="32"/>
          <w:szCs w:val="32"/>
        </w:rPr>
      </w:pPr>
      <w:r>
        <w:rPr>
          <w:rFonts w:hint="eastAsia" w:ascii="仿宋" w:hAnsi="仿宋" w:eastAsia="仿宋" w:cs="仿宋"/>
          <w:sz w:val="32"/>
          <w:szCs w:val="32"/>
        </w:rPr>
        <w:t>本单位编制人数</w:t>
      </w:r>
      <w:r>
        <w:rPr>
          <w:rFonts w:hint="eastAsia" w:ascii="仿宋" w:hAnsi="仿宋" w:eastAsia="仿宋" w:cs="仿宋"/>
          <w:sz w:val="32"/>
          <w:szCs w:val="32"/>
          <w:lang w:val="en-US" w:eastAsia="zh-CN"/>
        </w:rPr>
        <w:t>48</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27</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21</w:t>
      </w:r>
      <w:r>
        <w:rPr>
          <w:rFonts w:hint="eastAsia" w:ascii="仿宋" w:hAnsi="仿宋" w:eastAsia="仿宋" w:cs="仿宋"/>
          <w:sz w:val="32"/>
          <w:szCs w:val="32"/>
        </w:rPr>
        <w:t>人。实有行政人数</w:t>
      </w:r>
      <w:r>
        <w:rPr>
          <w:rFonts w:hint="eastAsia" w:ascii="仿宋" w:hAnsi="仿宋" w:eastAsia="仿宋" w:cs="仿宋"/>
          <w:sz w:val="32"/>
          <w:szCs w:val="32"/>
          <w:lang w:val="en-US" w:eastAsia="zh-CN"/>
        </w:rPr>
        <w:t>18</w:t>
      </w:r>
      <w:r>
        <w:rPr>
          <w:rFonts w:hint="eastAsia" w:ascii="仿宋" w:hAnsi="仿宋" w:eastAsia="仿宋" w:cs="仿宋"/>
          <w:sz w:val="32"/>
          <w:szCs w:val="32"/>
        </w:rPr>
        <w:t>人，其中行政工勤人数</w:t>
      </w:r>
      <w:r>
        <w:rPr>
          <w:rFonts w:hint="eastAsia" w:ascii="仿宋" w:hAnsi="仿宋" w:eastAsia="仿宋" w:cs="仿宋"/>
          <w:sz w:val="32"/>
          <w:szCs w:val="32"/>
          <w:lang w:val="en-US" w:eastAsia="zh-CN"/>
        </w:rPr>
        <w:t>1</w:t>
      </w:r>
      <w:r>
        <w:rPr>
          <w:rFonts w:hint="eastAsia" w:ascii="仿宋" w:hAnsi="仿宋" w:eastAsia="仿宋" w:cs="仿宋"/>
          <w:sz w:val="32"/>
          <w:szCs w:val="32"/>
        </w:rPr>
        <w:t>人；事业人数</w:t>
      </w:r>
      <w:r>
        <w:rPr>
          <w:rFonts w:hint="eastAsia" w:ascii="仿宋" w:hAnsi="仿宋" w:eastAsia="仿宋" w:cs="仿宋"/>
          <w:sz w:val="32"/>
          <w:szCs w:val="32"/>
          <w:lang w:val="en-US" w:eastAsia="zh-CN"/>
        </w:rPr>
        <w:t>21</w:t>
      </w:r>
      <w:r>
        <w:rPr>
          <w:rFonts w:hint="eastAsia" w:ascii="仿宋" w:hAnsi="仿宋" w:eastAsia="仿宋" w:cs="仿宋"/>
          <w:sz w:val="32"/>
          <w:szCs w:val="32"/>
        </w:rPr>
        <w:t>人。行政单位离退休</w:t>
      </w:r>
      <w:r>
        <w:rPr>
          <w:rFonts w:hint="eastAsia" w:ascii="仿宋" w:hAnsi="仿宋" w:eastAsia="仿宋" w:cs="仿宋"/>
          <w:sz w:val="32"/>
          <w:szCs w:val="32"/>
          <w:lang w:val="en-US" w:eastAsia="zh-CN"/>
        </w:rPr>
        <w:t>16</w:t>
      </w:r>
      <w:r>
        <w:rPr>
          <w:rFonts w:hint="eastAsia" w:ascii="仿宋" w:hAnsi="仿宋" w:eastAsia="仿宋" w:cs="仿宋"/>
          <w:sz w:val="32"/>
          <w:szCs w:val="32"/>
        </w:rPr>
        <w:t>人，事业单位离退休</w:t>
      </w:r>
      <w:r>
        <w:rPr>
          <w:rFonts w:hint="eastAsia" w:ascii="仿宋" w:hAnsi="仿宋" w:eastAsia="仿宋" w:cs="仿宋"/>
          <w:sz w:val="32"/>
          <w:szCs w:val="32"/>
          <w:lang w:val="en-US" w:eastAsia="zh-CN"/>
        </w:rPr>
        <w:t>6</w:t>
      </w:r>
      <w:r>
        <w:rPr>
          <w:rFonts w:hint="eastAsia" w:ascii="仿宋" w:hAnsi="仿宋" w:eastAsia="仿宋" w:cs="仿宋"/>
          <w:sz w:val="32"/>
          <w:szCs w:val="32"/>
        </w:rPr>
        <w:t>人。享受遗属补贴</w:t>
      </w:r>
      <w:r>
        <w:rPr>
          <w:rFonts w:hint="eastAsia" w:ascii="仿宋" w:hAnsi="仿宋" w:eastAsia="仿宋" w:cs="仿宋"/>
          <w:sz w:val="32"/>
          <w:szCs w:val="32"/>
          <w:lang w:val="en-US" w:eastAsia="zh-CN"/>
        </w:rPr>
        <w:t>1</w:t>
      </w:r>
      <w:r>
        <w:rPr>
          <w:rFonts w:hint="eastAsia" w:ascii="仿宋" w:hAnsi="仿宋" w:eastAsia="仿宋" w:cs="仿宋"/>
          <w:sz w:val="32"/>
          <w:szCs w:val="32"/>
        </w:rPr>
        <w:t>人。</w:t>
      </w:r>
    </w:p>
    <w:p>
      <w:pPr>
        <w:widowControl/>
        <w:adjustRightInd w:val="0"/>
        <w:snapToGrid w:val="0"/>
        <w:spacing w:line="580" w:lineRule="exact"/>
        <w:ind w:firstLine="640" w:firstLineChars="200"/>
        <w:contextualSpacing/>
        <w:jc w:val="left"/>
        <w:rPr>
          <w:rFonts w:hint="eastAsia"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年部门财政资金收支情况</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（一）部门财政资金收入情况</w:t>
      </w:r>
    </w:p>
    <w:p>
      <w:pPr>
        <w:spacing w:line="578" w:lineRule="exact"/>
        <w:ind w:firstLine="627" w:firstLineChars="196"/>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赵固镇</w:t>
      </w:r>
      <w:r>
        <w:rPr>
          <w:rFonts w:hint="eastAsia" w:ascii="仿宋" w:hAnsi="仿宋" w:eastAsia="仿宋" w:cs="仿宋"/>
          <w:sz w:val="32"/>
          <w:szCs w:val="32"/>
        </w:rPr>
        <w:t>财政拨款收入</w:t>
      </w:r>
      <w:r>
        <w:rPr>
          <w:rFonts w:hint="eastAsia" w:ascii="仿宋" w:hAnsi="仿宋" w:eastAsia="仿宋" w:cs="仿宋"/>
          <w:color w:val="000000"/>
          <w:sz w:val="32"/>
          <w:szCs w:val="32"/>
          <w:lang w:val="en-US" w:eastAsia="zh-CN"/>
        </w:rPr>
        <w:t>1536.6</w:t>
      </w:r>
      <w:r>
        <w:rPr>
          <w:rFonts w:hint="eastAsia" w:ascii="仿宋" w:hAnsi="仿宋" w:eastAsia="仿宋" w:cs="仿宋"/>
          <w:sz w:val="32"/>
          <w:szCs w:val="32"/>
        </w:rPr>
        <w:t>万元，其中：一般公共预算财政拨款</w:t>
      </w:r>
      <w:r>
        <w:rPr>
          <w:rFonts w:hint="eastAsia" w:ascii="仿宋" w:hAnsi="仿宋" w:eastAsia="仿宋" w:cs="仿宋"/>
          <w:color w:val="000000"/>
          <w:sz w:val="32"/>
          <w:szCs w:val="32"/>
          <w:lang w:val="en-US" w:eastAsia="zh-CN"/>
        </w:rPr>
        <w:t>1460.937</w:t>
      </w:r>
      <w:r>
        <w:rPr>
          <w:rFonts w:hint="eastAsia" w:ascii="仿宋" w:hAnsi="仿宋" w:eastAsia="仿宋" w:cs="仿宋"/>
          <w:sz w:val="32"/>
          <w:szCs w:val="32"/>
        </w:rPr>
        <w:t>万元，政府性基金预算财政拨款</w:t>
      </w:r>
      <w:r>
        <w:rPr>
          <w:rFonts w:hint="eastAsia" w:ascii="仿宋" w:hAnsi="仿宋" w:eastAsia="仿宋" w:cs="仿宋"/>
          <w:color w:val="000000"/>
          <w:sz w:val="32"/>
          <w:szCs w:val="32"/>
          <w:lang w:val="en-US" w:eastAsia="zh-CN"/>
        </w:rPr>
        <w:t>75.663</w:t>
      </w:r>
      <w:r>
        <w:rPr>
          <w:rFonts w:hint="eastAsia" w:ascii="仿宋" w:hAnsi="仿宋" w:eastAsia="仿宋" w:cs="仿宋"/>
          <w:sz w:val="32"/>
          <w:szCs w:val="32"/>
        </w:rPr>
        <w:t>万元。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（二）部门财政资金支出情况</w:t>
      </w:r>
    </w:p>
    <w:p>
      <w:pPr>
        <w:spacing w:line="578"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年达州市达川区</w:t>
      </w:r>
      <w:r>
        <w:rPr>
          <w:rFonts w:hint="eastAsia" w:ascii="仿宋" w:hAnsi="仿宋" w:eastAsia="仿宋" w:cs="仿宋"/>
          <w:bCs/>
          <w:sz w:val="32"/>
          <w:szCs w:val="32"/>
          <w:lang w:val="en-US" w:eastAsia="zh-CN"/>
        </w:rPr>
        <w:t>赵固镇</w:t>
      </w:r>
      <w:r>
        <w:rPr>
          <w:rFonts w:hint="eastAsia" w:ascii="仿宋" w:hAnsi="仿宋" w:eastAsia="仿宋" w:cs="仿宋"/>
          <w:bCs/>
          <w:sz w:val="32"/>
          <w:szCs w:val="32"/>
        </w:rPr>
        <w:t>人民政府本级本年支出</w:t>
      </w:r>
      <w:r>
        <w:rPr>
          <w:rFonts w:hint="eastAsia" w:ascii="仿宋" w:hAnsi="仿宋" w:eastAsia="仿宋" w:cs="仿宋"/>
          <w:bCs/>
          <w:color w:val="000000"/>
          <w:sz w:val="32"/>
          <w:szCs w:val="32"/>
          <w:lang w:val="en-US" w:eastAsia="zh-CN"/>
        </w:rPr>
        <w:t>1536.6</w:t>
      </w:r>
      <w:r>
        <w:rPr>
          <w:rFonts w:hint="eastAsia" w:ascii="仿宋" w:hAnsi="仿宋" w:eastAsia="仿宋" w:cs="仿宋"/>
          <w:bCs/>
          <w:sz w:val="32"/>
          <w:szCs w:val="32"/>
        </w:rPr>
        <w:t>万元，其中：基本支出</w:t>
      </w:r>
      <w:r>
        <w:rPr>
          <w:rFonts w:hint="eastAsia" w:ascii="仿宋" w:hAnsi="仿宋" w:eastAsia="仿宋" w:cs="仿宋"/>
          <w:bCs/>
          <w:color w:val="000000"/>
          <w:sz w:val="32"/>
          <w:szCs w:val="32"/>
          <w:lang w:val="en-US" w:eastAsia="zh-CN"/>
        </w:rPr>
        <w:t>1117.61</w:t>
      </w:r>
      <w:r>
        <w:rPr>
          <w:rFonts w:hint="eastAsia" w:ascii="仿宋" w:hAnsi="仿宋" w:eastAsia="仿宋" w:cs="仿宋"/>
          <w:bCs/>
          <w:sz w:val="32"/>
          <w:szCs w:val="32"/>
        </w:rPr>
        <w:t>万元（人员经费</w:t>
      </w:r>
      <w:r>
        <w:rPr>
          <w:rFonts w:hint="eastAsia" w:ascii="仿宋" w:hAnsi="仿宋" w:eastAsia="仿宋" w:cs="仿宋"/>
          <w:bCs/>
          <w:color w:val="000000"/>
          <w:sz w:val="32"/>
          <w:szCs w:val="32"/>
          <w:lang w:val="en-US" w:eastAsia="zh-CN"/>
        </w:rPr>
        <w:t>893.52</w:t>
      </w:r>
      <w:r>
        <w:rPr>
          <w:rFonts w:hint="eastAsia" w:ascii="仿宋" w:hAnsi="仿宋" w:eastAsia="仿宋" w:cs="仿宋"/>
          <w:bCs/>
          <w:sz w:val="32"/>
          <w:szCs w:val="32"/>
        </w:rPr>
        <w:t>万元和日常公用经费</w:t>
      </w:r>
      <w:r>
        <w:rPr>
          <w:rFonts w:hint="eastAsia" w:ascii="仿宋" w:hAnsi="仿宋" w:eastAsia="仿宋" w:cs="仿宋"/>
          <w:bCs/>
          <w:color w:val="000000"/>
          <w:sz w:val="32"/>
          <w:szCs w:val="32"/>
          <w:lang w:val="en-US" w:eastAsia="zh-CN"/>
        </w:rPr>
        <w:t>224.09</w:t>
      </w:r>
      <w:r>
        <w:rPr>
          <w:rFonts w:hint="eastAsia" w:ascii="仿宋" w:hAnsi="仿宋" w:eastAsia="仿宋" w:cs="仿宋"/>
          <w:bCs/>
          <w:sz w:val="32"/>
          <w:szCs w:val="32"/>
        </w:rPr>
        <w:t>万元），项目支出</w:t>
      </w:r>
      <w:r>
        <w:rPr>
          <w:rFonts w:hint="eastAsia" w:ascii="仿宋" w:hAnsi="仿宋" w:eastAsia="仿宋" w:cs="仿宋"/>
          <w:bCs/>
          <w:color w:val="000000"/>
          <w:sz w:val="32"/>
          <w:szCs w:val="32"/>
          <w:lang w:val="en-US" w:eastAsia="zh-CN"/>
        </w:rPr>
        <w:t>418.99</w:t>
      </w:r>
      <w:r>
        <w:rPr>
          <w:rFonts w:hint="eastAsia" w:ascii="仿宋" w:hAnsi="仿宋" w:eastAsia="仿宋" w:cs="仿宋"/>
          <w:bCs/>
          <w:sz w:val="32"/>
          <w:szCs w:val="32"/>
        </w:rPr>
        <w:t>万元。</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（三）部门财政收入结转结余情况</w:t>
      </w:r>
    </w:p>
    <w:p>
      <w:pPr>
        <w:spacing w:line="578" w:lineRule="exact"/>
        <w:ind w:firstLine="627" w:firstLineChars="196"/>
        <w:rPr>
          <w:rFonts w:hint="eastAsia" w:ascii="仿宋" w:hAnsi="仿宋" w:eastAsia="仿宋" w:cs="仿宋"/>
          <w:bCs/>
          <w:sz w:val="32"/>
          <w:szCs w:val="32"/>
        </w:rPr>
      </w:pPr>
      <w:r>
        <w:rPr>
          <w:rFonts w:hint="eastAsia" w:ascii="仿宋" w:hAnsi="仿宋" w:eastAsia="仿宋" w:cs="仿宋"/>
          <w:bCs/>
          <w:sz w:val="32"/>
          <w:szCs w:val="32"/>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年本单位无下年结转资金。</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三、部门财政支出管理情况</w:t>
      </w:r>
    </w:p>
    <w:p>
      <w:pPr>
        <w:spacing w:line="578" w:lineRule="exact"/>
        <w:ind w:firstLine="627" w:firstLineChars="196"/>
        <w:rPr>
          <w:rFonts w:hint="eastAsia" w:ascii="仿宋" w:hAnsi="仿宋" w:eastAsia="仿宋" w:cs="仿宋"/>
          <w:b/>
          <w:sz w:val="32"/>
          <w:szCs w:val="32"/>
        </w:rPr>
      </w:pPr>
      <w:r>
        <w:rPr>
          <w:rFonts w:hint="eastAsia" w:ascii="仿宋" w:hAnsi="仿宋" w:eastAsia="仿宋" w:cs="仿宋"/>
          <w:b w:val="0"/>
          <w:bCs/>
          <w:sz w:val="32"/>
          <w:szCs w:val="32"/>
        </w:rPr>
        <w:t>（一）预算编制情况</w:t>
      </w:r>
      <w:r>
        <w:rPr>
          <w:rFonts w:hint="eastAsia" w:ascii="仿宋" w:hAnsi="仿宋" w:eastAsia="仿宋" w:cs="仿宋"/>
          <w:b/>
          <w:sz w:val="32"/>
          <w:szCs w:val="32"/>
        </w:rPr>
        <w:tab/>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1.</w:t>
      </w: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人民政府按照区财政的要求及时组织财务人员进行预决的编制，对本年度相应用款进行及时清理和处理，做到账账相符、账实相符、账证相符，先有预算再有支出的原则，及时处理相关事务；</w:t>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2.对绩效目标进行认真梳理和分析，及时上报相关报表；</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3.对专项预算提前细化，分科目上报，做到收支平衡。</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（二）执行管理情况</w:t>
      </w:r>
      <w:r>
        <w:rPr>
          <w:rFonts w:hint="eastAsia" w:ascii="仿宋" w:hAnsi="仿宋" w:eastAsia="仿宋" w:cs="仿宋"/>
          <w:b w:val="0"/>
          <w:bCs/>
          <w:sz w:val="32"/>
          <w:szCs w:val="32"/>
        </w:rPr>
        <w:tab/>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人民政府按照区财政的要求，认真总结经验，及时上报相关的用款计划，待财政审核通过后，严格按计划执行，执行情况良好。</w:t>
      </w:r>
    </w:p>
    <w:p>
      <w:pPr>
        <w:widowControl/>
        <w:shd w:val="clear" w:color="auto" w:fill="FFFFFF"/>
        <w:spacing w:line="578" w:lineRule="exact"/>
        <w:ind w:left="720"/>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（三）支出绩效情况</w:t>
      </w:r>
    </w:p>
    <w:p>
      <w:pPr>
        <w:widowControl/>
        <w:shd w:val="clear" w:color="auto" w:fill="FFFFFF"/>
        <w:spacing w:line="578" w:lineRule="exact"/>
        <w:ind w:firstLine="720"/>
        <w:jc w:val="left"/>
        <w:rPr>
          <w:rFonts w:hint="eastAsia" w:ascii="仿宋" w:hAnsi="仿宋" w:eastAsia="仿宋" w:cs="仿宋"/>
          <w:b/>
          <w:bCs w:val="0"/>
          <w:color w:val="000000"/>
          <w:kern w:val="0"/>
          <w:sz w:val="32"/>
          <w:szCs w:val="32"/>
        </w:rPr>
      </w:pPr>
      <w:r>
        <w:rPr>
          <w:rFonts w:hint="eastAsia" w:ascii="仿宋" w:hAnsi="仿宋" w:eastAsia="仿宋" w:cs="仿宋"/>
          <w:b/>
          <w:bCs w:val="0"/>
          <w:color w:val="000000"/>
          <w:kern w:val="0"/>
          <w:sz w:val="32"/>
          <w:szCs w:val="32"/>
        </w:rPr>
        <w:t>1.行政运转保障</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达川区</w:t>
      </w:r>
      <w:r>
        <w:rPr>
          <w:rFonts w:hint="eastAsia" w:ascii="仿宋" w:hAnsi="仿宋" w:eastAsia="仿宋" w:cs="仿宋"/>
          <w:color w:val="000000"/>
          <w:kern w:val="0"/>
          <w:sz w:val="32"/>
          <w:szCs w:val="32"/>
          <w:lang w:val="en-US" w:eastAsia="zh-CN"/>
        </w:rPr>
        <w:t>赵固镇</w:t>
      </w:r>
      <w:r>
        <w:rPr>
          <w:rFonts w:hint="eastAsia" w:ascii="仿宋" w:hAnsi="仿宋" w:eastAsia="仿宋" w:cs="仿宋"/>
          <w:color w:val="000000"/>
          <w:kern w:val="0"/>
          <w:sz w:val="32"/>
          <w:szCs w:val="32"/>
        </w:rPr>
        <w:t>人民政府财政拨款支出主要用于保障本单位机构正常运转、完成日常工作任务以及承担本乡镇事业发展相关工作。  </w:t>
      </w:r>
    </w:p>
    <w:p>
      <w:pPr>
        <w:widowControl/>
        <w:shd w:val="clear" w:color="auto" w:fill="FFFFFF"/>
        <w:spacing w:line="578"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基本支出，是用于保障政府机关、事业单位等机构正常运转的日常支出，包括基本工资、津贴补贴等人员经费以及办公费、印刷费、水电费、办公设备购置等日常公用经费。</w:t>
      </w:r>
    </w:p>
    <w:p>
      <w:pPr>
        <w:widowControl/>
        <w:shd w:val="clear" w:color="auto" w:fill="FFFFFF"/>
        <w:spacing w:line="540"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项目支出，是用于保障政府机关、事业单位等机构为完成特定的行政工作任务或事业发展目标，用于专项业务工作的经费支出。</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2.机关厉行节约</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年</w:t>
      </w:r>
      <w:r>
        <w:rPr>
          <w:rFonts w:hint="eastAsia" w:ascii="仿宋" w:hAnsi="仿宋" w:eastAsia="仿宋" w:cs="仿宋"/>
          <w:color w:val="000000"/>
          <w:kern w:val="0"/>
          <w:sz w:val="32"/>
          <w:szCs w:val="32"/>
          <w:lang w:val="en-US" w:eastAsia="zh-CN"/>
        </w:rPr>
        <w:t>达川区赵固镇</w:t>
      </w:r>
      <w:r>
        <w:rPr>
          <w:rFonts w:hint="eastAsia" w:ascii="仿宋" w:hAnsi="仿宋" w:eastAsia="仿宋" w:cs="仿宋"/>
          <w:color w:val="000000"/>
          <w:kern w:val="0"/>
          <w:sz w:val="32"/>
          <w:szCs w:val="32"/>
        </w:rPr>
        <w:t>人民政府无机关人员因公出国计划，也无公务用车。公务接待费</w:t>
      </w:r>
      <w:r>
        <w:rPr>
          <w:rFonts w:hint="eastAsia" w:ascii="仿宋" w:hAnsi="仿宋" w:eastAsia="仿宋" w:cs="仿宋"/>
          <w:color w:val="000000"/>
          <w:kern w:val="0"/>
          <w:sz w:val="32"/>
          <w:szCs w:val="32"/>
          <w:lang w:val="en-US" w:eastAsia="zh-CN"/>
        </w:rPr>
        <w:t>3.65</w:t>
      </w:r>
      <w:r>
        <w:rPr>
          <w:rFonts w:hint="eastAsia" w:ascii="仿宋" w:hAnsi="仿宋" w:eastAsia="仿宋" w:cs="仿宋"/>
          <w:color w:val="000000"/>
          <w:kern w:val="0"/>
          <w:sz w:val="32"/>
          <w:szCs w:val="32"/>
        </w:rPr>
        <w:t>万元，主要用于接待上级领导到本镇指导检查工作以及召开全镇村组干部会议等所发生的费用。</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b/>
          <w:bCs/>
          <w:color w:val="000000"/>
          <w:kern w:val="0"/>
          <w:sz w:val="32"/>
          <w:szCs w:val="32"/>
        </w:rPr>
        <w:t>3.机关节能降耗</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达川区赵固镇</w:t>
      </w:r>
      <w:r>
        <w:rPr>
          <w:rFonts w:hint="eastAsia" w:ascii="仿宋" w:hAnsi="仿宋" w:eastAsia="仿宋" w:cs="仿宋"/>
          <w:color w:val="000000"/>
          <w:kern w:val="0"/>
          <w:sz w:val="32"/>
          <w:szCs w:val="32"/>
        </w:rPr>
        <w:t>人民政府严格按照勤俭节约的原则，水、电、气、燃油节能降耗情况均处理下降趋势等。</w:t>
      </w:r>
    </w:p>
    <w:p>
      <w:pPr>
        <w:widowControl/>
        <w:shd w:val="clear" w:color="auto" w:fill="FFFFFF"/>
        <w:spacing w:line="578" w:lineRule="exact"/>
        <w:ind w:firstLine="720"/>
        <w:jc w:val="left"/>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4.专项预算项目支出绩效</w:t>
      </w:r>
    </w:p>
    <w:p>
      <w:pPr>
        <w:widowControl/>
        <w:shd w:val="clear" w:color="auto" w:fill="FFFFFF"/>
        <w:spacing w:line="578" w:lineRule="exact"/>
        <w:ind w:firstLine="72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项目申报严格按照上级要求，明确绩效目标，控制支出成本，提高项目发挥作用。公共安全支出，主要用于本单位基层司法调解和普法宣传教育活动支出，包括项目的绩效目标、资金来源、实施方案细化等方面的情况；节能环保，主要用于本单位城乡环境卫生支出；农林水事务，主要用于本单位事业运行管理费，农村公益事业，农村道路建设，村党支部和村民委员会的补助支出；专项项目主要用于本单位普法宣传教育、老年协会活动经费、城乡环境卫生、抗旱救灾、抗洪抢险、农村公益事业、农村道路建设、安全生产监管等支出。</w:t>
      </w:r>
    </w:p>
    <w:p>
      <w:pPr>
        <w:spacing w:line="578" w:lineRule="exact"/>
        <w:ind w:firstLine="627" w:firstLineChars="196"/>
        <w:rPr>
          <w:rFonts w:hint="eastAsia" w:ascii="仿宋" w:hAnsi="仿宋" w:eastAsia="仿宋" w:cs="仿宋"/>
          <w:b w:val="0"/>
          <w:bCs/>
          <w:sz w:val="32"/>
          <w:szCs w:val="32"/>
        </w:rPr>
      </w:pPr>
      <w:r>
        <w:rPr>
          <w:rFonts w:hint="eastAsia" w:ascii="仿宋" w:hAnsi="仿宋" w:eastAsia="仿宋" w:cs="仿宋"/>
          <w:b w:val="0"/>
          <w:bCs/>
          <w:sz w:val="32"/>
          <w:szCs w:val="32"/>
        </w:rPr>
        <w:t>（四）综合管理情况</w:t>
      </w:r>
    </w:p>
    <w:p>
      <w:pPr>
        <w:spacing w:line="578" w:lineRule="exact"/>
        <w:ind w:firstLine="627" w:firstLineChars="196"/>
        <w:rPr>
          <w:rFonts w:hint="eastAsia" w:ascii="仿宋" w:hAnsi="仿宋" w:eastAsia="仿宋" w:cs="仿宋"/>
          <w:b/>
          <w:sz w:val="32"/>
          <w:szCs w:val="32"/>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人民政府严格执行机关财务管理规章制度，实行会计核算和账务管理制度公开，政府采购制度公开公示，并接受群众监督等。</w:t>
      </w:r>
      <w:r>
        <w:rPr>
          <w:rFonts w:hint="eastAsia" w:ascii="仿宋" w:hAnsi="仿宋" w:eastAsia="仿宋" w:cs="仿宋"/>
          <w:b/>
          <w:sz w:val="32"/>
          <w:szCs w:val="32"/>
        </w:rPr>
        <w:tab/>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1.政府性债务管理情况。</w:t>
      </w:r>
      <w:r>
        <w:rPr>
          <w:rFonts w:hint="eastAsia" w:ascii="仿宋" w:hAnsi="仿宋" w:eastAsia="仿宋" w:cs="仿宋"/>
          <w:sz w:val="32"/>
          <w:szCs w:val="32"/>
        </w:rPr>
        <w:t>本单位20</w:t>
      </w:r>
      <w:r>
        <w:rPr>
          <w:rFonts w:hint="eastAsia" w:ascii="仿宋" w:hAnsi="仿宋" w:eastAsia="仿宋" w:cs="仿宋"/>
          <w:sz w:val="32"/>
          <w:szCs w:val="32"/>
          <w:lang w:val="en-US" w:eastAsia="zh-CN"/>
        </w:rPr>
        <w:t>20</w:t>
      </w:r>
      <w:r>
        <w:rPr>
          <w:rFonts w:hint="eastAsia" w:ascii="仿宋" w:hAnsi="仿宋" w:eastAsia="仿宋" w:cs="仿宋"/>
          <w:sz w:val="32"/>
          <w:szCs w:val="32"/>
        </w:rPr>
        <w:t>年无债务。</w:t>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2.非税收入管理情况。</w:t>
      </w:r>
      <w:r>
        <w:rPr>
          <w:rFonts w:hint="eastAsia" w:ascii="仿宋" w:hAnsi="仿宋" w:eastAsia="仿宋" w:cs="仿宋"/>
          <w:sz w:val="32"/>
          <w:szCs w:val="32"/>
        </w:rPr>
        <w:t>本单位严格按照财经纪律规定，及时上缴各类非税收入，包括银行存款利息及罚没收入等。</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3.政府采购实施情况。</w:t>
      </w:r>
      <w:r>
        <w:rPr>
          <w:rFonts w:hint="eastAsia" w:ascii="仿宋" w:hAnsi="仿宋" w:eastAsia="仿宋" w:cs="仿宋"/>
          <w:sz w:val="32"/>
          <w:szCs w:val="32"/>
        </w:rPr>
        <w:t>按照《预算法》和《政府采购法》规定编制政府采购预算和实施政府采购计划，按规定做好备案工作</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年政府采购预算为</w:t>
      </w:r>
      <w:r>
        <w:rPr>
          <w:rFonts w:hint="eastAsia" w:ascii="仿宋" w:hAnsi="仿宋" w:eastAsia="仿宋" w:cs="仿宋"/>
          <w:color w:val="000000"/>
          <w:sz w:val="32"/>
          <w:szCs w:val="32"/>
          <w:lang w:val="en-US" w:eastAsia="zh-CN"/>
        </w:rPr>
        <w:t>6.7</w:t>
      </w:r>
      <w:r>
        <w:rPr>
          <w:rFonts w:hint="eastAsia" w:ascii="仿宋" w:hAnsi="仿宋" w:eastAsia="仿宋" w:cs="仿宋"/>
          <w:sz w:val="32"/>
          <w:szCs w:val="32"/>
        </w:rPr>
        <w:t>万元</w:t>
      </w:r>
      <w:r>
        <w:rPr>
          <w:rFonts w:hint="eastAsia" w:ascii="仿宋" w:hAnsi="仿宋" w:eastAsia="仿宋" w:cs="仿宋"/>
          <w:sz w:val="32"/>
          <w:szCs w:val="32"/>
          <w:lang w:eastAsia="zh-CN"/>
        </w:rPr>
        <w:t>，严格按照预算执行</w:t>
      </w:r>
      <w:r>
        <w:rPr>
          <w:rFonts w:hint="eastAsia" w:ascii="仿宋" w:hAnsi="仿宋" w:eastAsia="仿宋" w:cs="仿宋"/>
          <w:sz w:val="32"/>
          <w:szCs w:val="32"/>
        </w:rPr>
        <w:t>。</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4.资产管理。</w:t>
      </w:r>
      <w:r>
        <w:rPr>
          <w:rFonts w:hint="eastAsia" w:ascii="仿宋" w:hAnsi="仿宋" w:eastAsia="仿宋" w:cs="仿宋"/>
          <w:sz w:val="32"/>
          <w:szCs w:val="32"/>
          <w:lang w:val="en-US" w:eastAsia="zh-CN"/>
        </w:rPr>
        <w:t>达川区赵固镇</w:t>
      </w:r>
      <w:r>
        <w:rPr>
          <w:rFonts w:hint="eastAsia" w:ascii="仿宋" w:hAnsi="仿宋" w:eastAsia="仿宋" w:cs="仿宋"/>
          <w:sz w:val="32"/>
          <w:szCs w:val="32"/>
        </w:rPr>
        <w:t>人民政府固定资产实行“统一管理，分级负责”。设置固定资产的管理部门，统一建账、核算，统一登记、监督管理和维修。各办公室是固定资产的使用部门，并负责固定资产的保管和使用。同时，根据《行政事业单位资产清查核实管理办法》，于20</w:t>
      </w:r>
      <w:r>
        <w:rPr>
          <w:rFonts w:hint="eastAsia" w:ascii="仿宋" w:hAnsi="仿宋" w:eastAsia="仿宋" w:cs="仿宋"/>
          <w:sz w:val="32"/>
          <w:szCs w:val="32"/>
          <w:lang w:val="en-US" w:eastAsia="zh-CN"/>
        </w:rPr>
        <w:t>20</w:t>
      </w:r>
      <w:r>
        <w:rPr>
          <w:rFonts w:hint="eastAsia" w:ascii="仿宋" w:hAnsi="仿宋" w:eastAsia="仿宋" w:cs="仿宋"/>
          <w:sz w:val="32"/>
          <w:szCs w:val="32"/>
        </w:rPr>
        <w:t>年12月开展了资产清查工作。</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（1）资产管理信息系统建设情况。已将所有资产全部录入行政事业单位资产管理系统，并指定专人负责管理系统。</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（2）资产报表上报情况。成立了国有资产清查工作小组，并安排专人负责国有资产清查及报表上报工作。在资产清查结束后，已上报清查报表、清查工作报告等国有资产报表数据。 </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5.内控制度管理。</w:t>
      </w:r>
      <w:r>
        <w:rPr>
          <w:rFonts w:hint="eastAsia" w:ascii="仿宋" w:hAnsi="仿宋" w:eastAsia="仿宋" w:cs="仿宋"/>
          <w:sz w:val="32"/>
          <w:szCs w:val="32"/>
        </w:rPr>
        <w:t>本单位按照上级相关要求，建立健全内控管理制度，并及时上报。</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6.信息公开。</w:t>
      </w:r>
      <w:r>
        <w:rPr>
          <w:rFonts w:hint="eastAsia" w:ascii="仿宋" w:hAnsi="仿宋" w:eastAsia="仿宋" w:cs="仿宋"/>
          <w:sz w:val="32"/>
          <w:szCs w:val="32"/>
        </w:rPr>
        <w:t>严格按照上级要求，按时按质公开预、决算，并对村级账务实行不定期公开，接受群众监督。</w:t>
      </w:r>
    </w:p>
    <w:p>
      <w:pPr>
        <w:spacing w:line="578"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7.绩效管理。</w:t>
      </w:r>
      <w:r>
        <w:rPr>
          <w:rFonts w:hint="eastAsia" w:ascii="仿宋" w:hAnsi="仿宋" w:eastAsia="仿宋" w:cs="仿宋"/>
          <w:sz w:val="32"/>
          <w:szCs w:val="32"/>
        </w:rPr>
        <w:t>按照要求对所有下属预算单位开展整体绩效评价，按要求向区财政报送自评报告等相关绩效信息。</w:t>
      </w:r>
    </w:p>
    <w:p>
      <w:pPr>
        <w:spacing w:line="578"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8.依法接受财政监督情况。</w:t>
      </w:r>
      <w:r>
        <w:rPr>
          <w:rFonts w:hint="eastAsia" w:ascii="仿宋" w:hAnsi="仿宋" w:eastAsia="仿宋" w:cs="仿宋"/>
          <w:sz w:val="32"/>
          <w:szCs w:val="32"/>
        </w:rPr>
        <w:t>按照上级财政部门相关要求，开展了20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年度财政监督检查的自查自纠工作，并报送了自查自纠报告及报表。</w:t>
      </w:r>
    </w:p>
    <w:p>
      <w:pPr>
        <w:spacing w:line="578"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（五）整体效益</w:t>
      </w:r>
    </w:p>
    <w:p>
      <w:pPr>
        <w:spacing w:line="578"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达川区赵固镇</w:t>
      </w:r>
      <w:r>
        <w:rPr>
          <w:rFonts w:hint="eastAsia" w:ascii="仿宋" w:hAnsi="仿宋" w:eastAsia="仿宋" w:cs="仿宋"/>
          <w:color w:val="000000"/>
          <w:sz w:val="32"/>
          <w:szCs w:val="32"/>
          <w:shd w:val="clear" w:color="auto" w:fill="FFFFFF"/>
        </w:rPr>
        <w:t>人民政府绩效管理严格按照上级部门要求，开展自评工作，对评价结果及时总结上报。</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rPr>
      </w:pPr>
      <w:r>
        <w:rPr>
          <w:rFonts w:hint="eastAsia" w:ascii="仿宋" w:hAnsi="仿宋" w:eastAsia="仿宋" w:cs="仿宋"/>
          <w:bCs/>
          <w:color w:val="000000"/>
          <w:kern w:val="0"/>
          <w:sz w:val="32"/>
          <w:szCs w:val="32"/>
        </w:rPr>
        <w:t>四、</w:t>
      </w:r>
      <w:r>
        <w:rPr>
          <w:rFonts w:hint="eastAsia" w:ascii="仿宋" w:hAnsi="仿宋" w:eastAsia="仿宋" w:cs="仿宋"/>
          <w:color w:val="000000"/>
          <w:kern w:val="0"/>
          <w:sz w:val="32"/>
          <w:szCs w:val="32"/>
          <w:shd w:val="clear" w:color="auto" w:fill="FFFFFF"/>
        </w:rPr>
        <w:t>评价结论及建议</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（一）评价结论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cs="仿宋"/>
          <w:sz w:val="32"/>
          <w:szCs w:val="32"/>
          <w:lang w:val="en-US" w:eastAsia="zh-CN"/>
        </w:rPr>
        <w:t>98</w:t>
      </w:r>
      <w:r>
        <w:rPr>
          <w:rFonts w:hint="eastAsia" w:ascii="仿宋" w:hAnsi="仿宋" w:eastAsia="仿宋" w:cs="仿宋"/>
          <w:sz w:val="32"/>
          <w:szCs w:val="32"/>
        </w:rPr>
        <w:t>分。（得分明细表附后）</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（二）存在问题</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一是预算经费支出明细科目存在误差；</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二是部门决算上报处理效率还需继续提升。   </w:t>
      </w:r>
    </w:p>
    <w:p>
      <w:pPr>
        <w:widowControl/>
        <w:shd w:val="clear" w:color="auto" w:fill="FFFFFF"/>
        <w:spacing w:line="578" w:lineRule="exact"/>
        <w:ind w:firstLine="627" w:firstLineChars="196"/>
        <w:jc w:val="left"/>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（三）改进建议</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1.加快完善相应制度建设和账务处理能力，提升部门工作效率。</w:t>
      </w:r>
    </w:p>
    <w:p>
      <w:pPr>
        <w:widowControl/>
        <w:shd w:val="clear" w:color="auto" w:fill="FFFFFF"/>
        <w:spacing w:line="578" w:lineRule="exact"/>
        <w:ind w:firstLine="627" w:firstLineChars="196"/>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2.进一步加强国有资产管理，责任落实到人。</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rPr>
        <w:t>3.</w:t>
      </w:r>
      <w:r>
        <w:rPr>
          <w:rFonts w:hint="eastAsia" w:ascii="仿宋" w:hAnsi="仿宋" w:eastAsia="仿宋" w:cs="仿宋"/>
          <w:sz w:val="32"/>
          <w:szCs w:val="32"/>
        </w:rPr>
        <w:t>强化资金财务管理。一是定期编制“银行存款余额调节表”，使单位账面余额与银行对账单余额调节相符。二是严把资金支付审核关，严格检查入账发票的准确性，核实原始凭证的完整性。</w:t>
      </w:r>
    </w:p>
    <w:p>
      <w:pPr>
        <w:spacing w:line="578" w:lineRule="exact"/>
        <w:jc w:val="center"/>
        <w:rPr>
          <w:rFonts w:hint="eastAsia" w:ascii="仿宋" w:hAnsi="仿宋" w:eastAsia="仿宋" w:cs="仿宋"/>
          <w:sz w:val="32"/>
          <w:szCs w:val="32"/>
        </w:rPr>
      </w:pPr>
      <w:r>
        <w:rPr>
          <w:rFonts w:hint="eastAsia" w:ascii="仿宋" w:hAnsi="仿宋" w:eastAsia="仿宋" w:cs="仿宋"/>
          <w:sz w:val="32"/>
          <w:szCs w:val="32"/>
        </w:rPr>
        <w:t xml:space="preserve">                </w:t>
      </w:r>
    </w:p>
    <w:p>
      <w:pPr>
        <w:spacing w:line="578" w:lineRule="exact"/>
        <w:jc w:val="center"/>
        <w:rPr>
          <w:rFonts w:hint="eastAsia" w:ascii="黑体" w:hAnsi="黑体" w:eastAsia="黑体" w:cs="黑体"/>
          <w:spacing w:val="-10"/>
          <w:sz w:val="44"/>
          <w:szCs w:val="44"/>
        </w:rPr>
      </w:pPr>
    </w:p>
    <w:p>
      <w:pPr>
        <w:spacing w:line="578" w:lineRule="exact"/>
        <w:jc w:val="center"/>
        <w:rPr>
          <w:rFonts w:hint="eastAsia" w:ascii="黑体" w:hAnsi="黑体" w:eastAsia="黑体" w:cs="黑体"/>
          <w:spacing w:val="-10"/>
          <w:sz w:val="44"/>
          <w:szCs w:val="44"/>
        </w:rPr>
      </w:pPr>
    </w:p>
    <w:p>
      <w:pPr>
        <w:pStyle w:val="5"/>
        <w:rPr>
          <w:rStyle w:val="33"/>
          <w:rFonts w:hint="default" w:ascii="仿宋" w:hAnsi="仿宋" w:eastAsia="仿宋"/>
          <w:b w:val="0"/>
          <w:bCs w:val="0"/>
          <w:sz w:val="32"/>
          <w:szCs w:val="32"/>
          <w:lang w:val="en-US" w:eastAsia="zh-CN"/>
        </w:rPr>
      </w:pPr>
      <w:r>
        <w:rPr>
          <w:rStyle w:val="33"/>
          <w:rFonts w:hint="eastAsia" w:ascii="仿宋" w:hAnsi="仿宋" w:eastAsia="仿宋"/>
          <w:b w:val="0"/>
          <w:bCs w:val="0"/>
          <w:sz w:val="32"/>
          <w:szCs w:val="32"/>
        </w:rPr>
        <w:t>附件</w:t>
      </w:r>
      <w:r>
        <w:rPr>
          <w:rStyle w:val="33"/>
          <w:rFonts w:hint="eastAsia" w:ascii="仿宋" w:hAnsi="仿宋" w:eastAsia="仿宋"/>
          <w:b w:val="0"/>
          <w:bCs w:val="0"/>
          <w:sz w:val="32"/>
          <w:szCs w:val="32"/>
          <w:lang w:val="en-US" w:eastAsia="zh-CN"/>
        </w:rPr>
        <w:t>2</w:t>
      </w:r>
    </w:p>
    <w:p>
      <w:pPr>
        <w:spacing w:line="578" w:lineRule="exact"/>
        <w:jc w:val="both"/>
        <w:rPr>
          <w:rFonts w:hint="eastAsia" w:ascii="黑体" w:hAnsi="黑体" w:eastAsia="黑体" w:cs="黑体"/>
          <w:spacing w:val="-10"/>
          <w:sz w:val="44"/>
          <w:szCs w:val="44"/>
        </w:rPr>
      </w:pPr>
    </w:p>
    <w:p>
      <w:pPr>
        <w:spacing w:line="578" w:lineRule="exact"/>
        <w:jc w:val="center"/>
        <w:rPr>
          <w:rFonts w:hint="eastAsia" w:ascii="黑体" w:hAnsi="黑体" w:eastAsia="黑体" w:cs="黑体"/>
          <w:spacing w:val="-10"/>
          <w:sz w:val="44"/>
          <w:szCs w:val="44"/>
          <w:lang w:val="en-US" w:eastAsia="zh-CN"/>
        </w:rPr>
      </w:pPr>
      <w:r>
        <w:rPr>
          <w:rFonts w:hint="eastAsia" w:ascii="黑体" w:hAnsi="黑体" w:eastAsia="黑体" w:cs="黑体"/>
          <w:spacing w:val="-10"/>
          <w:sz w:val="44"/>
          <w:szCs w:val="44"/>
        </w:rPr>
        <w:t>关于20</w:t>
      </w:r>
      <w:r>
        <w:rPr>
          <w:rFonts w:hint="eastAsia" w:ascii="黑体" w:hAnsi="黑体" w:eastAsia="黑体" w:cs="黑体"/>
          <w:spacing w:val="-10"/>
          <w:sz w:val="44"/>
          <w:szCs w:val="44"/>
          <w:lang w:val="en-US" w:eastAsia="zh-CN"/>
        </w:rPr>
        <w:t>20</w:t>
      </w:r>
      <w:r>
        <w:rPr>
          <w:rFonts w:hint="eastAsia" w:ascii="黑体" w:hAnsi="黑体" w:eastAsia="黑体" w:cs="黑体"/>
          <w:spacing w:val="-10"/>
          <w:sz w:val="44"/>
          <w:szCs w:val="44"/>
        </w:rPr>
        <w:t>年度财力保障项目支出绩效</w:t>
      </w:r>
      <w:r>
        <w:rPr>
          <w:rFonts w:hint="eastAsia" w:ascii="黑体" w:hAnsi="黑体" w:eastAsia="黑体" w:cs="黑体"/>
          <w:spacing w:val="-10"/>
          <w:sz w:val="44"/>
          <w:szCs w:val="44"/>
          <w:lang w:val="en-US" w:eastAsia="zh-CN"/>
        </w:rPr>
        <w:t>的</w:t>
      </w:r>
    </w:p>
    <w:p>
      <w:pPr>
        <w:spacing w:line="578" w:lineRule="exact"/>
        <w:jc w:val="center"/>
        <w:rPr>
          <w:rFonts w:hint="eastAsia" w:ascii="黑体" w:hAnsi="黑体" w:eastAsia="黑体" w:cs="黑体"/>
          <w:color w:val="auto"/>
          <w:spacing w:val="-10"/>
          <w:kern w:val="2"/>
          <w:sz w:val="44"/>
          <w:szCs w:val="44"/>
        </w:rPr>
      </w:pPr>
      <w:r>
        <w:rPr>
          <w:rFonts w:hint="eastAsia" w:ascii="黑体" w:hAnsi="黑体" w:eastAsia="黑体" w:cs="黑体"/>
          <w:spacing w:val="-10"/>
          <w:sz w:val="44"/>
          <w:szCs w:val="44"/>
        </w:rPr>
        <w:t>自评报告</w:t>
      </w:r>
    </w:p>
    <w:p>
      <w:pPr>
        <w:spacing w:line="578" w:lineRule="exact"/>
        <w:ind w:firstLine="1100" w:firstLineChars="250"/>
        <w:jc w:val="center"/>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spacing w:line="578"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按照区委区政府全面推进财政绩效管理，进一步强化支出责任，着力提高财政资金使用效益，结合自身实际，特对我镇20</w:t>
      </w:r>
      <w:r>
        <w:rPr>
          <w:rFonts w:hint="eastAsia" w:ascii="仿宋" w:hAnsi="仿宋" w:eastAsia="仿宋" w:cs="仿宋"/>
          <w:sz w:val="32"/>
          <w:szCs w:val="32"/>
          <w:lang w:val="en-US" w:eastAsia="zh-CN"/>
        </w:rPr>
        <w:t>20</w:t>
      </w:r>
      <w:r>
        <w:rPr>
          <w:rFonts w:hint="eastAsia" w:ascii="仿宋" w:hAnsi="仿宋" w:eastAsia="仿宋" w:cs="仿宋"/>
          <w:sz w:val="32"/>
          <w:szCs w:val="32"/>
        </w:rPr>
        <w:t>年度财力保障项目支出绩效自评报告如下：</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达川区</w:t>
      </w:r>
      <w:r>
        <w:rPr>
          <w:rFonts w:hint="eastAsia" w:ascii="仿宋" w:hAnsi="仿宋" w:eastAsia="仿宋" w:cs="仿宋"/>
          <w:sz w:val="32"/>
          <w:szCs w:val="32"/>
          <w:lang w:val="en-US" w:eastAsia="zh-CN"/>
        </w:rPr>
        <w:t>赵固镇</w:t>
      </w:r>
      <w:r>
        <w:rPr>
          <w:rFonts w:hint="eastAsia" w:ascii="仿宋" w:hAnsi="仿宋" w:eastAsia="仿宋" w:cs="仿宋"/>
          <w:sz w:val="32"/>
          <w:szCs w:val="32"/>
          <w:lang w:val="zh-CN"/>
        </w:rPr>
        <w:t>人民政府，办公地址位于</w:t>
      </w:r>
      <w:r>
        <w:rPr>
          <w:rFonts w:hint="eastAsia" w:ascii="仿宋" w:hAnsi="仿宋" w:eastAsia="仿宋" w:cs="仿宋"/>
          <w:sz w:val="32"/>
          <w:szCs w:val="32"/>
          <w:lang w:val="en-US" w:eastAsia="zh-CN"/>
        </w:rPr>
        <w:t>达川区赵固镇公路街</w:t>
      </w:r>
      <w:r>
        <w:rPr>
          <w:rFonts w:hint="eastAsia" w:ascii="仿宋" w:hAnsi="仿宋" w:eastAsia="仿宋" w:cs="仿宋"/>
          <w:sz w:val="32"/>
          <w:szCs w:val="32"/>
          <w:lang w:val="zh-CN"/>
        </w:rPr>
        <w:t>，是财政全额拨款行政单位，主要负责</w:t>
      </w:r>
      <w:r>
        <w:rPr>
          <w:rFonts w:hint="eastAsia" w:ascii="仿宋" w:hAnsi="仿宋" w:eastAsia="仿宋" w:cs="仿宋"/>
          <w:sz w:val="32"/>
          <w:szCs w:val="32"/>
        </w:rPr>
        <w:t>维护社会稳定，促进经济发展，不断提高人民群众的生活水平，全心全意为人民服务。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lang w:val="zh-CN"/>
        </w:rPr>
        <w:t>（一）项目资金申报及批复情况。</w:t>
      </w:r>
      <w:r>
        <w:rPr>
          <w:rFonts w:hint="eastAsia" w:ascii="仿宋" w:hAnsi="仿宋" w:eastAsia="仿宋" w:cs="仿宋"/>
          <w:sz w:val="32"/>
          <w:szCs w:val="32"/>
          <w:lang w:val="zh-CN"/>
        </w:rPr>
        <w:t>我镇按照“保工资、保运转、保民生、促发展”的原则，打造节约型政府，通过组织召开党委会议，研究申报20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年财力保障项目资金累计达</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万元，经区财政局批复下达后，已全部用于年初预算各项事业。</w:t>
      </w:r>
    </w:p>
    <w:p>
      <w:pPr>
        <w:numPr>
          <w:ilvl w:val="0"/>
          <w:numId w:val="0"/>
        </w:numPr>
        <w:spacing w:line="578" w:lineRule="exact"/>
        <w:ind w:firstLine="642" w:firstLineChars="200"/>
        <w:rPr>
          <w:rFonts w:hint="eastAsia" w:ascii="仿宋" w:hAnsi="仿宋" w:eastAsia="仿宋" w:cs="仿宋"/>
          <w:sz w:val="32"/>
          <w:szCs w:val="32"/>
          <w:lang w:val="zh-CN"/>
        </w:rPr>
      </w:pPr>
      <w:r>
        <w:rPr>
          <w:rFonts w:hint="eastAsia" w:ascii="仿宋" w:hAnsi="仿宋" w:eastAsia="仿宋" w:cs="仿宋"/>
          <w:b/>
          <w:sz w:val="32"/>
          <w:szCs w:val="32"/>
          <w:lang w:val="zh-CN"/>
        </w:rPr>
        <w:t>（二）项目绩效目标。</w:t>
      </w:r>
      <w:r>
        <w:rPr>
          <w:rFonts w:hint="eastAsia" w:ascii="仿宋" w:hAnsi="仿宋" w:eastAsia="仿宋" w:cs="仿宋"/>
          <w:sz w:val="32"/>
          <w:szCs w:val="32"/>
          <w:lang w:val="zh-CN"/>
        </w:rPr>
        <w:t>该项目资金主要用于保运行、促发展、助推脱贫攻坚。20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年我镇安排脱贫攻坚资金（安排资金总额</w:t>
      </w:r>
      <w:r>
        <w:rPr>
          <w:rFonts w:hint="eastAsia" w:ascii="仿宋" w:hAnsi="仿宋" w:eastAsia="仿宋" w:cs="仿宋"/>
          <w:sz w:val="32"/>
          <w:szCs w:val="32"/>
          <w:lang w:val="en-US" w:eastAsia="zh-CN"/>
        </w:rPr>
        <w:t>26</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脱贫攻坚</w:t>
      </w:r>
      <w:r>
        <w:rPr>
          <w:rFonts w:hint="eastAsia" w:ascii="仿宋" w:hAnsi="仿宋" w:eastAsia="仿宋" w:cs="仿宋"/>
          <w:sz w:val="32"/>
          <w:szCs w:val="32"/>
          <w:lang w:val="zh-CN" w:eastAsia="zh-CN"/>
        </w:rPr>
        <w:t>宣传、</w:t>
      </w:r>
      <w:r>
        <w:rPr>
          <w:rFonts w:hint="eastAsia" w:ascii="仿宋" w:hAnsi="仿宋" w:eastAsia="仿宋" w:cs="仿宋"/>
          <w:sz w:val="32"/>
          <w:szCs w:val="32"/>
          <w:lang w:val="zh-CN"/>
        </w:rPr>
        <w:t>产业发展</w:t>
      </w:r>
      <w:r>
        <w:rPr>
          <w:rFonts w:hint="eastAsia" w:ascii="仿宋" w:hAnsi="仿宋" w:eastAsia="仿宋" w:cs="仿宋"/>
          <w:sz w:val="32"/>
          <w:szCs w:val="32"/>
          <w:lang w:val="zh-CN" w:eastAsia="zh-CN"/>
        </w:rPr>
        <w:t>及经费支出</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促发展资金（安排资金总额</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用于三奖、农业示范建设、农作物病虫害防治、畜禽防疫等经费）</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解困资金（安排资金总额</w:t>
      </w:r>
      <w:r>
        <w:rPr>
          <w:rFonts w:hint="eastAsia" w:ascii="仿宋" w:hAnsi="仿宋" w:eastAsia="仿宋" w:cs="仿宋"/>
          <w:sz w:val="32"/>
          <w:szCs w:val="32"/>
          <w:lang w:val="en-US" w:eastAsia="zh-CN"/>
        </w:rPr>
        <w:t>10</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用于困难群众及计生手术后遗症患者救助救济经费）</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信访、维稳、扫黄、除黑、禁毒资金（安排资金总额</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用于信访、维稳、扫黄、除黑、禁毒支出）</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保运行资金：⑴党建工作经费</w:t>
      </w:r>
      <w:r>
        <w:rPr>
          <w:rFonts w:hint="eastAsia" w:ascii="仿宋" w:hAnsi="仿宋" w:eastAsia="仿宋" w:cs="仿宋"/>
          <w:sz w:val="32"/>
          <w:szCs w:val="32"/>
          <w:lang w:val="en-US" w:eastAsia="zh-CN"/>
        </w:rPr>
        <w:t>10</w:t>
      </w:r>
      <w:r>
        <w:rPr>
          <w:rFonts w:hint="eastAsia" w:ascii="仿宋" w:hAnsi="仿宋" w:eastAsia="仿宋" w:cs="仿宋"/>
          <w:sz w:val="32"/>
          <w:szCs w:val="32"/>
          <w:lang w:val="zh-CN"/>
        </w:rPr>
        <w:t>万元，用于日常党建工作经费支出；⑵人大视察、会议费1万元，用于人大视察，代表会议费等； ⑶政协联络经费0.5万，用于政协联络工作；⑷纪检监察工作经费</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万元，用于纪检监察办案工作经费；⑸共青团工作经费0.2万元，用于共青团工作开展；⑹妇联组织经费0.2万元，用于妇联组织工作开展；⑺关工委工作经费</w:t>
      </w: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万元，用于关工委工作开展；⑻老体协会经费</w:t>
      </w:r>
      <w:r>
        <w:rPr>
          <w:rFonts w:hint="eastAsia" w:ascii="仿宋" w:hAnsi="仿宋" w:eastAsia="仿宋" w:cs="仿宋"/>
          <w:sz w:val="32"/>
          <w:szCs w:val="32"/>
          <w:lang w:val="en-US" w:eastAsia="zh-CN"/>
        </w:rPr>
        <w:t>0.3</w:t>
      </w:r>
      <w:r>
        <w:rPr>
          <w:rFonts w:hint="eastAsia" w:ascii="仿宋" w:hAnsi="仿宋" w:eastAsia="仿宋" w:cs="仿宋"/>
          <w:sz w:val="32"/>
          <w:szCs w:val="32"/>
          <w:lang w:val="zh-CN"/>
        </w:rPr>
        <w:t>万元，用于老体协活动开展；⑼平安建设工作经费4万，用于</w:t>
      </w:r>
      <w:r>
        <w:rPr>
          <w:rFonts w:hint="eastAsia" w:ascii="仿宋" w:hAnsi="仿宋" w:eastAsia="仿宋" w:cs="仿宋"/>
          <w:sz w:val="32"/>
          <w:szCs w:val="32"/>
          <w:lang w:val="zh-CN" w:eastAsia="zh-CN"/>
        </w:rPr>
        <w:t>镇</w:t>
      </w:r>
      <w:r>
        <w:rPr>
          <w:rFonts w:hint="eastAsia" w:ascii="仿宋" w:hAnsi="仿宋" w:eastAsia="仿宋" w:cs="仿宋"/>
          <w:sz w:val="32"/>
          <w:szCs w:val="32"/>
          <w:lang w:val="zh-CN"/>
        </w:rPr>
        <w:t>平安建设工作开展；⑽文化站免费开放经费0.7万元，用于文化站免费开放工作经费；⑾便民服务工作经费6万元，用于便民服务中心设备设施购置、日常运行、人员补助等；⑿残疾人事业经费0.5万元，且于残疾人事业日常工作开展；⒀</w:t>
      </w:r>
      <w:r>
        <w:rPr>
          <w:rFonts w:hint="eastAsia" w:ascii="仿宋" w:hAnsi="仿宋" w:eastAsia="仿宋" w:cs="仿宋"/>
          <w:sz w:val="32"/>
          <w:szCs w:val="32"/>
          <w:lang w:val="zh-CN" w:eastAsia="zh-CN"/>
        </w:rPr>
        <w:t>农村道路交通安全</w:t>
      </w:r>
      <w:r>
        <w:rPr>
          <w:rFonts w:hint="eastAsia" w:ascii="仿宋" w:hAnsi="仿宋" w:eastAsia="仿宋" w:cs="仿宋"/>
          <w:sz w:val="32"/>
          <w:szCs w:val="32"/>
          <w:lang w:val="zh-CN"/>
        </w:rPr>
        <w:t>经费</w:t>
      </w:r>
      <w:r>
        <w:rPr>
          <w:rFonts w:hint="eastAsia" w:ascii="仿宋" w:hAnsi="仿宋" w:eastAsia="仿宋" w:cs="仿宋"/>
          <w:sz w:val="32"/>
          <w:szCs w:val="32"/>
          <w:lang w:val="en-US" w:eastAsia="zh-CN"/>
        </w:rPr>
        <w:t>3</w:t>
      </w:r>
      <w:r>
        <w:rPr>
          <w:rFonts w:hint="eastAsia" w:ascii="仿宋" w:hAnsi="仿宋" w:eastAsia="仿宋" w:cs="仿宋"/>
          <w:sz w:val="32"/>
          <w:szCs w:val="32"/>
          <w:lang w:val="zh-CN"/>
        </w:rPr>
        <w:t>万，用于</w:t>
      </w:r>
      <w:r>
        <w:rPr>
          <w:rFonts w:hint="eastAsia" w:ascii="仿宋" w:hAnsi="仿宋" w:eastAsia="仿宋" w:cs="仿宋"/>
          <w:sz w:val="32"/>
          <w:szCs w:val="32"/>
          <w:lang w:val="zh-CN" w:eastAsia="zh-CN"/>
        </w:rPr>
        <w:t>农村道路交通</w:t>
      </w:r>
      <w:r>
        <w:rPr>
          <w:rFonts w:hint="eastAsia" w:ascii="仿宋" w:hAnsi="仿宋" w:eastAsia="仿宋" w:cs="仿宋"/>
          <w:sz w:val="32"/>
          <w:szCs w:val="32"/>
          <w:lang w:val="zh-CN"/>
        </w:rPr>
        <w:t>安全监管；⒁</w:t>
      </w:r>
      <w:r>
        <w:rPr>
          <w:rFonts w:hint="eastAsia" w:ascii="仿宋" w:hAnsi="仿宋" w:eastAsia="仿宋" w:cs="仿宋"/>
          <w:sz w:val="32"/>
          <w:szCs w:val="32"/>
          <w:lang w:val="zh-CN" w:eastAsia="zh-CN"/>
        </w:rPr>
        <w:t>环境综合治理资金</w:t>
      </w:r>
      <w:r>
        <w:rPr>
          <w:rFonts w:hint="eastAsia" w:ascii="仿宋" w:hAnsi="仿宋" w:eastAsia="仿宋" w:cs="仿宋"/>
          <w:sz w:val="32"/>
          <w:szCs w:val="32"/>
          <w:lang w:val="en-US" w:eastAsia="zh-CN"/>
        </w:rPr>
        <w:t>25万，用于环境整治工作</w:t>
      </w:r>
      <w:r>
        <w:rPr>
          <w:rFonts w:hint="eastAsia" w:ascii="仿宋" w:hAnsi="仿宋" w:eastAsia="仿宋" w:cs="仿宋"/>
          <w:sz w:val="32"/>
          <w:szCs w:val="32"/>
          <w:lang w:val="zh-CN"/>
        </w:rPr>
        <w:t>⒂</w:t>
      </w:r>
      <w:r>
        <w:rPr>
          <w:rFonts w:hint="eastAsia" w:ascii="仿宋" w:hAnsi="仿宋" w:eastAsia="仿宋" w:cs="仿宋"/>
          <w:sz w:val="32"/>
          <w:szCs w:val="32"/>
          <w:lang w:val="zh-CN" w:eastAsia="zh-CN"/>
        </w:rPr>
        <w:t>统计工作资金</w:t>
      </w:r>
      <w:r>
        <w:rPr>
          <w:rFonts w:hint="eastAsia" w:ascii="仿宋" w:hAnsi="仿宋" w:eastAsia="仿宋" w:cs="仿宋"/>
          <w:sz w:val="32"/>
          <w:szCs w:val="32"/>
          <w:lang w:val="en-US" w:eastAsia="zh-CN"/>
        </w:rPr>
        <w:t>0.33万</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用于统计日常开支</w:t>
      </w:r>
      <w:r>
        <w:rPr>
          <w:rFonts w:hint="eastAsia" w:ascii="仿宋" w:hAnsi="仿宋" w:eastAsia="仿宋" w:cs="仿宋"/>
          <w:sz w:val="32"/>
          <w:szCs w:val="32"/>
          <w:lang w:val="en-US" w:eastAsia="zh-CN"/>
        </w:rPr>
        <w:t>（16）乡道公路养护经费11.4万，用于乡道公路养护；（17）</w:t>
      </w:r>
      <w:r>
        <w:rPr>
          <w:rFonts w:hint="eastAsia" w:ascii="仿宋" w:hAnsi="仿宋" w:eastAsia="仿宋" w:cs="仿宋"/>
          <w:sz w:val="32"/>
          <w:szCs w:val="32"/>
          <w:lang w:val="zh-CN"/>
        </w:rPr>
        <w:t>其他</w:t>
      </w:r>
      <w:r>
        <w:rPr>
          <w:rFonts w:hint="eastAsia" w:ascii="仿宋" w:hAnsi="仿宋" w:eastAsia="仿宋" w:cs="仿宋"/>
          <w:sz w:val="32"/>
          <w:szCs w:val="32"/>
          <w:lang w:val="en-US" w:eastAsia="zh-CN"/>
        </w:rPr>
        <w:t>4.87</w:t>
      </w:r>
      <w:r>
        <w:rPr>
          <w:rFonts w:hint="eastAsia" w:ascii="仿宋" w:hAnsi="仿宋" w:eastAsia="仿宋" w:cs="仿宋"/>
          <w:sz w:val="32"/>
          <w:szCs w:val="32"/>
          <w:lang w:val="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用于办公设施购置、工会活动经费、公益性岗位支出等。</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sz w:val="32"/>
          <w:szCs w:val="32"/>
          <w:lang w:val="zh-CN"/>
        </w:rPr>
      </w:pPr>
      <w:r>
        <w:rPr>
          <w:rFonts w:hint="eastAsia" w:ascii="仿宋" w:hAnsi="仿宋" w:eastAsia="仿宋" w:cs="仿宋"/>
          <w:b/>
          <w:sz w:val="32"/>
          <w:szCs w:val="32"/>
          <w:lang w:val="zh-CN"/>
        </w:rPr>
        <w:t>（三）项目资金申报相符性。</w:t>
      </w:r>
      <w:r>
        <w:rPr>
          <w:rFonts w:hint="eastAsia" w:ascii="仿宋" w:hAnsi="仿宋" w:eastAsia="仿宋" w:cs="仿宋"/>
          <w:sz w:val="32"/>
          <w:szCs w:val="32"/>
          <w:lang w:val="zh-CN"/>
        </w:rPr>
        <w:t>我镇结合实际，合理申报项目资金，并严格按照年初预算，逐项实施，未出现项目申报内容与具体实施内容不一致现象。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2" w:firstLineChars="20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1.资金计划及到位。本项目资金来源为财政拨款，总投入</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万元，资金已于20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年初随部门预算批复到位。</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2.资金使用。截止20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年12月31日，项目资金</w:t>
      </w:r>
      <w:r>
        <w:rPr>
          <w:rFonts w:hint="eastAsia" w:ascii="仿宋" w:hAnsi="仿宋" w:eastAsia="仿宋" w:cs="仿宋"/>
          <w:color w:val="000000"/>
          <w:sz w:val="32"/>
          <w:szCs w:val="32"/>
          <w:lang w:val="en-US" w:eastAsia="zh-CN"/>
        </w:rPr>
        <w:t>121</w:t>
      </w:r>
      <w:r>
        <w:rPr>
          <w:rFonts w:hint="eastAsia" w:ascii="仿宋" w:hAnsi="仿宋" w:eastAsia="仿宋" w:cs="仿宋"/>
          <w:sz w:val="32"/>
          <w:szCs w:val="32"/>
          <w:lang w:val="zh-CN"/>
        </w:rPr>
        <w:t>万元已全部支出。</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项目资金管理按基建项目管理，资金的收支均由镇财政所负责核算，会计核算较规范。该项目所有资金实行专款专用，资金拨付严格审批程序，使用规范，会计核算结果真实、准确。</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该项目资金主要用于保运行、促发展、助推脱贫攻坚，由本单位自行组织实施，在实施过程中严格按照有关制度执行，项目竣工验收按照合同规定，保质保量，有关资料及时统一归档保管。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lang w:val="zh-CN"/>
        </w:rPr>
      </w:pPr>
      <w:r>
        <w:rPr>
          <w:rFonts w:hint="eastAsia" w:ascii="仿宋" w:hAnsi="仿宋" w:eastAsia="仿宋" w:cs="仿宋"/>
          <w:sz w:val="32"/>
          <w:szCs w:val="32"/>
        </w:rPr>
        <w:t>三、目标完成情况</w:t>
      </w:r>
      <w:r>
        <w:rPr>
          <w:rFonts w:hint="eastAsia" w:ascii="仿宋" w:hAnsi="仿宋" w:eastAsia="仿宋" w:cs="仿宋"/>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（一）目标任务量完成情况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color w:val="FF0000"/>
          <w:sz w:val="32"/>
          <w:szCs w:val="32"/>
          <w:lang w:val="zh-CN"/>
        </w:rPr>
      </w:pPr>
      <w:r>
        <w:rPr>
          <w:rFonts w:hint="eastAsia" w:ascii="仿宋" w:hAnsi="仿宋" w:eastAsia="仿宋" w:cs="仿宋"/>
          <w:sz w:val="32"/>
          <w:szCs w:val="32"/>
          <w:lang w:val="zh-CN"/>
        </w:rPr>
        <w:t>我镇严格按照年初预算，所有项目已于20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年底前全部实施。</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（二）目标质量完成情况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经认真组织验收，我镇20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年所有财力保障项目质量合格。</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（三）目标进度完成情况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对照年初预定进度计划，所有项目均已如期完成，未出现超期现象。</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720"/>
        <w:textAlignment w:val="auto"/>
        <w:outlineLvl w:val="9"/>
        <w:rPr>
          <w:rFonts w:hint="eastAsia" w:ascii="仿宋" w:hAnsi="仿宋" w:eastAsia="仿宋" w:cs="仿宋"/>
          <w:sz w:val="32"/>
          <w:szCs w:val="32"/>
        </w:rPr>
      </w:pPr>
      <w:r>
        <w:rPr>
          <w:rFonts w:hint="eastAsia" w:ascii="仿宋" w:hAnsi="仿宋" w:eastAsia="仿宋" w:cs="仿宋"/>
          <w:sz w:val="32"/>
          <w:szCs w:val="32"/>
        </w:rPr>
        <w:t>四、项目效益情况</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1.经济性。该项目资金全部用于保运行、促发展、助推脱贫攻坚，着力改善人居环境，提高办公质量。</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2.效率性。该项目是按照现实需求来逐步完成的，资金已于20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年底全部支出。</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3.有效性。该项目主要用于保证正常办公秩序，改善基础设施条件，方便群众出行及办事，保障民生。</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4.可持续性。财政每年都下拨农村基础设施建设经费，我镇统筹安排，用于逐步改善农村人居环境及公共服务区域，提高了农民的生活、消费水平，促进地区经济发展。</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五、问题及整改</w:t>
      </w:r>
    </w:p>
    <w:p>
      <w:pPr>
        <w:keepNext w:val="0"/>
        <w:keepLines w:val="0"/>
        <w:pageBreakBefore w:val="0"/>
        <w:widowControl w:val="0"/>
        <w:kinsoku/>
        <w:wordWrap/>
        <w:overflowPunct/>
        <w:topLinePunct w:val="0"/>
        <w:autoSpaceDE/>
        <w:autoSpaceDN/>
        <w:bidi w:val="0"/>
        <w:adjustRightInd w:val="0"/>
        <w:snapToGrid w:val="0"/>
        <w:spacing w:line="578" w:lineRule="exact"/>
        <w:ind w:right="0" w:rightChars="0" w:firstLine="629" w:firstLineChars="196"/>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zh-CN"/>
        </w:rPr>
        <w:t>（一）存在的问题。</w:t>
      </w:r>
      <w:r>
        <w:rPr>
          <w:rFonts w:hint="eastAsia" w:ascii="仿宋" w:hAnsi="仿宋" w:eastAsia="仿宋" w:cs="仿宋"/>
          <w:sz w:val="32"/>
          <w:szCs w:val="32"/>
          <w:lang w:val="zh-CN"/>
        </w:rPr>
        <w:t>虽然20</w:t>
      </w:r>
      <w:r>
        <w:rPr>
          <w:rFonts w:hint="eastAsia" w:ascii="仿宋" w:hAnsi="仿宋" w:eastAsia="仿宋" w:cs="仿宋"/>
          <w:sz w:val="32"/>
          <w:szCs w:val="32"/>
          <w:lang w:val="en-US" w:eastAsia="zh-CN"/>
        </w:rPr>
        <w:t>20</w:t>
      </w:r>
      <w:r>
        <w:rPr>
          <w:rFonts w:hint="eastAsia" w:ascii="仿宋" w:hAnsi="仿宋" w:eastAsia="仿宋" w:cs="仿宋"/>
          <w:sz w:val="32"/>
          <w:szCs w:val="32"/>
          <w:lang w:val="zh-CN"/>
        </w:rPr>
        <w:t>年度财力保障项目资金得到充分使用，也取得了一些成绩，但是实际工作中还是存在一些问题：一是我镇每年待实施项目特别多，目前的项目资金难以满足实际工作需要；二是在实际工作中还需对工作流程进一步规范，切实满足工作人员需求。</w:t>
      </w:r>
    </w:p>
    <w:p>
      <w:pPr>
        <w:keepNext w:val="0"/>
        <w:keepLines w:val="0"/>
        <w:pageBreakBefore w:val="0"/>
        <w:widowControl w:val="0"/>
        <w:kinsoku/>
        <w:wordWrap/>
        <w:overflowPunct/>
        <w:topLinePunct w:val="0"/>
        <w:autoSpaceDE/>
        <w:autoSpaceDN/>
        <w:bidi w:val="0"/>
        <w:spacing w:line="578"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b/>
          <w:sz w:val="32"/>
          <w:szCs w:val="32"/>
          <w:lang w:val="zh-CN"/>
        </w:rPr>
        <w:t xml:space="preserve">    （二）整改措施。</w:t>
      </w:r>
      <w:r>
        <w:rPr>
          <w:rFonts w:hint="eastAsia" w:ascii="仿宋" w:hAnsi="仿宋" w:eastAsia="仿宋" w:cs="仿宋"/>
          <w:sz w:val="32"/>
          <w:szCs w:val="32"/>
          <w:lang w:val="zh-CN"/>
        </w:rPr>
        <w:t>下一步，我镇将继续按照上级财政部门相关要求，认真做好项目经费概算、管理和使用等工作，切实提高项目资金使用效率，最大限度的发挥项目资金作用，切实保障全镇各类秩序正常运行，进一步改善民生，已实现地区经济发展的最终目标。</w:t>
      </w:r>
      <w:r>
        <w:rPr>
          <w:rFonts w:hint="eastAsia" w:ascii="仿宋" w:hAnsi="仿宋" w:eastAsia="仿宋" w:cs="仿宋"/>
          <w:sz w:val="32"/>
          <w:szCs w:val="32"/>
        </w:rPr>
        <w:t xml:space="preserve">               </w:t>
      </w:r>
    </w:p>
    <w:p>
      <w:pPr>
        <w:spacing w:line="578" w:lineRule="exact"/>
        <w:ind w:left="4320" w:hanging="4320" w:hangingChars="1350"/>
        <w:rPr>
          <w:rFonts w:hint="eastAsia" w:ascii="仿宋" w:hAnsi="仿宋" w:eastAsia="仿宋" w:cs="仿宋"/>
          <w:sz w:val="32"/>
          <w:szCs w:val="32"/>
        </w:rPr>
      </w:pPr>
    </w:p>
    <w:p>
      <w:pPr>
        <w:spacing w:line="560" w:lineRule="exact"/>
        <w:jc w:val="center"/>
        <w:outlineLvl w:val="0"/>
        <w:rPr>
          <w:rFonts w:ascii="方正黑体_GBK" w:eastAsia="方正黑体_GBK"/>
          <w:color w:val="000000"/>
          <w:sz w:val="32"/>
          <w:szCs w:val="32"/>
        </w:rPr>
      </w:pPr>
    </w:p>
    <w:p>
      <w:pPr>
        <w:spacing w:line="560" w:lineRule="exact"/>
        <w:jc w:val="center"/>
        <w:outlineLvl w:val="0"/>
        <w:rPr>
          <w:rStyle w:val="19"/>
          <w:rFonts w:ascii="方正黑体_GBK" w:eastAsia="方正黑体_GBK"/>
          <w:b w:val="0"/>
          <w:sz w:val="32"/>
          <w:szCs w:val="32"/>
        </w:rPr>
      </w:pPr>
      <w:r>
        <w:rPr>
          <w:rFonts w:hint="eastAsia" w:ascii="方正黑体_GBK" w:eastAsia="方正黑体_GBK"/>
          <w:color w:val="000000"/>
          <w:sz w:val="32"/>
          <w:szCs w:val="32"/>
        </w:rPr>
        <w:t>第</w:t>
      </w:r>
      <w:r>
        <w:rPr>
          <w:rStyle w:val="19"/>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5"/>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20"/>
          <w:rFonts w:hint="eastAsia" w:ascii="Times New Roman" w:hAnsi="Times New Roman" w:eastAsia="方正仿宋_GBK"/>
          <w:b w:val="0"/>
          <w:bCs w:val="0"/>
        </w:rPr>
        <w:t>入支出决算总表</w:t>
      </w:r>
      <w:bookmarkEnd w:id="59"/>
    </w:p>
    <w:p>
      <w:pPr>
        <w:pStyle w:val="5"/>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20"/>
          <w:rFonts w:hint="eastAsia" w:ascii="Times New Roman" w:hAnsi="Times New Roman" w:eastAsia="方正仿宋_GBK"/>
          <w:b w:val="0"/>
          <w:bCs w:val="0"/>
        </w:rPr>
        <w:t>入决算表</w:t>
      </w:r>
      <w:bookmarkEnd w:id="60"/>
    </w:p>
    <w:p>
      <w:pPr>
        <w:pStyle w:val="5"/>
        <w:spacing w:before="0" w:after="0" w:line="560" w:lineRule="exact"/>
        <w:ind w:firstLine="640" w:firstLineChars="200"/>
        <w:rPr>
          <w:rFonts w:ascii="Times New Roman" w:hAnsi="Times New Roman" w:eastAsia="方正仿宋_GBK"/>
          <w:color w:val="000000"/>
        </w:rPr>
      </w:pPr>
      <w:bookmarkStart w:id="61" w:name="_Toc15396621"/>
      <w:r>
        <w:rPr>
          <w:rStyle w:val="20"/>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20"/>
          <w:rFonts w:hint="eastAsia" w:ascii="Times New Roman" w:hAnsi="Times New Roman" w:eastAsia="方正仿宋_GBK"/>
          <w:b w:val="0"/>
          <w:bCs w:val="0"/>
        </w:rPr>
        <w:t>出决算表</w:t>
      </w:r>
      <w:bookmarkEnd w:id="61"/>
    </w:p>
    <w:p>
      <w:pPr>
        <w:pStyle w:val="5"/>
        <w:spacing w:before="0" w:after="0" w:line="560" w:lineRule="exact"/>
        <w:ind w:firstLine="640" w:firstLineChars="200"/>
        <w:rPr>
          <w:rFonts w:ascii="Times New Roman" w:hAnsi="Times New Roman" w:eastAsia="方正仿宋_GBK"/>
          <w:b w:val="0"/>
          <w:color w:val="000000"/>
        </w:rPr>
      </w:pPr>
      <w:bookmarkStart w:id="62" w:name="_Toc15396622"/>
      <w:r>
        <w:rPr>
          <w:rStyle w:val="20"/>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20"/>
          <w:rFonts w:hint="eastAsia" w:ascii="Times New Roman" w:hAnsi="Times New Roman" w:eastAsia="方正仿宋_GBK"/>
          <w:b w:val="0"/>
          <w:bCs w:val="0"/>
        </w:rPr>
        <w:t>政拨款收入支出决算总表</w:t>
      </w:r>
      <w:bookmarkEnd w:id="62"/>
    </w:p>
    <w:p>
      <w:pPr>
        <w:pStyle w:val="5"/>
        <w:spacing w:before="0" w:after="0" w:line="560" w:lineRule="exact"/>
        <w:ind w:firstLine="640" w:firstLineChars="200"/>
        <w:rPr>
          <w:rStyle w:val="20"/>
          <w:rFonts w:ascii="Times New Roman" w:hAnsi="Times New Roman" w:eastAsia="方正仿宋_GBK"/>
          <w:b w:val="0"/>
          <w:bCs w:val="0"/>
        </w:rPr>
      </w:pPr>
      <w:bookmarkStart w:id="63" w:name="_Toc15396623"/>
      <w:r>
        <w:rPr>
          <w:rStyle w:val="20"/>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20"/>
          <w:rFonts w:hint="eastAsia" w:ascii="Times New Roman" w:hAnsi="Times New Roman" w:eastAsia="方正仿宋_GBK"/>
          <w:b w:val="0"/>
          <w:bCs w:val="0"/>
        </w:rPr>
        <w:t>政拨款支出决算明细表</w:t>
      </w:r>
      <w:bookmarkEnd w:id="63"/>
      <w:bookmarkStart w:id="64" w:name="_Toc15396624"/>
    </w:p>
    <w:p>
      <w:pPr>
        <w:pStyle w:val="5"/>
        <w:spacing w:before="0" w:after="0" w:line="560" w:lineRule="exact"/>
        <w:ind w:firstLine="640" w:firstLineChars="200"/>
        <w:rPr>
          <w:rFonts w:ascii="Times New Roman" w:hAnsi="Times New Roman" w:eastAsia="方正仿宋_GBK"/>
          <w:color w:val="000000"/>
        </w:rPr>
      </w:pPr>
      <w:r>
        <w:rPr>
          <w:rStyle w:val="20"/>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般公共预算财政拨款支出决算表</w:t>
      </w:r>
      <w:bookmarkEnd w:id="64"/>
    </w:p>
    <w:p>
      <w:pPr>
        <w:pStyle w:val="5"/>
        <w:spacing w:before="0" w:after="0" w:line="560" w:lineRule="exact"/>
        <w:ind w:firstLine="640" w:firstLineChars="200"/>
        <w:rPr>
          <w:rFonts w:ascii="Times New Roman" w:hAnsi="Times New Roman" w:eastAsia="方正仿宋_GBK"/>
          <w:color w:val="000000"/>
        </w:rPr>
      </w:pPr>
      <w:bookmarkStart w:id="65" w:name="_Toc15396625"/>
      <w:r>
        <w:rPr>
          <w:rStyle w:val="20"/>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般公共预算财政拨款支出决算明细表</w:t>
      </w:r>
      <w:bookmarkEnd w:id="65"/>
    </w:p>
    <w:p>
      <w:pPr>
        <w:pStyle w:val="5"/>
        <w:spacing w:before="0" w:after="0" w:line="560" w:lineRule="exact"/>
        <w:ind w:firstLine="640" w:firstLineChars="200"/>
        <w:rPr>
          <w:rFonts w:ascii="Times New Roman" w:hAnsi="Times New Roman" w:eastAsia="方正仿宋_GBK"/>
          <w:color w:val="000000"/>
        </w:rPr>
      </w:pPr>
      <w:bookmarkStart w:id="66" w:name="_Toc15396626"/>
      <w:r>
        <w:rPr>
          <w:rStyle w:val="20"/>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般公共预算财政拨款基本支出决算表</w:t>
      </w:r>
      <w:bookmarkEnd w:id="66"/>
    </w:p>
    <w:p>
      <w:pPr>
        <w:pStyle w:val="5"/>
        <w:spacing w:before="0" w:after="0" w:line="560" w:lineRule="exact"/>
        <w:ind w:firstLine="640" w:firstLineChars="200"/>
        <w:rPr>
          <w:rFonts w:ascii="Times New Roman" w:hAnsi="Times New Roman" w:eastAsia="方正仿宋_GBK"/>
          <w:color w:val="000000"/>
        </w:rPr>
      </w:pPr>
      <w:bookmarkStart w:id="67" w:name="_Toc15396627"/>
      <w:r>
        <w:rPr>
          <w:rStyle w:val="20"/>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般公共预算财政拨款项目支出决算表</w:t>
      </w:r>
      <w:bookmarkEnd w:id="67"/>
    </w:p>
    <w:p>
      <w:pPr>
        <w:pStyle w:val="5"/>
        <w:spacing w:before="0" w:after="0" w:line="560" w:lineRule="exact"/>
        <w:ind w:firstLine="640" w:firstLineChars="200"/>
        <w:rPr>
          <w:rFonts w:ascii="Times New Roman" w:hAnsi="Times New Roman" w:eastAsia="方正仿宋_GBK"/>
          <w:color w:val="000000"/>
        </w:rPr>
      </w:pPr>
      <w:bookmarkStart w:id="68" w:name="_Toc15396628"/>
      <w:r>
        <w:rPr>
          <w:rStyle w:val="20"/>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20"/>
          <w:rFonts w:hint="eastAsia" w:ascii="Times New Roman" w:hAnsi="Times New Roman" w:eastAsia="方正仿宋_GBK"/>
          <w:b w:val="0"/>
          <w:bCs w:val="0"/>
        </w:rPr>
        <w:t>般公共预算财政拨款</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三公</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经费支出决算表</w:t>
      </w:r>
      <w:bookmarkEnd w:id="68"/>
    </w:p>
    <w:p>
      <w:pPr>
        <w:pStyle w:val="5"/>
        <w:spacing w:before="0" w:after="0" w:line="560" w:lineRule="exact"/>
        <w:ind w:firstLine="640" w:firstLineChars="200"/>
        <w:rPr>
          <w:rFonts w:ascii="Times New Roman" w:hAnsi="Times New Roman" w:eastAsia="方正仿宋_GBK"/>
          <w:color w:val="000000"/>
        </w:rPr>
      </w:pPr>
      <w:bookmarkStart w:id="69" w:name="_Toc15396629"/>
      <w:r>
        <w:rPr>
          <w:rStyle w:val="20"/>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20"/>
          <w:rFonts w:hint="eastAsia" w:ascii="Times New Roman" w:hAnsi="Times New Roman" w:eastAsia="方正仿宋_GBK"/>
          <w:b w:val="0"/>
          <w:bCs w:val="0"/>
        </w:rPr>
        <w:t>府性基金预算财政拨款收入支出决算表</w:t>
      </w:r>
      <w:bookmarkEnd w:id="69"/>
    </w:p>
    <w:p>
      <w:pPr>
        <w:pStyle w:val="5"/>
        <w:spacing w:before="0" w:after="0" w:line="560" w:lineRule="exact"/>
        <w:ind w:firstLine="640" w:firstLineChars="200"/>
        <w:rPr>
          <w:rFonts w:ascii="Times New Roman" w:hAnsi="Times New Roman" w:eastAsia="方正仿宋_GBK"/>
          <w:color w:val="000000"/>
        </w:rPr>
      </w:pPr>
      <w:bookmarkStart w:id="70" w:name="_Toc15396630"/>
      <w:r>
        <w:rPr>
          <w:rStyle w:val="20"/>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20"/>
          <w:rFonts w:hint="eastAsia" w:ascii="Times New Roman" w:hAnsi="Times New Roman" w:eastAsia="方正仿宋_GBK"/>
          <w:b w:val="0"/>
          <w:bCs w:val="0"/>
        </w:rPr>
        <w:t>府性基金预算财政拨款</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三公</w:t>
      </w:r>
      <w:r>
        <w:rPr>
          <w:rStyle w:val="20"/>
          <w:rFonts w:ascii="Times New Roman" w:hAnsi="Times New Roman" w:eastAsia="方正仿宋_GBK"/>
          <w:b w:val="0"/>
          <w:bCs w:val="0"/>
        </w:rPr>
        <w:t>”</w:t>
      </w:r>
      <w:r>
        <w:rPr>
          <w:rStyle w:val="20"/>
          <w:rFonts w:hint="eastAsia" w:ascii="Times New Roman" w:hAnsi="Times New Roman" w:eastAsia="方正仿宋_GBK"/>
          <w:b w:val="0"/>
          <w:bCs w:val="0"/>
        </w:rPr>
        <w:t>经费支出决算表</w:t>
      </w:r>
      <w:bookmarkEnd w:id="70"/>
    </w:p>
    <w:p>
      <w:pPr>
        <w:pStyle w:val="5"/>
        <w:spacing w:before="0" w:after="0" w:line="560" w:lineRule="exact"/>
        <w:ind w:firstLine="640" w:firstLineChars="200"/>
        <w:rPr>
          <w:rStyle w:val="20"/>
          <w:rFonts w:ascii="Times New Roman" w:hAnsi="Times New Roman" w:eastAsia="方正仿宋_GBK"/>
          <w:b w:val="0"/>
          <w:bCs w:val="0"/>
        </w:rPr>
      </w:pPr>
      <w:bookmarkStart w:id="71" w:name="_Toc15396631"/>
      <w:r>
        <w:rPr>
          <w:rStyle w:val="20"/>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20"/>
          <w:rFonts w:hint="eastAsia" w:ascii="Times New Roman" w:hAnsi="Times New Roman" w:eastAsia="方正仿宋_GBK"/>
          <w:b w:val="0"/>
          <w:bCs w:val="0"/>
        </w:rPr>
        <w:t>有资本经营预算财政拨款收入支出决算表</w:t>
      </w:r>
      <w:bookmarkEnd w:id="71"/>
    </w:p>
    <w:p>
      <w:pPr>
        <w:pStyle w:val="5"/>
        <w:spacing w:before="0" w:after="0" w:line="560" w:lineRule="exact"/>
        <w:ind w:firstLine="640" w:firstLineChars="200"/>
        <w:rPr>
          <w:rFonts w:ascii="Times New Roman" w:hAnsi="Times New Roman" w:eastAsia="方正仿宋_GBK"/>
          <w:color w:val="000000"/>
        </w:rPr>
      </w:pPr>
      <w:r>
        <w:rPr>
          <w:rStyle w:val="20"/>
          <w:rFonts w:hint="eastAsia" w:ascii="Times New Roman" w:hAnsi="Times New Roman" w:eastAsia="方正仿宋_GBK"/>
          <w:b w:val="0"/>
          <w:bCs w:val="0"/>
        </w:rPr>
        <w:t>十四、</w:t>
      </w:r>
      <w:r>
        <w:rPr>
          <w:rFonts w:hint="eastAsia" w:ascii="Times New Roman" w:hAnsi="Times New Roman" w:eastAsia="方正仿宋_GBK"/>
          <w:b w:val="0"/>
          <w:color w:val="000000"/>
        </w:rPr>
        <w:t>国</w:t>
      </w:r>
      <w:r>
        <w:rPr>
          <w:rStyle w:val="20"/>
          <w:rFonts w:hint="eastAsia" w:ascii="Times New Roman" w:hAnsi="Times New Roman" w:eastAsia="方正仿宋_GBK"/>
          <w:b w:val="0"/>
          <w:bCs w:val="0"/>
        </w:rPr>
        <w:t>有资本经营预算财政拨款支出决算表</w:t>
      </w:r>
    </w:p>
    <w:p/>
    <w:sectPr>
      <w:headerReference r:id="rId3" w:type="default"/>
      <w:footerReference r:id="rId4" w:type="default"/>
      <w:pgSz w:w="11906" w:h="16838"/>
      <w:pgMar w:top="1701" w:right="1588" w:bottom="1588"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en-US"/>
      </w:rPr>
      <w:fldChar w:fldCharType="begin"/>
    </w:r>
    <w:r>
      <w:instrText xml:space="preserve">PAGE   \* MERGEFORMAT</w:instrText>
    </w:r>
    <w:r>
      <w:rPr>
        <w:lang w:val="en-US"/>
      </w:rPr>
      <w:fldChar w:fldCharType="separate"/>
    </w:r>
    <w:r>
      <w:rPr>
        <w:lang w:val="zh-CN"/>
      </w:rPr>
      <w:t>9</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1">
    <w:nsid w:val="57284018"/>
    <w:multiLevelType w:val="singleLevel"/>
    <w:tmpl w:val="57284018"/>
    <w:lvl w:ilvl="0" w:tentative="0">
      <w:start w:val="7"/>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GI5YWFlZTc3MGQzNzQ0MmUzODNhOTU5MWUwZjUifQ=="/>
  </w:docVars>
  <w:rsids>
    <w:rsidRoot w:val="00F1361C"/>
    <w:rsid w:val="000222C6"/>
    <w:rsid w:val="00023449"/>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3DC"/>
    <w:rsid w:val="000D1267"/>
    <w:rsid w:val="000D1D50"/>
    <w:rsid w:val="000D5782"/>
    <w:rsid w:val="000E6613"/>
    <w:rsid w:val="000E7119"/>
    <w:rsid w:val="00114E9B"/>
    <w:rsid w:val="00142216"/>
    <w:rsid w:val="001427F9"/>
    <w:rsid w:val="00144D6A"/>
    <w:rsid w:val="0014729F"/>
    <w:rsid w:val="00157BAB"/>
    <w:rsid w:val="001654D1"/>
    <w:rsid w:val="00174518"/>
    <w:rsid w:val="0018106D"/>
    <w:rsid w:val="001877A7"/>
    <w:rsid w:val="00191536"/>
    <w:rsid w:val="00196687"/>
    <w:rsid w:val="001A7EBB"/>
    <w:rsid w:val="001C0962"/>
    <w:rsid w:val="001D5E9C"/>
    <w:rsid w:val="001D7531"/>
    <w:rsid w:val="001E737D"/>
    <w:rsid w:val="001F0592"/>
    <w:rsid w:val="001F7506"/>
    <w:rsid w:val="002006CD"/>
    <w:rsid w:val="00202B36"/>
    <w:rsid w:val="00204B7A"/>
    <w:rsid w:val="00204CDE"/>
    <w:rsid w:val="0021101A"/>
    <w:rsid w:val="0021533F"/>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4545F"/>
    <w:rsid w:val="0036561B"/>
    <w:rsid w:val="0037013F"/>
    <w:rsid w:val="00380C92"/>
    <w:rsid w:val="00385652"/>
    <w:rsid w:val="003A484F"/>
    <w:rsid w:val="003A4883"/>
    <w:rsid w:val="003B0BE0"/>
    <w:rsid w:val="003B0C1B"/>
    <w:rsid w:val="003B688C"/>
    <w:rsid w:val="003C0291"/>
    <w:rsid w:val="003C39AE"/>
    <w:rsid w:val="003C7B60"/>
    <w:rsid w:val="003D0AAF"/>
    <w:rsid w:val="003D0C0F"/>
    <w:rsid w:val="003D1FB2"/>
    <w:rsid w:val="003D66DA"/>
    <w:rsid w:val="003E1310"/>
    <w:rsid w:val="003E6F55"/>
    <w:rsid w:val="00406254"/>
    <w:rsid w:val="0041392D"/>
    <w:rsid w:val="00416CD4"/>
    <w:rsid w:val="004223DE"/>
    <w:rsid w:val="00434489"/>
    <w:rsid w:val="00437085"/>
    <w:rsid w:val="00443880"/>
    <w:rsid w:val="00445DBD"/>
    <w:rsid w:val="004464F4"/>
    <w:rsid w:val="004520F0"/>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445E2"/>
    <w:rsid w:val="005664BB"/>
    <w:rsid w:val="00566FFA"/>
    <w:rsid w:val="0057481D"/>
    <w:rsid w:val="00575F0B"/>
    <w:rsid w:val="0058486E"/>
    <w:rsid w:val="00585B33"/>
    <w:rsid w:val="0059014D"/>
    <w:rsid w:val="00593AA7"/>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4612"/>
    <w:rsid w:val="007D1682"/>
    <w:rsid w:val="007D312A"/>
    <w:rsid w:val="007D3F19"/>
    <w:rsid w:val="007D5530"/>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77C"/>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0F9F"/>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7F45"/>
    <w:rsid w:val="00A91760"/>
    <w:rsid w:val="00A93B00"/>
    <w:rsid w:val="00A93C21"/>
    <w:rsid w:val="00AA326D"/>
    <w:rsid w:val="00AB64C9"/>
    <w:rsid w:val="00AC3C6A"/>
    <w:rsid w:val="00AD0F83"/>
    <w:rsid w:val="00AD4CD1"/>
    <w:rsid w:val="00AD5620"/>
    <w:rsid w:val="00AD656B"/>
    <w:rsid w:val="00AD7C1B"/>
    <w:rsid w:val="00AE16BA"/>
    <w:rsid w:val="00AE1EBE"/>
    <w:rsid w:val="00B00BDD"/>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1F4F"/>
    <w:rsid w:val="00C62B85"/>
    <w:rsid w:val="00C65438"/>
    <w:rsid w:val="00C91CBB"/>
    <w:rsid w:val="00CB4E70"/>
    <w:rsid w:val="00CC09B6"/>
    <w:rsid w:val="00CC666F"/>
    <w:rsid w:val="00CD1E3F"/>
    <w:rsid w:val="00CD5C75"/>
    <w:rsid w:val="00CE44F6"/>
    <w:rsid w:val="00CE49DA"/>
    <w:rsid w:val="00CE7B61"/>
    <w:rsid w:val="00CF7040"/>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D7515"/>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72C"/>
    <w:rsid w:val="00F81FD9"/>
    <w:rsid w:val="00F841AA"/>
    <w:rsid w:val="00F84A94"/>
    <w:rsid w:val="00F87E96"/>
    <w:rsid w:val="00FA23E8"/>
    <w:rsid w:val="00FA4393"/>
    <w:rsid w:val="00FD3CC1"/>
    <w:rsid w:val="00FF1E02"/>
    <w:rsid w:val="00FF30B4"/>
    <w:rsid w:val="01C45960"/>
    <w:rsid w:val="04BD67CD"/>
    <w:rsid w:val="08D90405"/>
    <w:rsid w:val="08F05C91"/>
    <w:rsid w:val="0D62629E"/>
    <w:rsid w:val="0F286651"/>
    <w:rsid w:val="10C055FF"/>
    <w:rsid w:val="112B616F"/>
    <w:rsid w:val="122D4D5B"/>
    <w:rsid w:val="14D22198"/>
    <w:rsid w:val="162219D2"/>
    <w:rsid w:val="16BB723D"/>
    <w:rsid w:val="18D00D41"/>
    <w:rsid w:val="196442B0"/>
    <w:rsid w:val="1B255EEF"/>
    <w:rsid w:val="1CEF2A9F"/>
    <w:rsid w:val="1F3F1FA1"/>
    <w:rsid w:val="1F750C9C"/>
    <w:rsid w:val="240371BF"/>
    <w:rsid w:val="24BD4A9B"/>
    <w:rsid w:val="26900FEE"/>
    <w:rsid w:val="29FD04D3"/>
    <w:rsid w:val="319F7F4E"/>
    <w:rsid w:val="327C7C2E"/>
    <w:rsid w:val="366514A8"/>
    <w:rsid w:val="369A762C"/>
    <w:rsid w:val="3F566BE7"/>
    <w:rsid w:val="44F24DA8"/>
    <w:rsid w:val="45822371"/>
    <w:rsid w:val="48377C34"/>
    <w:rsid w:val="49035A5F"/>
    <w:rsid w:val="4ECE2238"/>
    <w:rsid w:val="50857717"/>
    <w:rsid w:val="51895C59"/>
    <w:rsid w:val="52660CD3"/>
    <w:rsid w:val="561317B0"/>
    <w:rsid w:val="57AC652D"/>
    <w:rsid w:val="58CB458B"/>
    <w:rsid w:val="5A5D2B71"/>
    <w:rsid w:val="5A677E8D"/>
    <w:rsid w:val="5BC548B1"/>
    <w:rsid w:val="5FE37631"/>
    <w:rsid w:val="5FFFD371"/>
    <w:rsid w:val="632574EF"/>
    <w:rsid w:val="64BE676F"/>
    <w:rsid w:val="67D32135"/>
    <w:rsid w:val="6AEB363B"/>
    <w:rsid w:val="6E3E5BD2"/>
    <w:rsid w:val="6E681D31"/>
    <w:rsid w:val="72734D90"/>
    <w:rsid w:val="7A7014F1"/>
    <w:rsid w:val="7ABB5C8D"/>
    <w:rsid w:val="7BA34D0C"/>
    <w:rsid w:val="7C835AA1"/>
    <w:rsid w:val="7CEF267D"/>
    <w:rsid w:val="FFB6E6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widowControl w:val="0"/>
      <w:spacing w:after="120"/>
      <w:ind w:left="420" w:leftChars="200"/>
      <w:jc w:val="both"/>
    </w:pPr>
    <w:rPr>
      <w:rFonts w:ascii="Times New Roman" w:hAnsi="Times New Roman" w:cs="Times New Roman"/>
      <w:kern w:val="2"/>
      <w:sz w:val="21"/>
    </w:rPr>
  </w:style>
  <w:style w:type="paragraph" w:styleId="7">
    <w:name w:val="Body Text"/>
    <w:basedOn w:val="1"/>
    <w:link w:val="28"/>
    <w:qFormat/>
    <w:uiPriority w:val="99"/>
    <w:pPr>
      <w:spacing w:beforeLines="30"/>
    </w:pPr>
    <w:rPr>
      <w:rFonts w:ascii="仿宋_GB2312" w:eastAsia="仿宋_GB2312"/>
      <w:kern w:val="0"/>
      <w:sz w:val="24"/>
      <w:szCs w:val="20"/>
    </w:rPr>
  </w:style>
  <w:style w:type="paragraph" w:styleId="8">
    <w:name w:val="toc 3"/>
    <w:basedOn w:val="1"/>
    <w:next w:val="1"/>
    <w:qFormat/>
    <w:uiPriority w:val="99"/>
    <w:pPr>
      <w:tabs>
        <w:tab w:val="right" w:leader="dot" w:pos="8296"/>
      </w:tabs>
      <w:ind w:left="840" w:leftChars="400"/>
    </w:pPr>
  </w:style>
  <w:style w:type="paragraph" w:styleId="9">
    <w:name w:val="Balloon Text"/>
    <w:basedOn w:val="1"/>
    <w:link w:val="23"/>
    <w:semiHidden/>
    <w:qFormat/>
    <w:uiPriority w:val="99"/>
    <w:rPr>
      <w:sz w:val="18"/>
      <w:szCs w:val="18"/>
    </w:rPr>
  </w:style>
  <w:style w:type="paragraph" w:styleId="10">
    <w:name w:val="footer"/>
    <w:basedOn w:val="1"/>
    <w:link w:val="27"/>
    <w:qFormat/>
    <w:uiPriority w:val="99"/>
    <w:pPr>
      <w:tabs>
        <w:tab w:val="center" w:pos="4153"/>
        <w:tab w:val="right" w:pos="8306"/>
      </w:tabs>
      <w:snapToGrid w:val="0"/>
      <w:jc w:val="left"/>
    </w:pPr>
    <w:rPr>
      <w:kern w:val="0"/>
      <w:sz w:val="18"/>
      <w:szCs w:val="20"/>
    </w:rPr>
  </w:style>
  <w:style w:type="paragraph" w:styleId="11">
    <w:name w:val="header"/>
    <w:basedOn w:val="1"/>
    <w:link w:val="26"/>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unhideWhenUsed/>
    <w:qFormat/>
    <w:uiPriority w:val="0"/>
    <w:rPr>
      <w:sz w:val="24"/>
      <w:szCs w:val="20"/>
    </w:rPr>
  </w:style>
  <w:style w:type="character" w:styleId="17">
    <w:name w:val="Strong"/>
    <w:basedOn w:val="16"/>
    <w:qFormat/>
    <w:uiPriority w:val="99"/>
    <w:rPr>
      <w:rFonts w:cs="Times New Roman"/>
      <w:b/>
    </w:rPr>
  </w:style>
  <w:style w:type="character" w:styleId="18">
    <w:name w:val="Hyperlink"/>
    <w:basedOn w:val="16"/>
    <w:qFormat/>
    <w:uiPriority w:val="99"/>
    <w:rPr>
      <w:rFonts w:cs="Times New Roman"/>
      <w:color w:val="0000FF"/>
      <w:u w:val="single"/>
    </w:rPr>
  </w:style>
  <w:style w:type="character" w:customStyle="1" w:styleId="19">
    <w:name w:val="Heading 1 Char"/>
    <w:basedOn w:val="16"/>
    <w:link w:val="4"/>
    <w:qFormat/>
    <w:locked/>
    <w:uiPriority w:val="99"/>
    <w:rPr>
      <w:rFonts w:ascii="Times New Roman" w:hAnsi="Times New Roman" w:cs="Times New Roman"/>
      <w:b/>
      <w:bCs/>
      <w:kern w:val="44"/>
      <w:sz w:val="44"/>
      <w:szCs w:val="44"/>
    </w:rPr>
  </w:style>
  <w:style w:type="character" w:customStyle="1" w:styleId="20">
    <w:name w:val="标题 2 Char"/>
    <w:basedOn w:val="16"/>
    <w:link w:val="5"/>
    <w:qFormat/>
    <w:locked/>
    <w:uiPriority w:val="99"/>
    <w:rPr>
      <w:rFonts w:ascii="Cambria" w:hAnsi="Cambria" w:eastAsia="宋体" w:cs="Times New Roman"/>
      <w:b/>
      <w:bCs/>
      <w:kern w:val="2"/>
      <w:sz w:val="32"/>
      <w:szCs w:val="32"/>
    </w:rPr>
  </w:style>
  <w:style w:type="character" w:customStyle="1" w:styleId="21">
    <w:name w:val="标题 3 Char"/>
    <w:basedOn w:val="16"/>
    <w:link w:val="6"/>
    <w:qFormat/>
    <w:locked/>
    <w:uiPriority w:val="99"/>
    <w:rPr>
      <w:rFonts w:ascii="Times New Roman" w:hAnsi="Times New Roman" w:cs="Times New Roman"/>
      <w:b/>
      <w:bCs/>
      <w:kern w:val="2"/>
      <w:sz w:val="32"/>
      <w:szCs w:val="32"/>
    </w:rPr>
  </w:style>
  <w:style w:type="character" w:customStyle="1" w:styleId="22">
    <w:name w:val="Body Text Char"/>
    <w:basedOn w:val="16"/>
    <w:link w:val="7"/>
    <w:semiHidden/>
    <w:qFormat/>
    <w:uiPriority w:val="99"/>
    <w:rPr>
      <w:rFonts w:ascii="Times New Roman" w:hAnsi="Times New Roman" w:cs="Times New Roman"/>
      <w:sz w:val="24"/>
      <w:szCs w:val="24"/>
    </w:rPr>
  </w:style>
  <w:style w:type="character" w:customStyle="1" w:styleId="23">
    <w:name w:val="批注框文本 Char"/>
    <w:basedOn w:val="16"/>
    <w:link w:val="9"/>
    <w:semiHidden/>
    <w:qFormat/>
    <w:locked/>
    <w:uiPriority w:val="99"/>
    <w:rPr>
      <w:rFonts w:ascii="Times New Roman" w:hAnsi="Times New Roman" w:cs="Times New Roman"/>
      <w:kern w:val="2"/>
      <w:sz w:val="18"/>
      <w:szCs w:val="18"/>
    </w:rPr>
  </w:style>
  <w:style w:type="character" w:customStyle="1" w:styleId="24">
    <w:name w:val="Footer Char"/>
    <w:basedOn w:val="16"/>
    <w:link w:val="10"/>
    <w:semiHidden/>
    <w:qFormat/>
    <w:uiPriority w:val="99"/>
    <w:rPr>
      <w:rFonts w:ascii="Times New Roman" w:hAnsi="Times New Roman" w:cs="Times New Roman"/>
      <w:sz w:val="18"/>
      <w:szCs w:val="18"/>
    </w:rPr>
  </w:style>
  <w:style w:type="character" w:customStyle="1" w:styleId="25">
    <w:name w:val="Header Char"/>
    <w:basedOn w:val="16"/>
    <w:link w:val="11"/>
    <w:semiHidden/>
    <w:qFormat/>
    <w:uiPriority w:val="99"/>
    <w:rPr>
      <w:rFonts w:ascii="Times New Roman" w:hAnsi="Times New Roman" w:cs="Times New Roman"/>
      <w:sz w:val="18"/>
      <w:szCs w:val="18"/>
    </w:rPr>
  </w:style>
  <w:style w:type="character" w:customStyle="1" w:styleId="26">
    <w:name w:val="页眉 Char"/>
    <w:link w:val="11"/>
    <w:semiHidden/>
    <w:qFormat/>
    <w:locked/>
    <w:uiPriority w:val="99"/>
    <w:rPr>
      <w:sz w:val="18"/>
    </w:rPr>
  </w:style>
  <w:style w:type="character" w:customStyle="1" w:styleId="27">
    <w:name w:val="页脚 Char"/>
    <w:link w:val="10"/>
    <w:qFormat/>
    <w:locked/>
    <w:uiPriority w:val="99"/>
    <w:rPr>
      <w:sz w:val="18"/>
    </w:rPr>
  </w:style>
  <w:style w:type="character" w:customStyle="1" w:styleId="28">
    <w:name w:val="正文文本 Char"/>
    <w:link w:val="7"/>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2">
    <w:name w:val="TOC 标题2"/>
    <w:basedOn w:val="4"/>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3">
    <w:name w:val="标题 1 Char"/>
    <w:basedOn w:val="16"/>
    <w:link w:val="4"/>
    <w:qFormat/>
    <w:uiPriority w:val="9"/>
    <w:rPr>
      <w:rFonts w:ascii="Times New Roman" w:hAnsi="Times New Roman"/>
      <w:b/>
      <w:bCs/>
      <w:kern w:val="44"/>
      <w:sz w:val="44"/>
      <w:szCs w:val="44"/>
    </w:rPr>
  </w:style>
  <w:style w:type="paragraph" w:customStyle="1" w:styleId="34">
    <w:name w:val="四号正文"/>
    <w:basedOn w:val="1"/>
    <w:qFormat/>
    <w:uiPriority w:val="0"/>
    <w:pPr>
      <w:spacing w:line="360" w:lineRule="auto"/>
    </w:pPr>
    <w:rPr>
      <w:rFonts w:ascii="??" w:hAnsi="??" w:cs="宋体"/>
      <w:color w:val="000000"/>
      <w:kern w:val="0"/>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19388</Words>
  <Characters>20482</Characters>
  <Lines>129</Lines>
  <Paragraphs>36</Paragraphs>
  <TotalTime>0</TotalTime>
  <ScaleCrop>false</ScaleCrop>
  <LinksUpToDate>false</LinksUpToDate>
  <CharactersWithSpaces>20842</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2020-08-26T22:15:00Z</dcterms:created>
  <dc:creator>曹颖</dc:creator>
  <cp:lastModifiedBy>user</cp:lastModifiedBy>
  <cp:lastPrinted>2020-07-23T18:58:00Z</cp:lastPrinted>
  <dcterms:modified xsi:type="dcterms:W3CDTF">2023-11-30T15:07:27Z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A7FD115119A14EA6A70990375D4B7B60</vt:lpwstr>
  </property>
</Properties>
</file>