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15377193"/>
      <w:bookmarkStart w:id="1" w:name="_Toc15396475"/>
      <w:bookmarkStart w:id="2" w:name="_Toc15377425"/>
      <w:bookmarkStart w:id="3" w:name="_Toc15378441"/>
      <w:bookmarkStart w:id="4" w:name="_Toc15396597"/>
      <w:bookmarkStart w:id="5" w:name="_Toc15306267"/>
    </w:p>
    <w:p>
      <w:pPr>
        <w:spacing w:line="600" w:lineRule="exact"/>
        <w:jc w:val="center"/>
        <w:outlineLvl w:val="0"/>
        <w:rPr>
          <w:rFonts w:eastAsia="方正小标宋简体"/>
          <w:sz w:val="72"/>
          <w:szCs w:val="72"/>
        </w:rPr>
      </w:pPr>
    </w:p>
    <w:p>
      <w:pPr>
        <w:spacing w:line="600" w:lineRule="exact"/>
        <w:jc w:val="center"/>
        <w:outlineLvl w:val="0"/>
        <w:rPr>
          <w:rFonts w:eastAsia="方正小标宋简体"/>
          <w:sz w:val="72"/>
          <w:szCs w:val="72"/>
        </w:rPr>
      </w:pPr>
    </w:p>
    <w:p>
      <w:pPr>
        <w:jc w:val="center"/>
        <w:rPr>
          <w:rFonts w:hint="eastAsia" w:ascii="方正小标宋_GBK" w:hAnsi="方正小标宋_GBK" w:eastAsia="方正小标宋_GBK" w:cs="方正小标宋_GBK"/>
          <w:sz w:val="44"/>
          <w:szCs w:val="44"/>
        </w:rPr>
      </w:pPr>
      <w:bookmarkStart w:id="6" w:name="_Toc146881791"/>
      <w:bookmarkStart w:id="7" w:name="_Toc146881203"/>
      <w:bookmarkStart w:id="8" w:name="_Toc146881331"/>
      <w:r>
        <w:rPr>
          <w:rFonts w:hint="eastAsia" w:ascii="方正小标宋_GBK" w:hAnsi="方正小标宋_GBK" w:eastAsia="方正小标宋_GBK" w:cs="方正小标宋_GBK"/>
          <w:sz w:val="44"/>
          <w:szCs w:val="44"/>
        </w:rPr>
        <w:t>2022年度</w:t>
      </w:r>
      <w:bookmarkEnd w:id="0"/>
      <w:bookmarkEnd w:id="1"/>
      <w:bookmarkEnd w:id="2"/>
      <w:bookmarkEnd w:id="3"/>
      <w:bookmarkEnd w:id="4"/>
      <w:bookmarkEnd w:id="6"/>
      <w:bookmarkEnd w:id="7"/>
      <w:bookmarkEnd w:id="8"/>
    </w:p>
    <w:p>
      <w:pPr>
        <w:jc w:val="center"/>
        <w:rPr>
          <w:rFonts w:hint="eastAsia" w:ascii="方正小标宋_GBK" w:hAnsi="方正小标宋_GBK" w:eastAsia="方正小标宋_GBK" w:cs="方正小标宋_GBK"/>
          <w:sz w:val="44"/>
          <w:szCs w:val="44"/>
        </w:rPr>
      </w:pPr>
      <w:bookmarkStart w:id="9" w:name="_Toc146881204"/>
      <w:bookmarkStart w:id="10" w:name="_Toc15396476"/>
      <w:bookmarkStart w:id="11" w:name="_Toc15378442"/>
      <w:bookmarkStart w:id="12" w:name="_Toc146881792"/>
      <w:bookmarkStart w:id="13" w:name="_Toc15377194"/>
      <w:bookmarkStart w:id="14" w:name="_Toc146881332"/>
      <w:bookmarkStart w:id="15" w:name="_Toc15396598"/>
      <w:bookmarkStart w:id="16" w:name="_Toc15377426"/>
      <w:r>
        <w:rPr>
          <w:rFonts w:hint="eastAsia" w:ascii="方正小标宋_GBK" w:hAnsi="方正小标宋_GBK" w:eastAsia="方正小标宋_GBK" w:cs="方正小标宋_GBK"/>
          <w:sz w:val="44"/>
          <w:szCs w:val="44"/>
        </w:rPr>
        <w:t>达州市</w:t>
      </w:r>
      <w:bookmarkEnd w:id="5"/>
      <w:bookmarkStart w:id="17" w:name="_Toc15306268"/>
      <w:r>
        <w:rPr>
          <w:rFonts w:hint="eastAsia" w:ascii="方正小标宋_GBK" w:hAnsi="方正小标宋_GBK" w:eastAsia="方正小标宋_GBK" w:cs="方正小标宋_GBK"/>
          <w:sz w:val="44"/>
          <w:szCs w:val="44"/>
        </w:rPr>
        <w:t>达川区实验幼儿园</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部门决算</w:t>
      </w:r>
      <w:bookmarkEnd w:id="9"/>
      <w:bookmarkEnd w:id="10"/>
      <w:bookmarkEnd w:id="11"/>
      <w:bookmarkEnd w:id="12"/>
      <w:bookmarkEnd w:id="13"/>
      <w:bookmarkEnd w:id="14"/>
      <w:bookmarkEnd w:id="15"/>
      <w:bookmarkEnd w:id="16"/>
      <w:bookmarkEnd w:id="17"/>
      <w:r>
        <w:rPr>
          <w:rFonts w:hint="eastAsia" w:ascii="方正小标宋_GBK" w:hAnsi="方正小标宋_GBK" w:eastAsia="方正小标宋_GBK" w:cs="方正小标宋_GBK"/>
          <w:sz w:val="44"/>
          <w:szCs w:val="44"/>
        </w:rPr>
        <w:t>编制说明</w:t>
      </w:r>
    </w:p>
    <w:p>
      <w:pPr>
        <w:widowControl/>
        <w:spacing w:line="578" w:lineRule="exact"/>
        <w:jc w:val="center"/>
        <w:rPr>
          <w:rFonts w:eastAsia="方正黑体_GBK"/>
          <w:color w:val="000000" w:themeColor="text1"/>
          <w:sz w:val="48"/>
          <w:szCs w:val="48"/>
        </w:rPr>
      </w:pPr>
      <w:r>
        <w:rPr>
          <w:rFonts w:eastAsia="方正小标宋简体"/>
          <w:sz w:val="36"/>
          <w:szCs w:val="36"/>
        </w:rPr>
        <w:br w:type="page"/>
      </w:r>
      <w:bookmarkStart w:id="18" w:name="_Toc146881333"/>
      <w:bookmarkStart w:id="19" w:name="_Toc146881970"/>
      <w:bookmarkStart w:id="20" w:name="_Toc146881793"/>
      <w:bookmarkStart w:id="21" w:name="_Toc146881205"/>
      <w:bookmarkStart w:id="22" w:name="_Toc15377196"/>
      <w:bookmarkStart w:id="23" w:name="_Toc15396599"/>
      <w:bookmarkStart w:id="24" w:name="_Toc28513"/>
      <w:bookmarkStart w:id="25" w:name="_Toc146882149"/>
      <w:r>
        <w:rPr>
          <w:rFonts w:eastAsia="方正黑体_GBK"/>
          <w:color w:val="000000" w:themeColor="text1"/>
          <w:sz w:val="48"/>
          <w:szCs w:val="48"/>
        </w:rPr>
        <w:t>目录</w:t>
      </w:r>
    </w:p>
    <w:p>
      <w:pPr>
        <w:widowControl/>
        <w:spacing w:line="578" w:lineRule="exact"/>
        <w:jc w:val="center"/>
        <w:rPr>
          <w:rFonts w:eastAsia="黑体"/>
          <w:color w:val="000000" w:themeColor="text1"/>
          <w:sz w:val="28"/>
          <w:szCs w:val="28"/>
        </w:rPr>
      </w:pPr>
    </w:p>
    <w:p>
      <w:pPr>
        <w:spacing w:line="578"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第一部分 部门概况</w:t>
      </w:r>
    </w:p>
    <w:p>
      <w:pPr>
        <w:spacing w:line="578" w:lineRule="exact"/>
        <w:ind w:firstLine="640" w:firstLineChars="200"/>
        <w:rPr>
          <w:rFonts w:eastAsia="方正仿宋_GBK"/>
          <w:sz w:val="32"/>
          <w:szCs w:val="32"/>
        </w:rPr>
      </w:pPr>
      <w:r>
        <w:rPr>
          <w:rFonts w:eastAsia="方正仿宋_GBK"/>
          <w:sz w:val="32"/>
          <w:szCs w:val="32"/>
        </w:rPr>
        <w:t>一、部门职责</w:t>
      </w:r>
    </w:p>
    <w:p>
      <w:pPr>
        <w:spacing w:line="578" w:lineRule="exact"/>
        <w:ind w:firstLine="640" w:firstLineChars="200"/>
        <w:rPr>
          <w:rFonts w:eastAsia="方正仿宋_GBK"/>
          <w:sz w:val="32"/>
          <w:szCs w:val="32"/>
        </w:rPr>
      </w:pPr>
      <w:r>
        <w:rPr>
          <w:rFonts w:eastAsia="方正仿宋_GBK"/>
          <w:sz w:val="32"/>
          <w:szCs w:val="32"/>
        </w:rPr>
        <w:t>二、机构设置</w:t>
      </w:r>
    </w:p>
    <w:p>
      <w:pPr>
        <w:spacing w:line="578" w:lineRule="exact"/>
        <w:ind w:firstLine="640" w:firstLineChars="200"/>
        <w:rPr>
          <w:rFonts w:eastAsia="方正仿宋_GBK"/>
          <w:sz w:val="32"/>
          <w:szCs w:val="32"/>
        </w:rPr>
      </w:pPr>
      <w:r>
        <w:rPr>
          <w:rFonts w:ascii="方正楷体_GBK" w:hAnsi="方正楷体_GBK" w:eastAsia="方正楷体_GBK" w:cs="方正楷体_GBK"/>
          <w:sz w:val="32"/>
          <w:szCs w:val="32"/>
        </w:rPr>
        <w:t>第二部分 2022年度部门决算情况说明</w:t>
      </w:r>
      <w:r>
        <w:rPr>
          <w:rFonts w:eastAsia="方正仿宋_GBK"/>
          <w:sz w:val="32"/>
          <w:szCs w:val="32"/>
        </w:rPr>
        <w:t xml:space="preserve"> </w:t>
      </w:r>
    </w:p>
    <w:p>
      <w:pPr>
        <w:spacing w:line="578" w:lineRule="exact"/>
        <w:ind w:firstLine="640" w:firstLineChars="200"/>
        <w:rPr>
          <w:rFonts w:eastAsia="方正仿宋_GBK"/>
          <w:sz w:val="32"/>
          <w:szCs w:val="32"/>
        </w:rPr>
      </w:pPr>
      <w:r>
        <w:rPr>
          <w:rFonts w:eastAsia="方正仿宋_GBK"/>
          <w:sz w:val="32"/>
          <w:szCs w:val="32"/>
        </w:rPr>
        <w:t>一、收入支出决算总体情况说明</w:t>
      </w:r>
    </w:p>
    <w:p>
      <w:pPr>
        <w:spacing w:line="578" w:lineRule="exact"/>
        <w:ind w:firstLine="640" w:firstLineChars="200"/>
        <w:rPr>
          <w:rFonts w:eastAsia="方正仿宋_GBK"/>
          <w:sz w:val="32"/>
          <w:szCs w:val="32"/>
        </w:rPr>
      </w:pPr>
      <w:r>
        <w:rPr>
          <w:rFonts w:eastAsia="方正仿宋_GBK"/>
          <w:sz w:val="32"/>
          <w:szCs w:val="32"/>
        </w:rPr>
        <w:t>二、收入决算情况说明</w:t>
      </w:r>
    </w:p>
    <w:p>
      <w:pPr>
        <w:spacing w:line="578" w:lineRule="exact"/>
        <w:ind w:firstLine="640" w:firstLineChars="200"/>
        <w:rPr>
          <w:rFonts w:eastAsia="方正仿宋_GBK"/>
          <w:sz w:val="32"/>
          <w:szCs w:val="32"/>
        </w:rPr>
      </w:pPr>
      <w:r>
        <w:rPr>
          <w:rFonts w:eastAsia="方正仿宋_GBK"/>
          <w:sz w:val="32"/>
          <w:szCs w:val="32"/>
        </w:rPr>
        <w:t>三、支出决算情况说明</w:t>
      </w:r>
    </w:p>
    <w:p>
      <w:pPr>
        <w:spacing w:line="578" w:lineRule="exact"/>
        <w:ind w:firstLine="640" w:firstLineChars="200"/>
        <w:rPr>
          <w:rFonts w:eastAsia="方正仿宋_GBK"/>
          <w:sz w:val="32"/>
          <w:szCs w:val="32"/>
        </w:rPr>
      </w:pPr>
      <w:r>
        <w:rPr>
          <w:rFonts w:eastAsia="方正仿宋_GBK"/>
          <w:sz w:val="32"/>
          <w:szCs w:val="32"/>
        </w:rPr>
        <w:t>四、财政拨款收入支出决算总体情况说明</w:t>
      </w:r>
    </w:p>
    <w:p>
      <w:pPr>
        <w:spacing w:line="578" w:lineRule="exact"/>
        <w:ind w:firstLine="640" w:firstLineChars="200"/>
        <w:rPr>
          <w:rFonts w:eastAsia="方正仿宋_GBK"/>
          <w:sz w:val="32"/>
          <w:szCs w:val="32"/>
        </w:rPr>
      </w:pPr>
      <w:r>
        <w:rPr>
          <w:rFonts w:eastAsia="方正仿宋_GBK"/>
          <w:sz w:val="32"/>
          <w:szCs w:val="32"/>
        </w:rPr>
        <w:t>五、一般公共预算财政拨款支出决算情况说明</w:t>
      </w:r>
    </w:p>
    <w:p>
      <w:pPr>
        <w:spacing w:line="578" w:lineRule="exact"/>
        <w:ind w:firstLine="640" w:firstLineChars="200"/>
        <w:rPr>
          <w:rFonts w:eastAsia="方正仿宋_GBK"/>
          <w:sz w:val="32"/>
          <w:szCs w:val="32"/>
        </w:rPr>
      </w:pPr>
      <w:r>
        <w:rPr>
          <w:rFonts w:eastAsia="方正仿宋_GBK"/>
          <w:sz w:val="32"/>
          <w:szCs w:val="32"/>
        </w:rPr>
        <w:t>六、一般公共预算财政拨款基本支出决算情况说明</w:t>
      </w:r>
    </w:p>
    <w:p>
      <w:pPr>
        <w:spacing w:line="578" w:lineRule="exact"/>
        <w:ind w:firstLine="640" w:firstLineChars="200"/>
        <w:rPr>
          <w:rFonts w:eastAsia="方正仿宋_GBK"/>
          <w:sz w:val="32"/>
          <w:szCs w:val="32"/>
        </w:rPr>
      </w:pPr>
      <w:r>
        <w:rPr>
          <w:rFonts w:eastAsia="方正仿宋_GBK"/>
          <w:sz w:val="32"/>
          <w:szCs w:val="32"/>
        </w:rPr>
        <w:t>七、财政拨款“三公”经费支出决算情况说明</w:t>
      </w:r>
    </w:p>
    <w:p>
      <w:pPr>
        <w:spacing w:line="578" w:lineRule="exact"/>
        <w:ind w:firstLine="640" w:firstLineChars="200"/>
        <w:rPr>
          <w:rFonts w:eastAsia="方正仿宋_GBK"/>
          <w:sz w:val="32"/>
          <w:szCs w:val="32"/>
        </w:rPr>
      </w:pPr>
      <w:r>
        <w:rPr>
          <w:rFonts w:eastAsia="方正仿宋_GBK"/>
          <w:sz w:val="32"/>
          <w:szCs w:val="32"/>
        </w:rPr>
        <w:t>八、政府性基金预算支出决算情况说明</w:t>
      </w:r>
    </w:p>
    <w:p>
      <w:pPr>
        <w:spacing w:line="578" w:lineRule="exact"/>
        <w:ind w:firstLine="640" w:firstLineChars="200"/>
        <w:rPr>
          <w:rFonts w:eastAsia="方正仿宋_GBK"/>
          <w:sz w:val="32"/>
          <w:szCs w:val="32"/>
        </w:rPr>
      </w:pPr>
      <w:r>
        <w:rPr>
          <w:rFonts w:eastAsia="方正仿宋_GBK"/>
          <w:sz w:val="32"/>
          <w:szCs w:val="32"/>
        </w:rPr>
        <w:t>九、国有资本经营预算支出决算情况说明</w:t>
      </w:r>
    </w:p>
    <w:p>
      <w:pPr>
        <w:spacing w:line="578" w:lineRule="exact"/>
        <w:ind w:firstLine="640" w:firstLineChars="200"/>
        <w:rPr>
          <w:rFonts w:eastAsia="方正仿宋_GBK"/>
          <w:sz w:val="32"/>
          <w:szCs w:val="32"/>
        </w:rPr>
      </w:pPr>
      <w:r>
        <w:rPr>
          <w:rFonts w:eastAsia="方正仿宋_GBK"/>
          <w:sz w:val="32"/>
          <w:szCs w:val="32"/>
        </w:rPr>
        <w:t>十、其他重要事项的情况说明</w:t>
      </w:r>
    </w:p>
    <w:p>
      <w:pPr>
        <w:spacing w:line="578" w:lineRule="exact"/>
        <w:ind w:firstLine="640" w:firstLineChars="200"/>
        <w:rPr>
          <w:rFonts w:eastAsia="方正仿宋_GBK"/>
          <w:sz w:val="32"/>
          <w:szCs w:val="32"/>
        </w:rPr>
      </w:pPr>
      <w:r>
        <w:rPr>
          <w:rFonts w:ascii="方正楷体_GBK" w:hAnsi="方正楷体_GBK" w:eastAsia="方正楷体_GBK" w:cs="方正楷体_GBK"/>
          <w:sz w:val="32"/>
          <w:szCs w:val="32"/>
        </w:rPr>
        <w:t>第三部分 名词解释</w:t>
      </w:r>
    </w:p>
    <w:p>
      <w:pPr>
        <w:spacing w:line="578" w:lineRule="exact"/>
        <w:ind w:firstLine="640" w:firstLineChars="200"/>
        <w:rPr>
          <w:rFonts w:eastAsia="方正仿宋_GBK"/>
          <w:sz w:val="32"/>
          <w:szCs w:val="32"/>
        </w:rPr>
      </w:pPr>
      <w:r>
        <w:rPr>
          <w:rFonts w:ascii="方正楷体_GBK" w:hAnsi="方正楷体_GBK" w:eastAsia="方正楷体_GBK" w:cs="方正楷体_GBK"/>
          <w:sz w:val="32"/>
          <w:szCs w:val="32"/>
        </w:rPr>
        <w:t>第四部分 附件</w:t>
      </w:r>
    </w:p>
    <w:p>
      <w:pPr>
        <w:spacing w:line="578" w:lineRule="exact"/>
        <w:ind w:firstLine="640" w:firstLineChars="200"/>
        <w:rPr>
          <w:rFonts w:eastAsia="方正仿宋_GBK"/>
          <w:sz w:val="32"/>
          <w:szCs w:val="32"/>
        </w:rPr>
      </w:pPr>
      <w:r>
        <w:rPr>
          <w:rFonts w:ascii="方正楷体_GBK" w:hAnsi="方正楷体_GBK" w:eastAsia="方正楷体_GBK" w:cs="方正楷体_GBK"/>
          <w:sz w:val="32"/>
          <w:szCs w:val="32"/>
        </w:rPr>
        <w:t>第五部分 附表</w:t>
      </w:r>
    </w:p>
    <w:p>
      <w:pPr>
        <w:spacing w:line="578" w:lineRule="exact"/>
        <w:ind w:firstLine="640" w:firstLineChars="200"/>
        <w:rPr>
          <w:rFonts w:eastAsia="方正仿宋_GBK"/>
          <w:sz w:val="32"/>
          <w:szCs w:val="32"/>
        </w:rPr>
      </w:pPr>
      <w:r>
        <w:rPr>
          <w:rFonts w:eastAsia="方正仿宋_GBK"/>
          <w:sz w:val="32"/>
          <w:szCs w:val="32"/>
        </w:rPr>
        <w:t>一、收入支出决算总表</w:t>
      </w:r>
    </w:p>
    <w:p>
      <w:pPr>
        <w:spacing w:line="578" w:lineRule="exact"/>
        <w:ind w:firstLine="640" w:firstLineChars="200"/>
        <w:rPr>
          <w:rFonts w:eastAsia="方正仿宋_GBK"/>
          <w:sz w:val="32"/>
          <w:szCs w:val="32"/>
        </w:rPr>
      </w:pPr>
      <w:r>
        <w:rPr>
          <w:rFonts w:eastAsia="方正仿宋_GBK"/>
          <w:sz w:val="32"/>
          <w:szCs w:val="32"/>
        </w:rPr>
        <w:t>二、收入决算表</w:t>
      </w:r>
    </w:p>
    <w:p>
      <w:pPr>
        <w:spacing w:line="578" w:lineRule="exact"/>
        <w:ind w:firstLine="640" w:firstLineChars="200"/>
        <w:rPr>
          <w:rFonts w:eastAsia="方正仿宋_GBK"/>
          <w:sz w:val="32"/>
          <w:szCs w:val="32"/>
        </w:rPr>
      </w:pPr>
      <w:r>
        <w:rPr>
          <w:rFonts w:eastAsia="方正仿宋_GBK"/>
          <w:sz w:val="32"/>
          <w:szCs w:val="32"/>
        </w:rPr>
        <w:t>三、支出决算表</w:t>
      </w:r>
    </w:p>
    <w:p>
      <w:pPr>
        <w:spacing w:line="578" w:lineRule="exact"/>
        <w:ind w:firstLine="640" w:firstLineChars="200"/>
        <w:rPr>
          <w:rFonts w:eastAsia="方正仿宋_GBK"/>
          <w:sz w:val="32"/>
          <w:szCs w:val="32"/>
        </w:rPr>
      </w:pPr>
      <w:r>
        <w:rPr>
          <w:rFonts w:eastAsia="方正仿宋_GBK"/>
          <w:sz w:val="32"/>
          <w:szCs w:val="32"/>
        </w:rPr>
        <w:t>四、财政拨款收入支出决算总表</w:t>
      </w:r>
    </w:p>
    <w:p>
      <w:pPr>
        <w:spacing w:line="578" w:lineRule="exact"/>
        <w:ind w:firstLine="640" w:firstLineChars="200"/>
        <w:rPr>
          <w:rFonts w:eastAsia="方正仿宋_GBK"/>
          <w:sz w:val="32"/>
          <w:szCs w:val="32"/>
        </w:rPr>
      </w:pPr>
      <w:r>
        <w:rPr>
          <w:rFonts w:eastAsia="方正仿宋_GBK"/>
          <w:sz w:val="32"/>
          <w:szCs w:val="32"/>
        </w:rPr>
        <w:t>五、财政拨款支出决算明细表</w:t>
      </w:r>
    </w:p>
    <w:p>
      <w:pPr>
        <w:spacing w:line="578" w:lineRule="exact"/>
        <w:ind w:firstLine="640" w:firstLineChars="200"/>
        <w:rPr>
          <w:rFonts w:eastAsia="方正仿宋_GBK"/>
          <w:sz w:val="32"/>
          <w:szCs w:val="32"/>
        </w:rPr>
      </w:pPr>
      <w:r>
        <w:rPr>
          <w:rFonts w:eastAsia="方正仿宋_GBK"/>
          <w:sz w:val="32"/>
          <w:szCs w:val="32"/>
        </w:rPr>
        <w:t>六、一般公共预算财政拨款支出决算表</w:t>
      </w:r>
    </w:p>
    <w:p>
      <w:pPr>
        <w:spacing w:line="578" w:lineRule="exact"/>
        <w:ind w:firstLine="640" w:firstLineChars="200"/>
        <w:rPr>
          <w:rFonts w:eastAsia="方正仿宋_GBK"/>
          <w:sz w:val="32"/>
          <w:szCs w:val="32"/>
        </w:rPr>
      </w:pPr>
      <w:r>
        <w:rPr>
          <w:rFonts w:eastAsia="方正仿宋_GBK"/>
          <w:sz w:val="32"/>
          <w:szCs w:val="32"/>
        </w:rPr>
        <w:t>七、一般公共预算财政拨款支出决算明细表</w:t>
      </w:r>
    </w:p>
    <w:p>
      <w:pPr>
        <w:spacing w:line="578" w:lineRule="exact"/>
        <w:ind w:firstLine="640" w:firstLineChars="200"/>
        <w:rPr>
          <w:rFonts w:eastAsia="方正仿宋_GBK"/>
          <w:sz w:val="32"/>
          <w:szCs w:val="32"/>
        </w:rPr>
      </w:pPr>
      <w:r>
        <w:rPr>
          <w:rFonts w:eastAsia="方正仿宋_GBK"/>
          <w:sz w:val="32"/>
          <w:szCs w:val="32"/>
        </w:rPr>
        <w:t>八、一般公共预算财政拨款基本支出决算明细表</w:t>
      </w:r>
    </w:p>
    <w:p>
      <w:pPr>
        <w:spacing w:line="578" w:lineRule="exact"/>
        <w:ind w:firstLine="640" w:firstLineChars="200"/>
        <w:rPr>
          <w:rFonts w:eastAsia="方正仿宋_GBK"/>
          <w:sz w:val="32"/>
          <w:szCs w:val="32"/>
        </w:rPr>
      </w:pPr>
      <w:r>
        <w:rPr>
          <w:rFonts w:eastAsia="方正仿宋_GBK"/>
          <w:sz w:val="32"/>
          <w:szCs w:val="32"/>
        </w:rPr>
        <w:t>九、一般公共预算财政拨款项目支出决算表</w:t>
      </w:r>
    </w:p>
    <w:p>
      <w:pPr>
        <w:spacing w:line="578" w:lineRule="exact"/>
        <w:ind w:firstLine="640" w:firstLineChars="200"/>
        <w:rPr>
          <w:rFonts w:eastAsia="方正仿宋_GBK"/>
          <w:sz w:val="32"/>
          <w:szCs w:val="32"/>
        </w:rPr>
      </w:pPr>
      <w:r>
        <w:rPr>
          <w:rFonts w:eastAsia="方正仿宋_GBK"/>
          <w:sz w:val="32"/>
          <w:szCs w:val="32"/>
        </w:rPr>
        <w:t>十、政府性基金预算财政拨款收入支出决算表</w:t>
      </w:r>
    </w:p>
    <w:p>
      <w:pPr>
        <w:spacing w:line="578" w:lineRule="exact"/>
        <w:ind w:firstLine="640" w:firstLineChars="200"/>
        <w:rPr>
          <w:rFonts w:eastAsia="方正仿宋_GBK"/>
          <w:sz w:val="32"/>
          <w:szCs w:val="32"/>
        </w:rPr>
      </w:pPr>
      <w:r>
        <w:rPr>
          <w:rFonts w:eastAsia="方正仿宋_GBK"/>
          <w:sz w:val="32"/>
          <w:szCs w:val="32"/>
        </w:rPr>
        <w:t>十一、国有资本经营预算财政拨款收入支出决算表</w:t>
      </w:r>
    </w:p>
    <w:p>
      <w:pPr>
        <w:spacing w:line="578" w:lineRule="exact"/>
        <w:ind w:firstLine="640" w:firstLineChars="200"/>
        <w:rPr>
          <w:rFonts w:eastAsia="方正仿宋_GBK"/>
          <w:sz w:val="32"/>
          <w:szCs w:val="32"/>
        </w:rPr>
      </w:pPr>
      <w:r>
        <w:rPr>
          <w:rFonts w:eastAsia="方正仿宋_GBK"/>
          <w:sz w:val="32"/>
          <w:szCs w:val="32"/>
        </w:rPr>
        <w:t>十二、国有资本经营预算财政拨款支出决算表</w:t>
      </w:r>
    </w:p>
    <w:p>
      <w:pPr>
        <w:spacing w:line="578" w:lineRule="exact"/>
        <w:ind w:firstLine="640" w:firstLineChars="200"/>
        <w:rPr>
          <w:rFonts w:eastAsia="方正仿宋_GBK"/>
          <w:sz w:val="32"/>
          <w:szCs w:val="32"/>
        </w:rPr>
      </w:pPr>
      <w:r>
        <w:rPr>
          <w:rFonts w:eastAsia="方正仿宋_GBK"/>
          <w:sz w:val="32"/>
          <w:szCs w:val="32"/>
        </w:rPr>
        <w:t>十三、财政拨款“三公”经费支出决算表</w:t>
      </w:r>
    </w:p>
    <w:p>
      <w:pPr>
        <w:spacing w:line="578"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widowControl/>
        <w:spacing w:line="578" w:lineRule="exact"/>
        <w:jc w:val="left"/>
        <w:rPr>
          <w:rFonts w:eastAsia="仿宋"/>
          <w:b/>
          <w:color w:val="000000" w:themeColor="text1"/>
          <w:sz w:val="28"/>
          <w:szCs w:val="28"/>
        </w:rPr>
      </w:pPr>
    </w:p>
    <w:p>
      <w:pPr>
        <w:pStyle w:val="5"/>
        <w:spacing w:before="130" w:line="578" w:lineRule="exact"/>
        <w:rPr>
          <w:rFonts w:ascii="Times New Roman" w:eastAsia="仿宋"/>
          <w:color w:val="000000" w:themeColor="text1"/>
          <w:sz w:val="28"/>
          <w:szCs w:val="28"/>
        </w:rPr>
        <w:sectPr>
          <w:headerReference r:id="rId3" w:type="default"/>
          <w:footerReference r:id="rId4" w:type="default"/>
          <w:pgSz w:w="11906" w:h="16838"/>
          <w:pgMar w:top="1701" w:right="1474" w:bottom="1134" w:left="1587" w:header="851" w:footer="992" w:gutter="0"/>
          <w:pgNumType w:fmt="numberInDash"/>
          <w:cols w:space="0" w:num="1"/>
          <w:docGrid w:type="linesAndChars" w:linePitch="435" w:charSpace="0"/>
        </w:sectPr>
      </w:pPr>
    </w:p>
    <w:bookmarkEnd w:id="18"/>
    <w:bookmarkEnd w:id="19"/>
    <w:bookmarkEnd w:id="20"/>
    <w:bookmarkEnd w:id="21"/>
    <w:bookmarkEnd w:id="22"/>
    <w:bookmarkEnd w:id="23"/>
    <w:bookmarkEnd w:id="24"/>
    <w:bookmarkEnd w:id="25"/>
    <w:p>
      <w:pPr>
        <w:pStyle w:val="2"/>
        <w:spacing w:before="0" w:after="0" w:line="578" w:lineRule="exact"/>
        <w:rPr>
          <w:color w:val="000000" w:themeColor="text1"/>
          <w:sz w:val="32"/>
          <w:szCs w:val="32"/>
        </w:rPr>
      </w:pPr>
      <w:bookmarkStart w:id="26" w:name="_Toc15396601"/>
      <w:bookmarkStart w:id="27" w:name="_Toc15377200"/>
      <w:r>
        <w:rPr>
          <w:rFonts w:eastAsia="方正黑体_GBK"/>
          <w:color w:val="000000" w:themeColor="text1"/>
        </w:rPr>
        <w:t xml:space="preserve">第一部分 </w:t>
      </w:r>
      <w:r>
        <w:rPr>
          <w:rStyle w:val="46"/>
          <w:rFonts w:eastAsia="方正黑体_GBK"/>
          <w:b w:val="0"/>
          <w:bCs w:val="0"/>
          <w:color w:val="000000" w:themeColor="text1"/>
        </w:rPr>
        <w:t>部门概况</w:t>
      </w:r>
    </w:p>
    <w:p>
      <w:pPr>
        <w:pStyle w:val="3"/>
        <w:ind w:firstLine="640" w:firstLineChars="200"/>
        <w:rPr>
          <w:rFonts w:ascii="Times New Roman" w:hAnsi="Times New Roman" w:eastAsia="方正黑体_GBK" w:cs="Times New Roman"/>
          <w:color w:val="000000" w:themeColor="text1"/>
        </w:rPr>
      </w:pPr>
    </w:p>
    <w:p>
      <w:pPr>
        <w:pStyle w:val="3"/>
        <w:ind w:firstLine="640" w:firstLineChars="200"/>
        <w:rPr>
          <w:rFonts w:ascii="Times New Roman" w:hAnsi="Times New Roman" w:eastAsia="方正黑体_GBK" w:cs="Times New Roman"/>
          <w:color w:val="000000" w:themeColor="text1"/>
        </w:rPr>
      </w:pPr>
      <w:r>
        <w:rPr>
          <w:rFonts w:ascii="Times New Roman" w:hAnsi="Times New Roman" w:eastAsia="方正黑体_GBK" w:cs="Times New Roman"/>
          <w:color w:val="000000" w:themeColor="text1"/>
        </w:rPr>
        <w:t>一、部门职责</w:t>
      </w:r>
    </w:p>
    <w:p>
      <w:pPr>
        <w:pStyle w:val="13"/>
        <w:widowControl/>
        <w:spacing w:before="0" w:beforeAutospacing="0" w:after="0" w:afterAutospacing="0" w:line="578" w:lineRule="exact"/>
        <w:ind w:firstLine="640" w:firstLineChars="200"/>
        <w:jc w:val="both"/>
        <w:rPr>
          <w:rFonts w:eastAsia="方正楷体_GBK"/>
          <w:color w:val="000000" w:themeColor="text1"/>
          <w:sz w:val="32"/>
          <w:szCs w:val="32"/>
        </w:rPr>
      </w:pPr>
      <w:r>
        <w:rPr>
          <w:rFonts w:eastAsia="方正楷体_GBK"/>
          <w:color w:val="000000" w:themeColor="text1"/>
          <w:sz w:val="32"/>
          <w:szCs w:val="32"/>
        </w:rPr>
        <w:t>（一）达川区实验幼儿园职能简介。</w:t>
      </w:r>
    </w:p>
    <w:p>
      <w:pPr>
        <w:pStyle w:val="13"/>
        <w:widowControl/>
        <w:spacing w:before="0" w:beforeAutospacing="0" w:after="0" w:afterAutospacing="0" w:line="578" w:lineRule="exact"/>
        <w:ind w:firstLine="640" w:firstLineChars="200"/>
        <w:jc w:val="both"/>
        <w:rPr>
          <w:rFonts w:eastAsia="方正仿宋_GBK"/>
          <w:sz w:val="32"/>
          <w:szCs w:val="32"/>
        </w:rPr>
      </w:pPr>
      <w:r>
        <w:rPr>
          <w:rFonts w:eastAsia="方正仿宋_GBK"/>
          <w:sz w:val="32"/>
          <w:szCs w:val="32"/>
          <w:shd w:val="clear" w:color="auto" w:fill="FFFFFF"/>
        </w:rPr>
        <w:t>达川区实验幼儿园是一所独立建制的国办</w:t>
      </w:r>
      <w:r>
        <w:rPr>
          <w:rFonts w:hint="eastAsia" w:eastAsia="方正仿宋_GBK"/>
          <w:sz w:val="32"/>
          <w:szCs w:val="32"/>
          <w:shd w:val="clear" w:color="auto" w:fill="FFFFFF"/>
          <w:lang w:eastAsia="zh-CN"/>
        </w:rPr>
        <w:t>、</w:t>
      </w:r>
      <w:r>
        <w:rPr>
          <w:rFonts w:eastAsia="方正仿宋_GBK"/>
          <w:sz w:val="32"/>
          <w:szCs w:val="32"/>
          <w:shd w:val="clear" w:color="auto" w:fill="FFFFFF"/>
        </w:rPr>
        <w:t>省级示范性幼儿园，我园认真贯彻《</w:t>
      </w:r>
      <w:r>
        <w:rPr>
          <w:rFonts w:eastAsia="方正仿宋_GBK"/>
          <w:sz w:val="32"/>
          <w:szCs w:val="32"/>
        </w:rPr>
        <w:t>3</w:t>
      </w:r>
      <w:r>
        <w:rPr>
          <w:rFonts w:hint="eastAsia" w:eastAsia="方正仿宋_GBK"/>
          <w:sz w:val="32"/>
          <w:szCs w:val="32"/>
          <w:lang w:eastAsia="zh-CN"/>
        </w:rPr>
        <w:t>—</w:t>
      </w:r>
      <w:r>
        <w:rPr>
          <w:rFonts w:eastAsia="方正仿宋_GBK"/>
          <w:sz w:val="32"/>
          <w:szCs w:val="32"/>
        </w:rPr>
        <w:t>6</w:t>
      </w:r>
      <w:r>
        <w:rPr>
          <w:rFonts w:eastAsia="方正仿宋_GBK"/>
          <w:sz w:val="32"/>
          <w:szCs w:val="32"/>
          <w:shd w:val="clear" w:color="auto" w:fill="FFFFFF"/>
        </w:rPr>
        <w:t>岁儿童学习与发展指南》《幼儿园教育指导纲要（试行）》和《幼儿园工作规程》相关精神，执行上级主管部门的指示，从严治园，</w:t>
      </w:r>
      <w:r>
        <w:rPr>
          <w:rFonts w:eastAsia="方正仿宋_GBK"/>
          <w:spacing w:val="15"/>
          <w:sz w:val="32"/>
          <w:szCs w:val="32"/>
          <w:shd w:val="clear" w:color="auto" w:fill="FFFFFF"/>
        </w:rPr>
        <w:t>对</w:t>
      </w:r>
      <w:r>
        <w:rPr>
          <w:rFonts w:hint="eastAsia" w:eastAsia="方正仿宋_GBK"/>
          <w:spacing w:val="15"/>
          <w:sz w:val="32"/>
          <w:szCs w:val="32"/>
          <w:shd w:val="clear" w:color="auto" w:fill="FFFFFF"/>
          <w:lang w:val="en-US" w:eastAsia="zh-CN"/>
        </w:rPr>
        <w:t>3</w:t>
      </w:r>
      <w:r>
        <w:rPr>
          <w:rFonts w:hint="eastAsia" w:eastAsia="方正仿宋_GBK"/>
          <w:spacing w:val="15"/>
          <w:sz w:val="32"/>
          <w:szCs w:val="32"/>
          <w:shd w:val="clear" w:color="auto" w:fill="FFFFFF"/>
          <w:lang w:eastAsia="zh-CN"/>
        </w:rPr>
        <w:t>—</w:t>
      </w:r>
      <w:r>
        <w:rPr>
          <w:rFonts w:eastAsia="方正仿宋_GBK"/>
          <w:spacing w:val="15"/>
          <w:sz w:val="32"/>
          <w:szCs w:val="32"/>
          <w:shd w:val="clear" w:color="auto" w:fill="FFFFFF"/>
        </w:rPr>
        <w:t>6岁幼儿实施科学保育和教育服务。</w:t>
      </w:r>
      <w:r>
        <w:rPr>
          <w:rFonts w:eastAsia="方正仿宋_GBK"/>
          <w:sz w:val="32"/>
          <w:szCs w:val="32"/>
        </w:rPr>
        <w:t>以“阳光</w:t>
      </w:r>
      <w:r>
        <w:rPr>
          <w:rFonts w:hint="eastAsia" w:eastAsia="方正仿宋_GBK"/>
          <w:sz w:val="32"/>
          <w:szCs w:val="32"/>
        </w:rPr>
        <w:t xml:space="preserve"> </w:t>
      </w:r>
      <w:r>
        <w:rPr>
          <w:rFonts w:eastAsia="方正仿宋_GBK"/>
          <w:sz w:val="32"/>
          <w:szCs w:val="32"/>
        </w:rPr>
        <w:t>和雅”为办园理念，以“润泽童心、启智尚美”为办园宗旨，以“引领成长、奠基未来”为办园目标，致力于为幼儿提供优质的学前教育服务，努力创设一个“生活化、游戏化”的学习环境和“尊重、信任、欣赏”的育人环境，让孩子在品格教育中收获快乐，在运动教育中健康成长，在阅读与艺术教育中启迪智慧。并始终坚持以人为本，全面发展，改革兴园，努力打造活力校园，幸福教师，快乐孩子。</w:t>
      </w:r>
    </w:p>
    <w:p>
      <w:pPr>
        <w:spacing w:line="578" w:lineRule="exact"/>
        <w:ind w:firstLine="640" w:firstLineChars="200"/>
        <w:rPr>
          <w:rFonts w:eastAsia="方正仿宋_GBK"/>
          <w:bCs/>
          <w:sz w:val="32"/>
          <w:szCs w:val="32"/>
        </w:rPr>
      </w:pPr>
      <w:r>
        <w:rPr>
          <w:rFonts w:eastAsia="方正仿宋_GBK"/>
          <w:color w:val="000000" w:themeColor="text1"/>
          <w:sz w:val="32"/>
          <w:szCs w:val="32"/>
        </w:rPr>
        <w:t>2.学校主要承担3-6岁儿童接受学前教育</w:t>
      </w:r>
      <w:r>
        <w:rPr>
          <w:rFonts w:hint="eastAsia" w:eastAsia="方正仿宋_GBK"/>
          <w:color w:val="000000" w:themeColor="text1"/>
          <w:sz w:val="32"/>
          <w:szCs w:val="32"/>
          <w:lang w:val="en-US" w:eastAsia="zh-CN"/>
        </w:rPr>
        <w:t>的</w:t>
      </w:r>
      <w:r>
        <w:rPr>
          <w:rFonts w:eastAsia="方正仿宋_GBK"/>
          <w:color w:val="000000" w:themeColor="text1"/>
          <w:sz w:val="32"/>
          <w:szCs w:val="32"/>
        </w:rPr>
        <w:t>任务。</w:t>
      </w:r>
    </w:p>
    <w:p>
      <w:pPr>
        <w:spacing w:line="578" w:lineRule="exact"/>
        <w:ind w:firstLine="710" w:firstLineChars="221"/>
        <w:rPr>
          <w:rFonts w:ascii="方正楷体_GBK" w:eastAsia="方正楷体_GBK"/>
          <w:b/>
          <w:sz w:val="32"/>
          <w:szCs w:val="32"/>
        </w:rPr>
      </w:pPr>
      <w:bookmarkStart w:id="28" w:name="_Toc146881208"/>
      <w:bookmarkStart w:id="29" w:name="_Toc15378446"/>
      <w:bookmarkStart w:id="30" w:name="_Toc146881796"/>
      <w:bookmarkStart w:id="31" w:name="_Toc146881336"/>
      <w:bookmarkStart w:id="32" w:name="_Toc146881973"/>
      <w:bookmarkStart w:id="33" w:name="_Toc15377199"/>
      <w:r>
        <w:rPr>
          <w:rFonts w:hint="eastAsia" w:ascii="方正楷体_GBK" w:eastAsia="方正楷体_GBK"/>
          <w:b/>
          <w:sz w:val="32"/>
          <w:szCs w:val="32"/>
        </w:rPr>
        <w:t>（二）</w:t>
      </w:r>
      <w:r>
        <w:rPr>
          <w:rFonts w:hint="default" w:ascii="Times New Roman" w:hAnsi="Times New Roman" w:eastAsia="方正楷体_GBK" w:cs="Times New Roman"/>
          <w:b/>
          <w:sz w:val="32"/>
          <w:szCs w:val="32"/>
        </w:rPr>
        <w:t>2022年重点工作完成情况</w:t>
      </w:r>
      <w:bookmarkEnd w:id="28"/>
      <w:bookmarkEnd w:id="29"/>
      <w:bookmarkEnd w:id="30"/>
      <w:bookmarkEnd w:id="31"/>
      <w:bookmarkEnd w:id="32"/>
      <w:bookmarkEnd w:id="33"/>
      <w:bookmarkStart w:id="34" w:name="_Toc146882151"/>
      <w:bookmarkStart w:id="35" w:name="_Toc23931"/>
      <w:bookmarkStart w:id="36" w:name="_Toc146881209"/>
      <w:bookmarkStart w:id="37" w:name="_Toc146881974"/>
      <w:bookmarkStart w:id="38" w:name="_Toc146881337"/>
      <w:bookmarkStart w:id="39" w:name="_Toc146881797"/>
    </w:p>
    <w:p>
      <w:pPr>
        <w:spacing w:line="578" w:lineRule="exact"/>
        <w:ind w:firstLine="707" w:firstLineChars="22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2022年，我园坚持“文化立校”，明确教科研</w:t>
      </w:r>
      <w:r>
        <w:rPr>
          <w:rFonts w:hint="eastAsia" w:ascii="方正仿宋_GBK" w:hAnsi="方正仿宋_GBK" w:eastAsia="方正仿宋_GBK" w:cs="方正仿宋_GBK"/>
          <w:sz w:val="32"/>
          <w:szCs w:val="32"/>
          <w:shd w:val="clear" w:color="auto" w:fill="FFFFFF"/>
        </w:rPr>
        <w:t>方向，扎实推进课程建设，全面提升教学质量。本年</w:t>
      </w:r>
      <w:r>
        <w:rPr>
          <w:rFonts w:hint="eastAsia" w:ascii="方正仿宋_GBK" w:hAnsi="方正仿宋_GBK" w:eastAsia="方正仿宋_GBK" w:cs="方正仿宋_GBK"/>
          <w:sz w:val="32"/>
          <w:szCs w:val="32"/>
        </w:rPr>
        <w:t>重点围绕园文化建设，对园文化进行了全新梳理，确定了“阳光 和雅”的办园理念。立足“巴文化”，挖掘达州本土教育资源，探索</w:t>
      </w:r>
      <w:r>
        <w:rPr>
          <w:rFonts w:hint="eastAsia" w:ascii="方正仿宋_GBK" w:hAnsi="方正仿宋_GBK" w:eastAsia="方正仿宋_GBK" w:cs="方正仿宋_GBK"/>
          <w:sz w:val="32"/>
          <w:szCs w:val="32"/>
          <w:shd w:val="clear" w:color="auto" w:fill="FFFFFF"/>
        </w:rPr>
        <w:t>科学合理、切合实际的园本课程，努力</w:t>
      </w:r>
      <w:r>
        <w:rPr>
          <w:rFonts w:hint="eastAsia" w:ascii="方正仿宋_GBK" w:hAnsi="方正仿宋_GBK" w:eastAsia="方正仿宋_GBK" w:cs="方正仿宋_GBK"/>
          <w:sz w:val="32"/>
          <w:szCs w:val="32"/>
        </w:rPr>
        <w:t>构建“和雅”核心理念课程</w:t>
      </w:r>
      <w:r>
        <w:rPr>
          <w:rFonts w:hint="eastAsia" w:ascii="方正仿宋_GBK" w:hAnsi="方正仿宋_GBK" w:eastAsia="方正仿宋_GBK" w:cs="方正仿宋_GBK"/>
          <w:sz w:val="32"/>
          <w:szCs w:val="32"/>
          <w:shd w:val="clear" w:color="auto" w:fill="FFFFFF"/>
        </w:rPr>
        <w:t>，为学龄前儿童提供优质个性化保育及教育服务，全面</w:t>
      </w:r>
      <w:r>
        <w:rPr>
          <w:rFonts w:hint="eastAsia" w:ascii="方正仿宋_GBK" w:hAnsi="方正仿宋_GBK" w:eastAsia="方正仿宋_GBK" w:cs="方正仿宋_GBK"/>
          <w:sz w:val="32"/>
          <w:szCs w:val="32"/>
        </w:rPr>
        <w:t>培育“三和”“三雅”儿童。</w:t>
      </w:r>
    </w:p>
    <w:p>
      <w:pPr>
        <w:spacing w:line="578" w:lineRule="exact"/>
        <w:ind w:firstLine="707" w:firstLineChars="22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二、机构设置</w:t>
      </w:r>
      <w:bookmarkEnd w:id="26"/>
      <w:bookmarkEnd w:id="27"/>
      <w:bookmarkEnd w:id="34"/>
      <w:bookmarkEnd w:id="35"/>
      <w:bookmarkEnd w:id="36"/>
      <w:bookmarkEnd w:id="37"/>
      <w:bookmarkEnd w:id="38"/>
      <w:bookmarkEnd w:id="39"/>
    </w:p>
    <w:p>
      <w:pPr>
        <w:pStyle w:val="5"/>
        <w:adjustRightInd w:val="0"/>
        <w:snapToGrid w:val="0"/>
        <w:spacing w:before="93" w:line="578" w:lineRule="exact"/>
        <w:ind w:firstLine="672" w:firstLineChars="210"/>
        <w:rPr>
          <w:rFonts w:ascii="方正仿宋_GBK" w:eastAsia="方正仿宋_GBK"/>
          <w:sz w:val="32"/>
          <w:szCs w:val="32"/>
        </w:rPr>
      </w:pPr>
      <w:bookmarkStart w:id="40" w:name="_Toc15396602"/>
      <w:bookmarkStart w:id="41" w:name="_Toc15377204"/>
      <w:r>
        <w:rPr>
          <w:rFonts w:hint="eastAsia" w:ascii="方正仿宋_GBK" w:eastAsia="方正仿宋_GBK"/>
          <w:sz w:val="32"/>
          <w:szCs w:val="32"/>
        </w:rPr>
        <w:t>我校属达州市达川区教育局下属事业单位。单位性质属全额拨款事业单位。</w:t>
      </w:r>
    </w:p>
    <w:p>
      <w:pPr>
        <w:pStyle w:val="5"/>
        <w:adjustRightInd w:val="0"/>
        <w:snapToGrid w:val="0"/>
        <w:spacing w:before="93" w:line="578" w:lineRule="exact"/>
        <w:ind w:firstLine="672" w:firstLineChars="210"/>
        <w:rPr>
          <w:rFonts w:ascii="Times New Roman" w:eastAsia="仿宋"/>
          <w:sz w:val="32"/>
          <w:szCs w:val="32"/>
        </w:rPr>
      </w:pPr>
    </w:p>
    <w:p>
      <w:pPr>
        <w:pStyle w:val="5"/>
        <w:adjustRightInd w:val="0"/>
        <w:snapToGrid w:val="0"/>
        <w:spacing w:before="93" w:line="578" w:lineRule="exact"/>
        <w:ind w:firstLine="672" w:firstLineChars="210"/>
        <w:rPr>
          <w:rFonts w:ascii="Times New Roman" w:eastAsia="仿宋"/>
          <w:sz w:val="32"/>
          <w:szCs w:val="32"/>
        </w:rPr>
      </w:pPr>
    </w:p>
    <w:p>
      <w:pPr>
        <w:pStyle w:val="5"/>
        <w:adjustRightInd w:val="0"/>
        <w:snapToGrid w:val="0"/>
        <w:spacing w:before="93" w:line="578" w:lineRule="exact"/>
        <w:ind w:firstLine="672" w:firstLineChars="210"/>
        <w:rPr>
          <w:rFonts w:ascii="Times New Roman" w:eastAsia="仿宋"/>
          <w:sz w:val="32"/>
          <w:szCs w:val="32"/>
        </w:rPr>
      </w:pPr>
    </w:p>
    <w:p>
      <w:pPr>
        <w:pStyle w:val="2"/>
        <w:sectPr>
          <w:footerReference r:id="rId7" w:type="first"/>
          <w:headerReference r:id="rId5" w:type="default"/>
          <w:footerReference r:id="rId6" w:type="default"/>
          <w:pgSz w:w="11906" w:h="16838"/>
          <w:pgMar w:top="1701" w:right="1474" w:bottom="1134" w:left="1587" w:header="851" w:footer="992" w:gutter="0"/>
          <w:pgNumType w:start="1"/>
          <w:cols w:space="0" w:num="1"/>
          <w:titlePg/>
          <w:docGrid w:type="lines" w:linePitch="312" w:charSpace="0"/>
        </w:sectPr>
      </w:pPr>
      <w:bookmarkStart w:id="42" w:name="_Toc146881975"/>
      <w:bookmarkStart w:id="43" w:name="_Toc146881798"/>
      <w:bookmarkStart w:id="44" w:name="_Toc146882152"/>
      <w:bookmarkStart w:id="45" w:name="_Toc146881338"/>
      <w:bookmarkStart w:id="46" w:name="_Toc146881210"/>
    </w:p>
    <w:p>
      <w:pPr>
        <w:jc w:val="center"/>
        <w:rPr>
          <w:rFonts w:eastAsia="方正黑体_GBK"/>
          <w:sz w:val="44"/>
          <w:szCs w:val="44"/>
        </w:rPr>
      </w:pPr>
      <w:bookmarkStart w:id="47" w:name="_Toc16455"/>
      <w:r>
        <w:rPr>
          <w:rFonts w:hint="eastAsia" w:ascii="方正黑体_GBK" w:eastAsia="方正黑体_GBK"/>
          <w:sz w:val="44"/>
          <w:szCs w:val="44"/>
        </w:rPr>
        <w:t xml:space="preserve">第二部分 </w:t>
      </w:r>
      <w:r>
        <w:rPr>
          <w:rFonts w:eastAsia="方正黑体_GBK"/>
          <w:sz w:val="44"/>
          <w:szCs w:val="44"/>
        </w:rPr>
        <w:t>2022年度部门决算情况说明</w:t>
      </w:r>
      <w:bookmarkEnd w:id="40"/>
      <w:bookmarkEnd w:id="41"/>
      <w:bookmarkEnd w:id="42"/>
      <w:bookmarkEnd w:id="43"/>
      <w:bookmarkEnd w:id="44"/>
      <w:bookmarkEnd w:id="45"/>
      <w:bookmarkEnd w:id="46"/>
      <w:bookmarkEnd w:id="47"/>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方正黑体_GBK" w:eastAsia="方正黑体_GBK"/>
          <w:sz w:val="32"/>
          <w:szCs w:val="32"/>
        </w:rPr>
      </w:pPr>
      <w:bookmarkStart w:id="48" w:name="_Toc146881339"/>
      <w:bookmarkStart w:id="49" w:name="_Toc146881211"/>
      <w:bookmarkStart w:id="50" w:name="_Toc146882153"/>
      <w:bookmarkStart w:id="51" w:name="_Toc27246"/>
      <w:bookmarkStart w:id="52" w:name="_Toc146881799"/>
      <w:bookmarkStart w:id="53" w:name="_Toc15396603"/>
      <w:bookmarkStart w:id="54" w:name="_Toc146881976"/>
      <w:bookmarkStart w:id="55" w:name="_Toc15377205"/>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一、收入支出决算总体情况说明</w:t>
      </w:r>
      <w:bookmarkEnd w:id="48"/>
      <w:bookmarkEnd w:id="49"/>
      <w:bookmarkEnd w:id="50"/>
      <w:bookmarkEnd w:id="51"/>
      <w:bookmarkEnd w:id="52"/>
      <w:bookmarkEnd w:id="53"/>
      <w:bookmarkEnd w:id="54"/>
      <w:bookmarkEnd w:id="55"/>
    </w:p>
    <w:p>
      <w:pPr>
        <w:spacing w:line="578" w:lineRule="exact"/>
        <w:ind w:firstLine="640" w:firstLineChars="200"/>
        <w:rPr>
          <w:rFonts w:eastAsia="方正仿宋_GBK"/>
          <w:sz w:val="32"/>
          <w:szCs w:val="32"/>
        </w:rPr>
      </w:pPr>
      <w:bookmarkStart w:id="56" w:name="_Toc15377206"/>
      <w:bookmarkStart w:id="57" w:name="_Toc15396604"/>
      <w:r>
        <w:rPr>
          <w:rFonts w:eastAsia="方正仿宋_GBK"/>
          <w:sz w:val="32"/>
          <w:szCs w:val="32"/>
        </w:rPr>
        <w:t>2022年度收支总计915.83万元。与2021年相比，收支总计各减少600.53万元，下降39.6%。主要变动原因是项目支出减少。</w:t>
      </w:r>
    </w:p>
    <w:p>
      <w:pPr>
        <w:pStyle w:val="5"/>
        <w:spacing w:before="93"/>
        <w:jc w:val="center"/>
      </w:pPr>
      <w:r>
        <w:drawing>
          <wp:inline distT="0" distB="0" distL="114300" distR="114300">
            <wp:extent cx="4133850" cy="2590800"/>
            <wp:effectExtent l="19050" t="0" r="19050" b="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578" w:lineRule="exact"/>
        <w:ind w:firstLine="640" w:firstLineChars="200"/>
        <w:jc w:val="center"/>
        <w:rPr>
          <w:rFonts w:eastAsia="方正仿宋_GBK"/>
          <w:sz w:val="32"/>
          <w:szCs w:val="32"/>
        </w:rPr>
      </w:pPr>
      <w:r>
        <w:rPr>
          <w:rFonts w:eastAsia="方正仿宋_GBK"/>
          <w:sz w:val="32"/>
          <w:szCs w:val="32"/>
        </w:rPr>
        <w:t>（图1：收支决算总计变动情况图）（柱状图）</w:t>
      </w:r>
    </w:p>
    <w:p>
      <w:pPr>
        <w:pStyle w:val="3"/>
        <w:ind w:left="220" w:firstLine="420"/>
        <w:rPr>
          <w:rFonts w:ascii="方正黑体_GBK" w:hAnsi="Times New Roman" w:eastAsia="方正黑体_GBK" w:cs="Times New Roman"/>
          <w:b/>
        </w:rPr>
      </w:pPr>
      <w:bookmarkStart w:id="58" w:name="_Toc146881212"/>
      <w:bookmarkStart w:id="59" w:name="_Toc146881800"/>
      <w:bookmarkStart w:id="60" w:name="_Toc146882154"/>
      <w:bookmarkStart w:id="61" w:name="_Toc146881977"/>
      <w:bookmarkStart w:id="62" w:name="_Toc146881340"/>
      <w:bookmarkStart w:id="63" w:name="_Toc1284"/>
      <w:r>
        <w:rPr>
          <w:rFonts w:hint="eastAsia" w:ascii="方正黑体_GBK" w:hAnsi="Times New Roman" w:eastAsia="方正黑体_GBK" w:cs="Times New Roman"/>
        </w:rPr>
        <w:t>二、收入决算情况说明</w:t>
      </w:r>
      <w:bookmarkEnd w:id="56"/>
      <w:bookmarkEnd w:id="57"/>
      <w:bookmarkEnd w:id="58"/>
      <w:bookmarkEnd w:id="59"/>
      <w:bookmarkEnd w:id="60"/>
      <w:bookmarkEnd w:id="61"/>
      <w:bookmarkEnd w:id="62"/>
      <w:bookmarkEnd w:id="63"/>
    </w:p>
    <w:p>
      <w:pPr>
        <w:spacing w:line="578" w:lineRule="exact"/>
        <w:ind w:firstLine="707" w:firstLineChars="221"/>
        <w:rPr>
          <w:rFonts w:eastAsia="方正仿宋_GBK"/>
          <w:sz w:val="32"/>
          <w:szCs w:val="32"/>
        </w:rPr>
      </w:pPr>
      <w:bookmarkStart w:id="64" w:name="_Toc146881213"/>
      <w:bookmarkStart w:id="65" w:name="_Toc146881341"/>
      <w:bookmarkStart w:id="66" w:name="_Toc82683207"/>
      <w:bookmarkStart w:id="67" w:name="_Toc15377207"/>
      <w:bookmarkStart w:id="68" w:name="_Toc15396605"/>
      <w:r>
        <w:rPr>
          <w:rFonts w:eastAsia="方正仿宋_GBK"/>
          <w:sz w:val="32"/>
          <w:szCs w:val="32"/>
        </w:rPr>
        <w:t>2022年本年收入合计915.83万元，其中：一般公共预算财政拨款收入915.83万元，占100%；政府性基金预算财政拨款收入0万元，占0%；国有资本经营预算财政拨款收入0万元，占0%；事业收入0万元，占0%；经营收入0万元，占0%；附属单位上缴收入0万元，占0%；其他收入0万元，占0%。</w:t>
      </w:r>
      <w:bookmarkEnd w:id="64"/>
      <w:bookmarkEnd w:id="65"/>
      <w:bookmarkEnd w:id="66"/>
    </w:p>
    <w:p>
      <w:pPr>
        <w:pStyle w:val="5"/>
        <w:spacing w:before="93"/>
        <w:jc w:val="center"/>
      </w:pPr>
      <w:r>
        <w:drawing>
          <wp:inline distT="0" distB="0" distL="114300" distR="114300">
            <wp:extent cx="2952750" cy="2484120"/>
            <wp:effectExtent l="19050" t="0" r="19050" b="0"/>
            <wp:docPr id="1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578"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（图2：收入决算结构图）（饼状图）</w:t>
      </w:r>
    </w:p>
    <w:p>
      <w:pPr>
        <w:pStyle w:val="3"/>
        <w:pageBreakBefore w:val="0"/>
        <w:widowControl w:val="0"/>
        <w:kinsoku/>
        <w:wordWrap/>
        <w:overflowPunct/>
        <w:topLinePunct w:val="0"/>
        <w:autoSpaceDE/>
        <w:autoSpaceDN/>
        <w:bidi w:val="0"/>
        <w:adjustRightInd/>
        <w:snapToGrid/>
        <w:ind w:firstLine="707" w:firstLineChars="221"/>
        <w:textAlignment w:val="auto"/>
        <w:rPr>
          <w:rFonts w:ascii="Times New Roman" w:hAnsi="Times New Roman" w:cs="Times New Roman"/>
        </w:rPr>
      </w:pPr>
      <w:bookmarkStart w:id="69" w:name="_Toc146881214"/>
      <w:bookmarkStart w:id="70" w:name="_Toc146881342"/>
      <w:bookmarkStart w:id="71" w:name="_Toc146881801"/>
      <w:bookmarkStart w:id="72" w:name="_Toc146882155"/>
      <w:bookmarkStart w:id="73" w:name="_Toc30738"/>
      <w:bookmarkStart w:id="74" w:name="_Toc146881978"/>
      <w:r>
        <w:rPr>
          <w:rFonts w:ascii="Times New Roman" w:hAnsi="Times New Roman" w:cs="Times New Roman"/>
        </w:rPr>
        <w:t>三</w:t>
      </w:r>
      <w:r>
        <w:rPr>
          <w:rFonts w:hint="eastAsia" w:ascii="方正黑体_GBK" w:hAnsi="Times New Roman" w:eastAsia="方正黑体_GBK" w:cs="Times New Roman"/>
        </w:rPr>
        <w:t>、支出决算情况说明</w:t>
      </w:r>
      <w:bookmarkEnd w:id="67"/>
      <w:bookmarkEnd w:id="68"/>
      <w:bookmarkEnd w:id="69"/>
      <w:bookmarkEnd w:id="70"/>
      <w:bookmarkEnd w:id="71"/>
      <w:bookmarkEnd w:id="72"/>
      <w:bookmarkEnd w:id="73"/>
      <w:bookmarkEnd w:id="74"/>
    </w:p>
    <w:p>
      <w:pPr>
        <w:pageBreakBefore w:val="0"/>
        <w:widowControl w:val="0"/>
        <w:kinsoku/>
        <w:wordWrap/>
        <w:overflowPunct/>
        <w:topLinePunct w:val="0"/>
        <w:autoSpaceDE/>
        <w:autoSpaceDN/>
        <w:bidi w:val="0"/>
        <w:adjustRightInd/>
        <w:snapToGrid/>
        <w:spacing w:line="578" w:lineRule="exact"/>
        <w:ind w:firstLine="641"/>
        <w:textAlignment w:val="auto"/>
        <w:rPr>
          <w:rFonts w:eastAsia="方正仿宋_GBK"/>
          <w:sz w:val="32"/>
          <w:szCs w:val="32"/>
        </w:rPr>
      </w:pPr>
      <w:r>
        <w:rPr>
          <w:rFonts w:eastAsia="方正仿宋_GBK"/>
          <w:sz w:val="32"/>
          <w:szCs w:val="32"/>
        </w:rPr>
        <w:t>2022年本年支出合计915.83万元，其中：基本支出615.83万元，占67.24%；项目支出300万元，占32.76%；上缴上级支出0万元，占0%；经营支出0万元，占0%；对附属单位补助支出0万元，占0%。</w:t>
      </w:r>
    </w:p>
    <w:p>
      <w:pPr>
        <w:pStyle w:val="5"/>
        <w:spacing w:before="93"/>
        <w:jc w:val="center"/>
      </w:pPr>
      <w:r>
        <w:drawing>
          <wp:inline distT="0" distB="0" distL="114300" distR="114300">
            <wp:extent cx="3646170" cy="2316480"/>
            <wp:effectExtent l="19050" t="0" r="11430" b="7620"/>
            <wp:docPr id="1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578" w:lineRule="exact"/>
        <w:jc w:val="center"/>
        <w:rPr>
          <w:rFonts w:eastAsia="方正仿宋_GBK"/>
          <w:sz w:val="32"/>
          <w:szCs w:val="32"/>
        </w:rPr>
      </w:pPr>
      <w:r>
        <w:rPr>
          <w:rFonts w:eastAsia="方正仿宋_GBK"/>
          <w:sz w:val="32"/>
          <w:szCs w:val="32"/>
        </w:rPr>
        <w:t>（图3：支出决算结构图）（饼状图）</w:t>
      </w:r>
    </w:p>
    <w:p>
      <w:pPr>
        <w:pStyle w:val="3"/>
        <w:ind w:firstLine="707" w:firstLineChars="221"/>
        <w:rPr>
          <w:rFonts w:hint="eastAsia" w:ascii="方正黑体_GBK" w:hAnsi="Times New Roman" w:eastAsia="方正黑体_GBK" w:cs="Times New Roman"/>
          <w:b/>
        </w:rPr>
      </w:pPr>
      <w:bookmarkStart w:id="75" w:name="_Toc146881979"/>
      <w:bookmarkStart w:id="76" w:name="_Toc27817"/>
      <w:bookmarkStart w:id="77" w:name="_Toc146881215"/>
      <w:bookmarkStart w:id="78" w:name="_Toc15377208"/>
      <w:bookmarkStart w:id="79" w:name="_Toc146881802"/>
      <w:bookmarkStart w:id="80" w:name="_Toc146882156"/>
      <w:bookmarkStart w:id="81" w:name="_Toc15396606"/>
      <w:bookmarkStart w:id="82" w:name="_Toc146881343"/>
      <w:r>
        <w:rPr>
          <w:rFonts w:hint="eastAsia" w:ascii="方正黑体_GBK" w:hAnsi="Times New Roman" w:eastAsia="方正黑体_GBK" w:cs="Times New Roman"/>
        </w:rPr>
        <w:t>四、财政拨款收入支出决算总体情况说明</w:t>
      </w:r>
      <w:bookmarkEnd w:id="75"/>
      <w:bookmarkEnd w:id="76"/>
      <w:bookmarkEnd w:id="77"/>
      <w:bookmarkEnd w:id="78"/>
      <w:bookmarkEnd w:id="79"/>
      <w:bookmarkEnd w:id="80"/>
      <w:bookmarkEnd w:id="81"/>
      <w:bookmarkEnd w:id="82"/>
    </w:p>
    <w:p>
      <w:pPr>
        <w:spacing w:line="578" w:lineRule="exact"/>
        <w:ind w:firstLine="640" w:firstLineChars="200"/>
        <w:rPr>
          <w:rFonts w:eastAsia="方正仿宋_GBK"/>
          <w:sz w:val="32"/>
          <w:szCs w:val="32"/>
        </w:rPr>
      </w:pPr>
      <w:bookmarkStart w:id="83" w:name="_Toc15377209"/>
      <w:bookmarkStart w:id="84" w:name="_Toc15396607"/>
      <w:r>
        <w:rPr>
          <w:rFonts w:eastAsia="方正仿宋_GBK"/>
          <w:sz w:val="32"/>
          <w:szCs w:val="32"/>
        </w:rPr>
        <w:t>2022年财政拨款收支总计915.83万元。与上年度相比，财政拨款收支总计各减少289.76万元，下降24.03%。主要变动原因是项目支出减少。</w:t>
      </w:r>
    </w:p>
    <w:p>
      <w:pPr>
        <w:pStyle w:val="5"/>
        <w:spacing w:before="93"/>
        <w:jc w:val="center"/>
      </w:pPr>
      <w:r>
        <w:drawing>
          <wp:inline distT="0" distB="0" distL="114300" distR="114300">
            <wp:extent cx="3722370" cy="2430780"/>
            <wp:effectExtent l="19050" t="0" r="11430" b="762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578" w:lineRule="exact"/>
        <w:ind w:firstLine="640" w:firstLineChars="200"/>
        <w:rPr>
          <w:rFonts w:eastAsia="仿宋_GB2312"/>
          <w:sz w:val="32"/>
          <w:szCs w:val="32"/>
        </w:rPr>
      </w:pPr>
      <w:r>
        <w:rPr>
          <w:rFonts w:eastAsia="方正仿宋_GBK"/>
          <w:sz w:val="32"/>
          <w:szCs w:val="32"/>
        </w:rPr>
        <w:t>（图4：财政拨款收、支决算总计变动情况）（柱状图</w:t>
      </w:r>
      <w:r>
        <w:rPr>
          <w:rFonts w:eastAsia="仿宋_GB2312"/>
          <w:sz w:val="32"/>
          <w:szCs w:val="32"/>
        </w:rPr>
        <w:t>）</w:t>
      </w:r>
    </w:p>
    <w:p>
      <w:pPr>
        <w:pStyle w:val="3"/>
        <w:ind w:firstLine="707" w:firstLineChars="221"/>
        <w:rPr>
          <w:rFonts w:hint="eastAsia" w:ascii="方正黑体_GBK" w:hAnsi="Times New Roman" w:eastAsia="方正黑体_GBK" w:cs="Times New Roman"/>
          <w:b/>
        </w:rPr>
      </w:pPr>
      <w:bookmarkStart w:id="85" w:name="_Toc8978"/>
      <w:bookmarkStart w:id="86" w:name="_Toc146881344"/>
      <w:bookmarkStart w:id="87" w:name="_Toc146881803"/>
      <w:bookmarkStart w:id="88" w:name="_Toc146881980"/>
      <w:bookmarkStart w:id="89" w:name="_Toc146882157"/>
      <w:bookmarkStart w:id="90" w:name="_Toc146881216"/>
      <w:r>
        <w:rPr>
          <w:rFonts w:hint="eastAsia" w:ascii="方正黑体_GBK" w:hAnsi="Times New Roman" w:eastAsia="方正黑体_GBK" w:cs="Times New Roman"/>
        </w:rPr>
        <w:t>五、</w:t>
      </w:r>
      <w:r>
        <w:rPr>
          <w:rFonts w:hint="eastAsia" w:ascii="方正黑体_GBK" w:hAnsi="Times New Roman" w:eastAsia="方正黑体_GBK" w:cs="Times New Roman"/>
          <w:b/>
        </w:rPr>
        <w:t>一</w:t>
      </w:r>
      <w:r>
        <w:rPr>
          <w:rFonts w:hint="eastAsia" w:ascii="方正黑体_GBK" w:hAnsi="Times New Roman" w:eastAsia="方正黑体_GBK" w:cs="Times New Roman"/>
        </w:rPr>
        <w:t>般公共预算财政拨款支出决算情况说明</w:t>
      </w:r>
      <w:bookmarkEnd w:id="83"/>
      <w:bookmarkEnd w:id="84"/>
      <w:bookmarkEnd w:id="85"/>
      <w:bookmarkEnd w:id="86"/>
      <w:bookmarkEnd w:id="87"/>
      <w:bookmarkEnd w:id="88"/>
      <w:bookmarkEnd w:id="89"/>
      <w:bookmarkEnd w:id="90"/>
    </w:p>
    <w:p>
      <w:pPr>
        <w:spacing w:line="578" w:lineRule="exact"/>
        <w:ind w:firstLine="565" w:firstLineChars="176"/>
        <w:rPr>
          <w:rFonts w:hint="eastAsia" w:ascii="方正楷体_GBK" w:eastAsia="方正楷体_GBK"/>
          <w:b/>
          <w:sz w:val="32"/>
          <w:szCs w:val="32"/>
        </w:rPr>
      </w:pPr>
      <w:bookmarkStart w:id="91" w:name="_Toc146882158"/>
      <w:bookmarkStart w:id="92" w:name="_Toc15377210"/>
      <w:bookmarkStart w:id="93" w:name="_Toc146881345"/>
      <w:bookmarkStart w:id="94" w:name="_Toc146881217"/>
      <w:bookmarkStart w:id="95" w:name="_Toc146881804"/>
      <w:bookmarkStart w:id="96" w:name="_Toc146881981"/>
      <w:r>
        <w:rPr>
          <w:rFonts w:hint="eastAsia" w:ascii="方正楷体_GBK" w:eastAsia="方正楷体_GBK"/>
          <w:b/>
          <w:sz w:val="32"/>
          <w:szCs w:val="32"/>
        </w:rPr>
        <w:t>（一）一般公共预算财政拨款支出决算总体情况</w:t>
      </w:r>
      <w:bookmarkEnd w:id="91"/>
      <w:bookmarkEnd w:id="92"/>
      <w:bookmarkEnd w:id="93"/>
      <w:bookmarkEnd w:id="94"/>
      <w:bookmarkEnd w:id="95"/>
      <w:bookmarkEnd w:id="96"/>
    </w:p>
    <w:p>
      <w:pPr>
        <w:spacing w:line="578" w:lineRule="exact"/>
        <w:ind w:firstLine="640" w:firstLineChars="200"/>
        <w:rPr>
          <w:rFonts w:eastAsia="方正仿宋_GBK"/>
          <w:sz w:val="32"/>
          <w:szCs w:val="32"/>
        </w:rPr>
      </w:pPr>
      <w:bookmarkStart w:id="97" w:name="_Toc15377211"/>
      <w:r>
        <w:rPr>
          <w:rFonts w:eastAsia="方正仿宋_GBK"/>
          <w:sz w:val="32"/>
          <w:szCs w:val="32"/>
        </w:rPr>
        <w:t>2022年一般公共预算财政拨款支出915.83万元，占本年支出合计的100%。与上年度相比，一般公共预算财政拨款增加261.34万元，增长39.93%。主要变动原因是人员经费和项目支出增加。</w:t>
      </w:r>
    </w:p>
    <w:p>
      <w:pPr>
        <w:pStyle w:val="5"/>
        <w:spacing w:before="93"/>
        <w:jc w:val="center"/>
      </w:pPr>
      <w:r>
        <w:drawing>
          <wp:inline distT="0" distB="0" distL="114300" distR="114300">
            <wp:extent cx="4187190" cy="2446020"/>
            <wp:effectExtent l="19050" t="0" r="22860" b="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578" w:lineRule="exact"/>
        <w:jc w:val="center"/>
        <w:rPr>
          <w:rFonts w:eastAsia="方正仿宋_GBK"/>
          <w:sz w:val="32"/>
          <w:szCs w:val="32"/>
        </w:rPr>
      </w:pPr>
      <w:r>
        <w:rPr>
          <w:rFonts w:eastAsia="方正仿宋_GBK"/>
          <w:sz w:val="32"/>
          <w:szCs w:val="32"/>
        </w:rPr>
        <w:t>（图5：一般公共预算财政拨款支出决算变动情况）（柱状图）</w:t>
      </w:r>
    </w:p>
    <w:p>
      <w:pPr>
        <w:spacing w:line="578" w:lineRule="exact"/>
        <w:ind w:firstLine="563" w:firstLineChars="176"/>
        <w:rPr>
          <w:rFonts w:hint="eastAsia" w:ascii="方正楷体_GBK" w:eastAsia="方正楷体_GBK"/>
          <w:sz w:val="32"/>
          <w:szCs w:val="32"/>
        </w:rPr>
      </w:pPr>
      <w:bookmarkStart w:id="98" w:name="_Toc146881805"/>
      <w:bookmarkStart w:id="99" w:name="_Toc146881346"/>
      <w:bookmarkStart w:id="100" w:name="_Toc146882159"/>
      <w:bookmarkStart w:id="101" w:name="_Toc146881982"/>
      <w:bookmarkStart w:id="102" w:name="_Toc146881218"/>
      <w:r>
        <w:rPr>
          <w:rFonts w:hint="eastAsia" w:ascii="方正楷体_GBK" w:eastAsia="方正楷体_GBK"/>
          <w:sz w:val="32"/>
          <w:szCs w:val="32"/>
        </w:rPr>
        <w:t>（二）一般公共预算财政拨款支出决算结构情况</w:t>
      </w:r>
      <w:bookmarkEnd w:id="97"/>
      <w:bookmarkEnd w:id="98"/>
      <w:bookmarkEnd w:id="99"/>
      <w:bookmarkEnd w:id="100"/>
      <w:bookmarkEnd w:id="101"/>
      <w:bookmarkEnd w:id="102"/>
    </w:p>
    <w:p>
      <w:pPr>
        <w:spacing w:line="578" w:lineRule="exact"/>
        <w:ind w:firstLine="640"/>
        <w:rPr>
          <w:rFonts w:eastAsia="方正仿宋_GBK"/>
          <w:sz w:val="32"/>
          <w:szCs w:val="32"/>
        </w:rPr>
      </w:pPr>
      <w:bookmarkStart w:id="103" w:name="_Toc15377212"/>
      <w:r>
        <w:rPr>
          <w:rFonts w:eastAsia="方正仿宋_GBK"/>
          <w:sz w:val="32"/>
          <w:szCs w:val="32"/>
        </w:rPr>
        <w:t>2022年一般公共预算财政拨款支出915.83万元，主要用于以下方面</w:t>
      </w:r>
      <w:r>
        <w:rPr>
          <w:rFonts w:hint="eastAsia" w:eastAsia="方正仿宋_GBK"/>
          <w:sz w:val="32"/>
          <w:szCs w:val="32"/>
          <w:lang w:eastAsia="zh-CN"/>
        </w:rPr>
        <w:t>：</w:t>
      </w:r>
      <w:r>
        <w:rPr>
          <w:rFonts w:eastAsia="方正仿宋_GBK"/>
          <w:sz w:val="32"/>
          <w:szCs w:val="32"/>
        </w:rPr>
        <w:t xml:space="preserve">教育支出793.49万元，占86.64%，社会保障和就业支出56.86万元，占6.21%，卫生健康支出24.87万元，占2.72%，住房保障支出40.61万元，占4.43%。 </w:t>
      </w:r>
    </w:p>
    <w:p>
      <w:pPr>
        <w:pStyle w:val="5"/>
        <w:spacing w:before="93"/>
        <w:jc w:val="center"/>
      </w:pPr>
      <w:r>
        <w:drawing>
          <wp:inline distT="0" distB="0" distL="114300" distR="114300">
            <wp:extent cx="4415155" cy="2821940"/>
            <wp:effectExtent l="19050" t="0" r="23495" b="0"/>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578" w:lineRule="exact"/>
        <w:ind w:firstLine="640" w:firstLineChars="200"/>
        <w:rPr>
          <w:rFonts w:eastAsia="方正仿宋_GBK"/>
          <w:sz w:val="32"/>
          <w:szCs w:val="32"/>
        </w:rPr>
      </w:pPr>
      <w:r>
        <w:rPr>
          <w:rFonts w:eastAsia="方正仿宋_GBK"/>
          <w:sz w:val="32"/>
          <w:szCs w:val="32"/>
        </w:rPr>
        <w:t>（图6：一般公共预算财政拨款支出决算结构）（饼状图）</w:t>
      </w:r>
    </w:p>
    <w:p>
      <w:pPr>
        <w:spacing w:line="578" w:lineRule="exact"/>
        <w:ind w:firstLine="707" w:firstLineChars="220"/>
        <w:rPr>
          <w:rFonts w:hint="eastAsia" w:ascii="方正楷体_GBK" w:eastAsia="方正楷体_GBK"/>
          <w:b/>
          <w:sz w:val="32"/>
          <w:szCs w:val="32"/>
        </w:rPr>
      </w:pPr>
      <w:bookmarkStart w:id="104" w:name="_Toc146881983"/>
      <w:bookmarkStart w:id="105" w:name="_Toc146881347"/>
      <w:bookmarkStart w:id="106" w:name="_Toc146881219"/>
      <w:bookmarkStart w:id="107" w:name="_Toc146882160"/>
      <w:bookmarkStart w:id="108" w:name="_Toc146881806"/>
      <w:r>
        <w:rPr>
          <w:rFonts w:hint="eastAsia" w:ascii="方正楷体_GBK" w:eastAsia="方正楷体_GBK"/>
          <w:b/>
          <w:sz w:val="32"/>
          <w:szCs w:val="32"/>
        </w:rPr>
        <w:t>（三）一般公共预算财政拨款支出决算具体情况</w:t>
      </w:r>
      <w:bookmarkEnd w:id="103"/>
      <w:bookmarkEnd w:id="104"/>
      <w:bookmarkEnd w:id="105"/>
      <w:bookmarkEnd w:id="106"/>
      <w:bookmarkEnd w:id="107"/>
      <w:bookmarkEnd w:id="108"/>
    </w:p>
    <w:p>
      <w:pPr>
        <w:spacing w:line="578" w:lineRule="exact"/>
        <w:ind w:firstLine="707" w:firstLineChars="221"/>
        <w:rPr>
          <w:rStyle w:val="18"/>
          <w:rFonts w:eastAsia="方正仿宋_GBK"/>
          <w:bCs/>
          <w:sz w:val="32"/>
          <w:szCs w:val="32"/>
        </w:rPr>
      </w:pPr>
      <w:bookmarkStart w:id="109" w:name="_Toc15378460"/>
      <w:bookmarkStart w:id="110" w:name="_Toc146882161"/>
      <w:bookmarkStart w:id="111" w:name="_Toc146881984"/>
      <w:bookmarkStart w:id="112" w:name="_Toc15377213"/>
      <w:bookmarkStart w:id="113" w:name="_Toc15377444"/>
      <w:bookmarkStart w:id="114" w:name="_Toc146881807"/>
      <w:bookmarkStart w:id="115" w:name="_Toc146881220"/>
      <w:bookmarkStart w:id="116" w:name="_Toc146881348"/>
      <w:r>
        <w:rPr>
          <w:rFonts w:eastAsia="方正仿宋_GBK"/>
          <w:sz w:val="32"/>
          <w:szCs w:val="32"/>
        </w:rPr>
        <w:t>2022年一般公共预算支出决算数为915.83万元</w:t>
      </w:r>
      <w:r>
        <w:rPr>
          <w:rStyle w:val="18"/>
          <w:rFonts w:eastAsia="方正仿宋_GBK"/>
          <w:b w:val="0"/>
          <w:bCs w:val="0"/>
          <w:sz w:val="32"/>
          <w:szCs w:val="32"/>
        </w:rPr>
        <w:t>。其中：</w:t>
      </w:r>
      <w:bookmarkEnd w:id="109"/>
      <w:bookmarkEnd w:id="110"/>
      <w:bookmarkEnd w:id="111"/>
      <w:bookmarkEnd w:id="112"/>
      <w:bookmarkEnd w:id="113"/>
      <w:bookmarkEnd w:id="114"/>
      <w:bookmarkEnd w:id="115"/>
      <w:bookmarkEnd w:id="116"/>
    </w:p>
    <w:p>
      <w:pPr>
        <w:pStyle w:val="5"/>
        <w:spacing w:before="93" w:line="578" w:lineRule="exact"/>
        <w:ind w:firstLine="755" w:firstLineChars="236"/>
        <w:rPr>
          <w:rFonts w:ascii="Times New Roman" w:eastAsia="方正仿宋_GBK"/>
          <w:kern w:val="2"/>
          <w:sz w:val="32"/>
          <w:szCs w:val="32"/>
        </w:rPr>
      </w:pPr>
      <w:r>
        <w:rPr>
          <w:rFonts w:hint="eastAsia" w:ascii="Times New Roman" w:eastAsia="方正仿宋_GBK"/>
          <w:kern w:val="2"/>
          <w:sz w:val="32"/>
          <w:szCs w:val="32"/>
          <w:lang w:val="en-US" w:eastAsia="zh-CN"/>
        </w:rPr>
        <w:t>1</w:t>
      </w:r>
      <w:r>
        <w:rPr>
          <w:rFonts w:ascii="Times New Roman" w:eastAsia="方正仿宋_GBK"/>
          <w:kern w:val="2"/>
          <w:sz w:val="32"/>
          <w:szCs w:val="32"/>
        </w:rPr>
        <w:t>.教育支出（类）普通教育（款）学前教育（项）：支出决算为493.49万元。</w:t>
      </w:r>
    </w:p>
    <w:p>
      <w:pPr>
        <w:pStyle w:val="5"/>
        <w:spacing w:before="93" w:line="578" w:lineRule="exact"/>
        <w:ind w:firstLine="755" w:firstLineChars="236"/>
        <w:rPr>
          <w:rFonts w:ascii="Times New Roman" w:eastAsia="方正仿宋_GBK"/>
          <w:kern w:val="2"/>
          <w:sz w:val="32"/>
          <w:szCs w:val="32"/>
        </w:rPr>
      </w:pPr>
      <w:r>
        <w:rPr>
          <w:rFonts w:ascii="Times New Roman" w:eastAsia="方正仿宋_GBK"/>
          <w:kern w:val="2"/>
          <w:sz w:val="32"/>
          <w:szCs w:val="32"/>
        </w:rPr>
        <w:t>2.教育支出（类）普通教育（款）学前教育（项）：支出决算为300万元。</w:t>
      </w:r>
    </w:p>
    <w:p>
      <w:pPr>
        <w:pStyle w:val="5"/>
        <w:spacing w:before="93" w:line="578" w:lineRule="exact"/>
        <w:ind w:firstLine="755" w:firstLineChars="236"/>
        <w:rPr>
          <w:rFonts w:ascii="Times New Roman" w:eastAsia="方正仿宋_GBK"/>
          <w:kern w:val="2"/>
          <w:sz w:val="32"/>
          <w:szCs w:val="32"/>
        </w:rPr>
      </w:pPr>
      <w:r>
        <w:rPr>
          <w:rFonts w:ascii="Times New Roman" w:eastAsia="方正仿宋_GBK"/>
          <w:kern w:val="2"/>
          <w:sz w:val="32"/>
          <w:szCs w:val="32"/>
        </w:rPr>
        <w:t>3.社会保障和就业（类）行政事业单位离退休（款）机关事业单位基本养老保险缴费支出（项）：支出决算为54.15万元。</w:t>
      </w:r>
    </w:p>
    <w:p>
      <w:pPr>
        <w:pStyle w:val="5"/>
        <w:spacing w:before="93" w:line="578" w:lineRule="exact"/>
        <w:ind w:firstLine="755" w:firstLineChars="236"/>
        <w:rPr>
          <w:rFonts w:ascii="Times New Roman" w:eastAsia="方正仿宋_GBK"/>
          <w:kern w:val="2"/>
          <w:sz w:val="32"/>
          <w:szCs w:val="32"/>
        </w:rPr>
      </w:pPr>
      <w:r>
        <w:rPr>
          <w:rFonts w:ascii="Times New Roman" w:eastAsia="方正仿宋_GBK"/>
          <w:kern w:val="2"/>
          <w:sz w:val="32"/>
          <w:szCs w:val="32"/>
        </w:rPr>
        <w:t>4.社会保障和就业（类）其他社会保障和就业支出（款）其他社会保障和就业支出（项）：支出决算为2.71万元。</w:t>
      </w:r>
    </w:p>
    <w:p>
      <w:pPr>
        <w:pStyle w:val="5"/>
        <w:spacing w:before="93" w:line="578" w:lineRule="exact"/>
        <w:ind w:firstLine="755" w:firstLineChars="236"/>
        <w:rPr>
          <w:rFonts w:ascii="Times New Roman" w:eastAsia="方正仿宋_GBK"/>
          <w:kern w:val="2"/>
          <w:sz w:val="32"/>
          <w:szCs w:val="32"/>
        </w:rPr>
      </w:pPr>
      <w:r>
        <w:rPr>
          <w:rFonts w:ascii="Times New Roman" w:eastAsia="方正仿宋_GBK"/>
          <w:kern w:val="2"/>
          <w:sz w:val="32"/>
          <w:szCs w:val="32"/>
        </w:rPr>
        <w:t>5.卫生健康支出（类）行政事业单位医疗（款）事业单位医疗（项）：支出决算为24.87万元。</w:t>
      </w:r>
    </w:p>
    <w:p>
      <w:pPr>
        <w:pStyle w:val="5"/>
        <w:spacing w:before="93" w:line="578" w:lineRule="exact"/>
        <w:ind w:firstLine="755" w:firstLineChars="236"/>
        <w:rPr>
          <w:rFonts w:ascii="Times New Roman" w:eastAsia="方正仿宋_GBK"/>
          <w:kern w:val="2"/>
          <w:sz w:val="32"/>
          <w:szCs w:val="32"/>
        </w:rPr>
      </w:pPr>
      <w:r>
        <w:rPr>
          <w:rFonts w:ascii="Times New Roman" w:eastAsia="方正仿宋_GBK"/>
          <w:kern w:val="2"/>
          <w:sz w:val="32"/>
          <w:szCs w:val="32"/>
        </w:rPr>
        <w:t>6.住房保障支出（类）住房改革支出（款）住房公积金（项）：支出决算为40.61万元。</w:t>
      </w:r>
    </w:p>
    <w:p>
      <w:pPr>
        <w:pStyle w:val="3"/>
        <w:ind w:firstLine="707" w:firstLineChars="221"/>
        <w:rPr>
          <w:rFonts w:hint="eastAsia" w:ascii="方正黑体_GBK" w:hAnsi="Times New Roman" w:eastAsia="方正黑体_GBK" w:cs="Times New Roman"/>
        </w:rPr>
      </w:pPr>
      <w:bookmarkStart w:id="117" w:name="_Toc146882162"/>
      <w:bookmarkStart w:id="118" w:name="_Toc15396608"/>
      <w:bookmarkStart w:id="119" w:name="_Toc146881808"/>
      <w:bookmarkStart w:id="120" w:name="_Toc146881985"/>
      <w:bookmarkStart w:id="121" w:name="_Toc146881221"/>
      <w:bookmarkStart w:id="122" w:name="_Toc146881349"/>
      <w:bookmarkStart w:id="123" w:name="_Toc2812"/>
      <w:bookmarkStart w:id="124" w:name="_Toc15377214"/>
      <w:r>
        <w:rPr>
          <w:rFonts w:hint="eastAsia" w:ascii="方正黑体_GBK" w:hAnsi="Times New Roman" w:eastAsia="方正黑体_GBK" w:cs="Times New Roman"/>
        </w:rPr>
        <w:t>六</w:t>
      </w:r>
      <w:r>
        <w:rPr>
          <w:rFonts w:hint="eastAsia" w:ascii="方正黑体_GBK" w:hAnsi="Times New Roman" w:eastAsia="方正黑体_GBK" w:cs="Times New Roman"/>
          <w:b/>
        </w:rPr>
        <w:t>、一</w:t>
      </w:r>
      <w:r>
        <w:rPr>
          <w:rFonts w:hint="eastAsia" w:ascii="方正黑体_GBK" w:hAnsi="Times New Roman" w:eastAsia="方正黑体_GBK" w:cs="Times New Roman"/>
        </w:rPr>
        <w:t>般公共预算财政拨款基本支出决算情况说明</w:t>
      </w:r>
      <w:bookmarkEnd w:id="117"/>
      <w:bookmarkEnd w:id="118"/>
      <w:bookmarkEnd w:id="119"/>
      <w:bookmarkEnd w:id="120"/>
      <w:bookmarkEnd w:id="121"/>
      <w:bookmarkEnd w:id="122"/>
      <w:bookmarkEnd w:id="123"/>
      <w:bookmarkEnd w:id="124"/>
      <w:r>
        <w:rPr>
          <w:rFonts w:hint="eastAsia" w:ascii="方正黑体_GBK" w:hAnsi="Times New Roman" w:eastAsia="方正黑体_GBK" w:cs="Times New Roman"/>
        </w:rPr>
        <w:tab/>
      </w:r>
    </w:p>
    <w:p>
      <w:pPr>
        <w:spacing w:line="578" w:lineRule="exact"/>
        <w:ind w:firstLine="646"/>
        <w:rPr>
          <w:rFonts w:eastAsia="方正仿宋_GBK"/>
          <w:sz w:val="32"/>
          <w:szCs w:val="32"/>
        </w:rPr>
      </w:pPr>
      <w:bookmarkStart w:id="125" w:name="_Toc15377215"/>
      <w:bookmarkStart w:id="126" w:name="_Toc15396609"/>
      <w:r>
        <w:rPr>
          <w:rFonts w:eastAsia="方正仿宋_GBK"/>
          <w:sz w:val="32"/>
          <w:szCs w:val="32"/>
        </w:rPr>
        <w:t>2022年一般公共预算财政拨款基本支出615.83万元，其中：</w:t>
      </w:r>
    </w:p>
    <w:p>
      <w:pPr>
        <w:spacing w:line="578" w:lineRule="exact"/>
        <w:ind w:firstLine="646"/>
        <w:rPr>
          <w:rFonts w:eastAsia="方正仿宋_GBK"/>
          <w:sz w:val="32"/>
          <w:szCs w:val="32"/>
        </w:rPr>
      </w:pPr>
      <w:r>
        <w:rPr>
          <w:rFonts w:eastAsia="方正仿宋_GBK"/>
          <w:sz w:val="32"/>
          <w:szCs w:val="32"/>
        </w:rPr>
        <w:t>人员经费573.38万元，主要包括：基本工资、津贴补贴、奖金、绩效工资、机关事业单位基本养老保险缴费、职工基本医疗保险缴费、其他社会保障缴费、住房公积金、其他工资福利支出、生活补助等。</w:t>
      </w:r>
    </w:p>
    <w:p>
      <w:pPr>
        <w:spacing w:line="578" w:lineRule="exact"/>
        <w:ind w:firstLine="646"/>
        <w:rPr>
          <w:rFonts w:eastAsia="方正仿宋_GBK"/>
          <w:sz w:val="32"/>
          <w:szCs w:val="32"/>
        </w:rPr>
      </w:pPr>
      <w:r>
        <w:rPr>
          <w:rFonts w:eastAsia="方正仿宋_GBK"/>
          <w:sz w:val="32"/>
          <w:szCs w:val="32"/>
        </w:rPr>
        <w:t>公用经费42.45万元，主要包括：办公费、水费、电费、邮电费、物业管理费、维修（护）费、会议费、培训费、劳务费、工会经费、福利费、专用设备购置</w:t>
      </w:r>
      <w:r>
        <w:rPr>
          <w:rFonts w:hint="eastAsia" w:eastAsia="方正仿宋_GBK"/>
          <w:sz w:val="32"/>
          <w:szCs w:val="32"/>
          <w:lang w:val="en-US" w:eastAsia="zh-CN"/>
        </w:rPr>
        <w:t>费</w:t>
      </w:r>
      <w:r>
        <w:rPr>
          <w:rFonts w:eastAsia="方正仿宋_GBK"/>
          <w:sz w:val="32"/>
          <w:szCs w:val="32"/>
        </w:rPr>
        <w:t>、基础设施建设</w:t>
      </w:r>
      <w:r>
        <w:rPr>
          <w:rFonts w:hint="eastAsia" w:eastAsia="方正仿宋_GBK"/>
          <w:sz w:val="32"/>
          <w:szCs w:val="32"/>
          <w:lang w:val="en-US" w:eastAsia="zh-CN"/>
        </w:rPr>
        <w:t>费</w:t>
      </w:r>
      <w:r>
        <w:rPr>
          <w:rFonts w:eastAsia="方正仿宋_GBK"/>
          <w:sz w:val="32"/>
          <w:szCs w:val="32"/>
        </w:rPr>
        <w:t>等。</w:t>
      </w:r>
    </w:p>
    <w:p>
      <w:pPr>
        <w:pStyle w:val="3"/>
        <w:ind w:firstLine="707" w:firstLineChars="221"/>
        <w:rPr>
          <w:rFonts w:hint="eastAsia" w:ascii="方正黑体_GBK" w:hAnsi="Times New Roman" w:eastAsia="方正黑体_GBK" w:cs="Times New Roman"/>
          <w:b/>
        </w:rPr>
      </w:pPr>
      <w:bookmarkStart w:id="127" w:name="_Toc146882163"/>
      <w:bookmarkStart w:id="128" w:name="_Toc146881222"/>
      <w:bookmarkStart w:id="129" w:name="_Toc146881986"/>
      <w:bookmarkStart w:id="130" w:name="_Toc6846"/>
      <w:bookmarkStart w:id="131" w:name="_Toc146881809"/>
      <w:bookmarkStart w:id="132" w:name="_Toc146881350"/>
      <w:r>
        <w:rPr>
          <w:rFonts w:hint="eastAsia" w:ascii="方正黑体_GBK" w:hAnsi="Times New Roman" w:eastAsia="方正黑体_GBK" w:cs="Times New Roman"/>
        </w:rPr>
        <w:t>七、财政拨款“三公”经费支出决算情况说明</w:t>
      </w:r>
      <w:bookmarkEnd w:id="125"/>
      <w:bookmarkEnd w:id="126"/>
      <w:bookmarkEnd w:id="127"/>
      <w:bookmarkEnd w:id="128"/>
      <w:bookmarkEnd w:id="129"/>
      <w:bookmarkEnd w:id="130"/>
      <w:bookmarkEnd w:id="131"/>
      <w:bookmarkEnd w:id="132"/>
    </w:p>
    <w:p>
      <w:pPr>
        <w:spacing w:line="578" w:lineRule="exact"/>
        <w:ind w:firstLine="707" w:firstLineChars="221"/>
        <w:rPr>
          <w:rFonts w:hint="eastAsia" w:ascii="方正楷体_GBK" w:eastAsia="方正楷体_GBK"/>
          <w:sz w:val="32"/>
          <w:szCs w:val="32"/>
        </w:rPr>
      </w:pPr>
      <w:bookmarkStart w:id="133" w:name="_Toc146881223"/>
      <w:bookmarkStart w:id="134" w:name="_Toc15377216"/>
      <w:bookmarkStart w:id="135" w:name="_Toc146881810"/>
      <w:bookmarkStart w:id="136" w:name="_Toc146881351"/>
      <w:bookmarkStart w:id="137" w:name="_Toc146881987"/>
      <w:bookmarkStart w:id="138" w:name="_Toc146882164"/>
      <w:r>
        <w:rPr>
          <w:rFonts w:hint="eastAsia" w:ascii="方正楷体_GBK" w:eastAsia="方正楷体_GBK"/>
          <w:sz w:val="32"/>
          <w:szCs w:val="32"/>
        </w:rPr>
        <w:t>（一）“三公”经费财政拨款支出决算总体情况说明</w:t>
      </w:r>
      <w:bookmarkEnd w:id="133"/>
      <w:bookmarkEnd w:id="134"/>
      <w:bookmarkEnd w:id="135"/>
      <w:bookmarkEnd w:id="136"/>
      <w:bookmarkEnd w:id="137"/>
      <w:bookmarkEnd w:id="138"/>
    </w:p>
    <w:p>
      <w:pPr>
        <w:spacing w:line="578" w:lineRule="exact"/>
        <w:ind w:firstLine="640"/>
        <w:rPr>
          <w:rFonts w:eastAsia="方正仿宋_GBK"/>
          <w:sz w:val="32"/>
          <w:szCs w:val="32"/>
        </w:rPr>
      </w:pPr>
      <w:r>
        <w:rPr>
          <w:rFonts w:eastAsia="方正仿宋_GBK"/>
          <w:sz w:val="32"/>
          <w:szCs w:val="32"/>
        </w:rPr>
        <w:t xml:space="preserve">2022年“三公”经费财政拨款支出决算为0万元。 </w:t>
      </w:r>
    </w:p>
    <w:p>
      <w:pPr>
        <w:spacing w:line="578" w:lineRule="exact"/>
        <w:ind w:firstLine="704" w:firstLineChars="220"/>
        <w:rPr>
          <w:rFonts w:hint="eastAsia" w:ascii="方正楷体_GBK" w:eastAsia="方正楷体_GBK"/>
          <w:sz w:val="32"/>
          <w:szCs w:val="32"/>
        </w:rPr>
      </w:pPr>
      <w:bookmarkStart w:id="139" w:name="_Toc146881811"/>
      <w:bookmarkStart w:id="140" w:name="_Toc146882165"/>
      <w:bookmarkStart w:id="141" w:name="_Toc146881224"/>
      <w:bookmarkStart w:id="142" w:name="_Toc15377217"/>
      <w:bookmarkStart w:id="143" w:name="_Toc146881988"/>
      <w:bookmarkStart w:id="144" w:name="_Toc146881352"/>
      <w:r>
        <w:rPr>
          <w:rFonts w:hint="eastAsia" w:ascii="方正楷体_GBK" w:eastAsia="方正楷体_GBK"/>
          <w:sz w:val="32"/>
          <w:szCs w:val="32"/>
        </w:rPr>
        <w:t>（二）“三公”经费财政拨款支出决算具体情况说明</w:t>
      </w:r>
      <w:bookmarkEnd w:id="139"/>
      <w:bookmarkEnd w:id="140"/>
      <w:bookmarkEnd w:id="141"/>
      <w:bookmarkEnd w:id="142"/>
      <w:bookmarkEnd w:id="143"/>
      <w:bookmarkEnd w:id="144"/>
    </w:p>
    <w:p>
      <w:pPr>
        <w:spacing w:line="578" w:lineRule="exact"/>
        <w:ind w:firstLine="641"/>
        <w:rPr>
          <w:rFonts w:eastAsia="方正仿宋_GBK"/>
          <w:sz w:val="32"/>
          <w:szCs w:val="32"/>
        </w:rPr>
      </w:pPr>
      <w:r>
        <w:rPr>
          <w:rFonts w:eastAsia="方正仿宋_GBK"/>
          <w:sz w:val="32"/>
          <w:szCs w:val="32"/>
        </w:rPr>
        <w:t>2022年“三公”经费财政拨款支出决算中，因公出国（境）费支出决算0万元；</w:t>
      </w:r>
      <w:bookmarkStart w:id="145" w:name="OLE_LINK1"/>
      <w:r>
        <w:rPr>
          <w:rFonts w:eastAsia="方正仿宋_GBK"/>
          <w:sz w:val="32"/>
          <w:szCs w:val="32"/>
        </w:rPr>
        <w:t>公务用车购置及运行维护费</w:t>
      </w:r>
      <w:bookmarkEnd w:id="145"/>
      <w:r>
        <w:rPr>
          <w:rFonts w:eastAsia="方正仿宋_GBK"/>
          <w:sz w:val="32"/>
          <w:szCs w:val="32"/>
        </w:rPr>
        <w:t>支出决算0万元；公务接待费支出决算0万元。具体情况如下：</w:t>
      </w:r>
    </w:p>
    <w:p>
      <w:pPr>
        <w:pStyle w:val="5"/>
        <w:spacing w:before="93"/>
        <w:jc w:val="center"/>
      </w:pPr>
      <w:r>
        <w:drawing>
          <wp:inline distT="0" distB="0" distL="114300" distR="114300">
            <wp:extent cx="4160520" cy="2926080"/>
            <wp:effectExtent l="4445" t="4445" r="10795" b="1079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ageBreakBefore w:val="0"/>
        <w:widowControl w:val="0"/>
        <w:kinsoku/>
        <w:wordWrap/>
        <w:overflowPunct/>
        <w:topLinePunct w:val="0"/>
        <w:autoSpaceDE/>
        <w:autoSpaceDN/>
        <w:bidi w:val="0"/>
        <w:adjustRightInd/>
        <w:snapToGrid/>
        <w:spacing w:line="578" w:lineRule="atLeast"/>
        <w:ind w:firstLine="641"/>
        <w:textAlignment w:val="auto"/>
        <w:rPr>
          <w:rFonts w:eastAsia="方正仿宋_GBK"/>
          <w:sz w:val="32"/>
          <w:szCs w:val="32"/>
        </w:rPr>
      </w:pPr>
      <w:r>
        <w:rPr>
          <w:rFonts w:eastAsia="方正仿宋_GBK"/>
          <w:sz w:val="32"/>
          <w:szCs w:val="32"/>
        </w:rPr>
        <w:t>（图7：“三公”经费财政拨款支出结构）（饼状图）</w:t>
      </w:r>
    </w:p>
    <w:p>
      <w:pPr>
        <w:pageBreakBefore w:val="0"/>
        <w:widowControl w:val="0"/>
        <w:kinsoku/>
        <w:wordWrap/>
        <w:overflowPunct/>
        <w:topLinePunct w:val="0"/>
        <w:autoSpaceDE/>
        <w:autoSpaceDN/>
        <w:bidi w:val="0"/>
        <w:adjustRightInd/>
        <w:snapToGrid/>
        <w:spacing w:line="578" w:lineRule="atLeast"/>
        <w:ind w:firstLine="640"/>
        <w:textAlignment w:val="auto"/>
        <w:rPr>
          <w:rFonts w:eastAsia="方正仿宋_GBK"/>
          <w:sz w:val="32"/>
          <w:szCs w:val="32"/>
        </w:rPr>
      </w:pPr>
      <w:r>
        <w:rPr>
          <w:rFonts w:eastAsia="方正仿宋_GBK"/>
          <w:sz w:val="32"/>
          <w:szCs w:val="32"/>
        </w:rPr>
        <w:t>1.因公出国（境）经费支出0万元。</w:t>
      </w:r>
    </w:p>
    <w:p>
      <w:pPr>
        <w:pageBreakBefore w:val="0"/>
        <w:widowControl w:val="0"/>
        <w:kinsoku/>
        <w:wordWrap/>
        <w:overflowPunct/>
        <w:topLinePunct w:val="0"/>
        <w:autoSpaceDE/>
        <w:autoSpaceDN/>
        <w:bidi w:val="0"/>
        <w:adjustRightInd/>
        <w:snapToGrid/>
        <w:spacing w:line="578" w:lineRule="atLeast"/>
        <w:ind w:firstLine="640"/>
        <w:textAlignment w:val="auto"/>
        <w:rPr>
          <w:rFonts w:eastAsia="方正仿宋_GBK"/>
          <w:sz w:val="32"/>
          <w:szCs w:val="32"/>
        </w:rPr>
      </w:pPr>
      <w:r>
        <w:rPr>
          <w:rFonts w:eastAsia="方正仿宋_GBK"/>
          <w:sz w:val="32"/>
          <w:szCs w:val="32"/>
        </w:rPr>
        <w:t>2.公务用车购置及运行维护费支出0万元。</w:t>
      </w:r>
    </w:p>
    <w:p>
      <w:pPr>
        <w:pageBreakBefore w:val="0"/>
        <w:widowControl w:val="0"/>
        <w:kinsoku/>
        <w:wordWrap/>
        <w:overflowPunct/>
        <w:topLinePunct w:val="0"/>
        <w:autoSpaceDE/>
        <w:autoSpaceDN/>
        <w:bidi w:val="0"/>
        <w:adjustRightInd/>
        <w:snapToGrid/>
        <w:spacing w:line="578" w:lineRule="atLeast"/>
        <w:ind w:firstLine="640" w:firstLineChars="200"/>
        <w:textAlignment w:val="auto"/>
        <w:rPr>
          <w:rFonts w:eastAsia="方正仿宋_GBK"/>
          <w:sz w:val="32"/>
          <w:szCs w:val="32"/>
        </w:rPr>
      </w:pPr>
      <w:r>
        <w:rPr>
          <w:rFonts w:eastAsia="方正仿宋_GBK"/>
          <w:sz w:val="32"/>
          <w:szCs w:val="32"/>
        </w:rPr>
        <w:t>其中：公务用车购置支出0万元。截至2022年12月底，单位共有公务用车0辆，其中：轿车0辆、越野车0辆、载客汽车0辆。</w:t>
      </w:r>
    </w:p>
    <w:p>
      <w:pPr>
        <w:pageBreakBefore w:val="0"/>
        <w:widowControl w:val="0"/>
        <w:kinsoku/>
        <w:wordWrap/>
        <w:overflowPunct/>
        <w:topLinePunct w:val="0"/>
        <w:autoSpaceDE/>
        <w:autoSpaceDN/>
        <w:bidi w:val="0"/>
        <w:adjustRightInd/>
        <w:snapToGrid/>
        <w:spacing w:line="578" w:lineRule="atLeast"/>
        <w:ind w:firstLine="640"/>
        <w:textAlignment w:val="auto"/>
        <w:rPr>
          <w:rFonts w:eastAsia="方正仿宋_GBK"/>
          <w:sz w:val="32"/>
          <w:szCs w:val="32"/>
        </w:rPr>
      </w:pPr>
      <w:r>
        <w:rPr>
          <w:rFonts w:eastAsia="方正仿宋_GBK"/>
          <w:sz w:val="32"/>
          <w:szCs w:val="32"/>
        </w:rPr>
        <w:t>公务用车运行维护费支出0万元。</w:t>
      </w:r>
    </w:p>
    <w:p>
      <w:pPr>
        <w:pageBreakBefore w:val="0"/>
        <w:widowControl w:val="0"/>
        <w:kinsoku/>
        <w:wordWrap/>
        <w:overflowPunct/>
        <w:topLinePunct w:val="0"/>
        <w:autoSpaceDE/>
        <w:autoSpaceDN/>
        <w:bidi w:val="0"/>
        <w:adjustRightInd/>
        <w:snapToGrid/>
        <w:spacing w:line="578" w:lineRule="atLeast"/>
        <w:ind w:firstLine="640"/>
        <w:textAlignment w:val="auto"/>
        <w:rPr>
          <w:rFonts w:eastAsia="方正仿宋_GBK"/>
          <w:sz w:val="32"/>
          <w:szCs w:val="32"/>
        </w:rPr>
      </w:pPr>
      <w:r>
        <w:rPr>
          <w:rFonts w:eastAsia="方正仿宋_GBK"/>
          <w:sz w:val="32"/>
          <w:szCs w:val="32"/>
        </w:rPr>
        <w:t>3.公务接待费支出0万元。其中：</w:t>
      </w:r>
    </w:p>
    <w:p>
      <w:pPr>
        <w:pageBreakBefore w:val="0"/>
        <w:widowControl w:val="0"/>
        <w:kinsoku/>
        <w:wordWrap/>
        <w:overflowPunct/>
        <w:topLinePunct w:val="0"/>
        <w:autoSpaceDE/>
        <w:autoSpaceDN/>
        <w:bidi w:val="0"/>
        <w:adjustRightInd/>
        <w:snapToGrid/>
        <w:spacing w:line="578" w:lineRule="atLeast"/>
        <w:ind w:firstLine="640"/>
        <w:textAlignment w:val="auto"/>
        <w:rPr>
          <w:rFonts w:eastAsia="方正仿宋_GBK"/>
          <w:sz w:val="32"/>
          <w:szCs w:val="32"/>
        </w:rPr>
      </w:pPr>
      <w:r>
        <w:rPr>
          <w:rFonts w:eastAsia="方正仿宋_GBK"/>
          <w:sz w:val="32"/>
          <w:szCs w:val="32"/>
        </w:rPr>
        <w:t>国内公务接待支出0万元。</w:t>
      </w:r>
    </w:p>
    <w:p>
      <w:pPr>
        <w:pageBreakBefore w:val="0"/>
        <w:widowControl w:val="0"/>
        <w:kinsoku/>
        <w:wordWrap/>
        <w:overflowPunct/>
        <w:topLinePunct w:val="0"/>
        <w:autoSpaceDE/>
        <w:autoSpaceDN/>
        <w:bidi w:val="0"/>
        <w:adjustRightInd/>
        <w:snapToGrid/>
        <w:spacing w:line="578" w:lineRule="atLeast"/>
        <w:ind w:firstLine="640" w:firstLineChars="200"/>
        <w:textAlignment w:val="auto"/>
        <w:rPr>
          <w:rFonts w:eastAsia="方正仿宋_GBK"/>
          <w:sz w:val="32"/>
          <w:szCs w:val="32"/>
        </w:rPr>
      </w:pPr>
      <w:r>
        <w:rPr>
          <w:rFonts w:eastAsia="方正仿宋_GBK"/>
          <w:sz w:val="32"/>
          <w:szCs w:val="32"/>
        </w:rPr>
        <w:t>外事接待支出0万元。</w:t>
      </w:r>
    </w:p>
    <w:p>
      <w:pPr>
        <w:pStyle w:val="3"/>
        <w:pageBreakBefore w:val="0"/>
        <w:widowControl w:val="0"/>
        <w:kinsoku/>
        <w:wordWrap/>
        <w:overflowPunct/>
        <w:topLinePunct w:val="0"/>
        <w:autoSpaceDE/>
        <w:autoSpaceDN/>
        <w:bidi w:val="0"/>
        <w:adjustRightInd/>
        <w:snapToGrid/>
        <w:spacing w:line="578" w:lineRule="atLeast"/>
        <w:ind w:firstLine="566" w:firstLineChars="177"/>
        <w:textAlignment w:val="auto"/>
        <w:rPr>
          <w:rFonts w:hint="eastAsia" w:ascii="方正黑体_GBK" w:hAnsi="Times New Roman" w:eastAsia="方正黑体_GBK" w:cs="Times New Roman"/>
        </w:rPr>
      </w:pPr>
      <w:bookmarkStart w:id="146" w:name="_Toc146881812"/>
      <w:bookmarkStart w:id="147" w:name="_Toc146881225"/>
      <w:bookmarkStart w:id="148" w:name="_Toc146882166"/>
      <w:bookmarkStart w:id="149" w:name="_Toc15396610"/>
      <w:bookmarkStart w:id="150" w:name="_Toc146881353"/>
      <w:bookmarkStart w:id="151" w:name="_Toc146881989"/>
      <w:bookmarkStart w:id="152" w:name="_Toc15377218"/>
      <w:bookmarkStart w:id="153" w:name="_Toc6697"/>
      <w:r>
        <w:rPr>
          <w:rFonts w:hint="eastAsia" w:ascii="方正黑体_GBK" w:hAnsi="Times New Roman" w:eastAsia="方正黑体_GBK" w:cs="Times New Roman"/>
        </w:rPr>
        <w:t>八、政府性基金预算支出决算情况说明</w:t>
      </w:r>
      <w:bookmarkEnd w:id="146"/>
      <w:bookmarkEnd w:id="147"/>
      <w:bookmarkEnd w:id="148"/>
      <w:bookmarkEnd w:id="149"/>
      <w:bookmarkEnd w:id="150"/>
      <w:bookmarkEnd w:id="151"/>
      <w:bookmarkEnd w:id="152"/>
      <w:bookmarkEnd w:id="153"/>
    </w:p>
    <w:p>
      <w:pPr>
        <w:pageBreakBefore w:val="0"/>
        <w:widowControl w:val="0"/>
        <w:kinsoku/>
        <w:wordWrap/>
        <w:overflowPunct/>
        <w:topLinePunct w:val="0"/>
        <w:autoSpaceDE/>
        <w:autoSpaceDN/>
        <w:bidi w:val="0"/>
        <w:adjustRightInd/>
        <w:snapToGrid/>
        <w:spacing w:line="578" w:lineRule="atLeast"/>
        <w:ind w:firstLine="640"/>
        <w:textAlignment w:val="auto"/>
        <w:rPr>
          <w:rFonts w:eastAsia="方正仿宋_GBK"/>
          <w:sz w:val="32"/>
          <w:szCs w:val="32"/>
        </w:rPr>
      </w:pPr>
      <w:r>
        <w:rPr>
          <w:rFonts w:eastAsia="方正仿宋_GBK"/>
          <w:sz w:val="32"/>
          <w:szCs w:val="32"/>
        </w:rPr>
        <w:t>2022年政府性基金预算财政拨款支出0万元。</w:t>
      </w:r>
    </w:p>
    <w:p>
      <w:pPr>
        <w:pStyle w:val="3"/>
        <w:pageBreakBefore w:val="0"/>
        <w:widowControl w:val="0"/>
        <w:kinsoku/>
        <w:wordWrap/>
        <w:overflowPunct/>
        <w:topLinePunct w:val="0"/>
        <w:autoSpaceDE/>
        <w:autoSpaceDN/>
        <w:bidi w:val="0"/>
        <w:adjustRightInd/>
        <w:snapToGrid/>
        <w:spacing w:line="578" w:lineRule="atLeast"/>
        <w:ind w:firstLine="566" w:firstLineChars="177"/>
        <w:textAlignment w:val="auto"/>
        <w:rPr>
          <w:rFonts w:hint="eastAsia" w:ascii="方正黑体_GBK" w:hAnsi="Times New Roman" w:eastAsia="方正黑体_GBK" w:cs="Times New Roman"/>
        </w:rPr>
      </w:pPr>
      <w:bookmarkStart w:id="154" w:name="_Toc16450"/>
      <w:bookmarkStart w:id="155" w:name="_Toc146881226"/>
      <w:bookmarkStart w:id="156" w:name="_Toc146881990"/>
      <w:bookmarkStart w:id="157" w:name="_Toc146881354"/>
      <w:bookmarkStart w:id="158" w:name="_Toc15377219"/>
      <w:bookmarkStart w:id="159" w:name="_Toc146881813"/>
      <w:bookmarkStart w:id="160" w:name="_Toc146882167"/>
      <w:bookmarkStart w:id="161" w:name="_Toc15396611"/>
      <w:r>
        <w:rPr>
          <w:rFonts w:hint="eastAsia" w:ascii="方正黑体_GBK" w:hAnsi="Times New Roman" w:eastAsia="方正黑体_GBK" w:cs="Times New Roman"/>
        </w:rPr>
        <w:t>九、国有资本经营预算支出决算情况说明</w:t>
      </w:r>
      <w:bookmarkEnd w:id="154"/>
      <w:bookmarkEnd w:id="155"/>
      <w:bookmarkEnd w:id="156"/>
      <w:bookmarkEnd w:id="157"/>
      <w:bookmarkEnd w:id="158"/>
      <w:bookmarkEnd w:id="159"/>
      <w:bookmarkEnd w:id="160"/>
      <w:bookmarkEnd w:id="161"/>
    </w:p>
    <w:p>
      <w:pPr>
        <w:pageBreakBefore w:val="0"/>
        <w:widowControl w:val="0"/>
        <w:kinsoku/>
        <w:wordWrap/>
        <w:overflowPunct/>
        <w:topLinePunct w:val="0"/>
        <w:autoSpaceDE/>
        <w:autoSpaceDN/>
        <w:bidi w:val="0"/>
        <w:adjustRightInd/>
        <w:snapToGrid/>
        <w:spacing w:line="578" w:lineRule="atLeast"/>
        <w:ind w:firstLine="640"/>
        <w:textAlignment w:val="auto"/>
        <w:rPr>
          <w:rFonts w:eastAsia="方正仿宋_GBK"/>
          <w:sz w:val="32"/>
          <w:szCs w:val="32"/>
        </w:rPr>
      </w:pPr>
      <w:r>
        <w:rPr>
          <w:rFonts w:eastAsia="方正仿宋_GBK"/>
          <w:sz w:val="32"/>
          <w:szCs w:val="32"/>
        </w:rPr>
        <w:t>2022年国有资本经营预算财政拨款支出0万元。</w:t>
      </w:r>
    </w:p>
    <w:p>
      <w:pPr>
        <w:pStyle w:val="3"/>
        <w:pageBreakBefore w:val="0"/>
        <w:widowControl w:val="0"/>
        <w:kinsoku/>
        <w:wordWrap/>
        <w:overflowPunct/>
        <w:topLinePunct w:val="0"/>
        <w:bidi w:val="0"/>
        <w:snapToGrid/>
        <w:spacing w:line="578" w:lineRule="exact"/>
        <w:ind w:firstLine="566" w:firstLineChars="177"/>
        <w:textAlignment w:val="auto"/>
        <w:rPr>
          <w:rFonts w:hint="eastAsia" w:ascii="方正黑体_GBK" w:hAnsi="Times New Roman" w:eastAsia="方正黑体_GBK" w:cs="Times New Roman"/>
        </w:rPr>
      </w:pPr>
      <w:bookmarkStart w:id="162" w:name="_Toc15377221"/>
      <w:bookmarkStart w:id="163" w:name="_Toc3988"/>
      <w:bookmarkStart w:id="164" w:name="_Toc146881227"/>
      <w:bookmarkStart w:id="165" w:name="_Toc15396612"/>
      <w:bookmarkStart w:id="166" w:name="_Toc146881814"/>
      <w:bookmarkStart w:id="167" w:name="_Toc146882168"/>
      <w:bookmarkStart w:id="168" w:name="_Toc146881991"/>
      <w:bookmarkStart w:id="169" w:name="_Toc146881355"/>
      <w:r>
        <w:rPr>
          <w:rFonts w:hint="eastAsia" w:ascii="方正黑体_GBK" w:hAnsi="Times New Roman" w:eastAsia="方正黑体_GBK" w:cs="Times New Roman"/>
        </w:rPr>
        <w:t>十、其他重要事项的情况说明</w:t>
      </w:r>
      <w:bookmarkEnd w:id="162"/>
      <w:bookmarkEnd w:id="163"/>
      <w:bookmarkEnd w:id="164"/>
      <w:bookmarkEnd w:id="165"/>
      <w:bookmarkEnd w:id="166"/>
      <w:bookmarkEnd w:id="167"/>
      <w:bookmarkEnd w:id="168"/>
      <w:bookmarkEnd w:id="169"/>
    </w:p>
    <w:p>
      <w:pPr>
        <w:pageBreakBefore w:val="0"/>
        <w:widowControl w:val="0"/>
        <w:kinsoku/>
        <w:wordWrap/>
        <w:overflowPunct/>
        <w:topLinePunct w:val="0"/>
        <w:bidi w:val="0"/>
        <w:snapToGrid/>
        <w:spacing w:line="578" w:lineRule="exact"/>
        <w:ind w:firstLine="563" w:firstLineChars="176"/>
        <w:textAlignment w:val="auto"/>
        <w:rPr>
          <w:rFonts w:hint="eastAsia" w:ascii="方正楷体_GBK" w:eastAsia="方正楷体_GBK"/>
          <w:sz w:val="32"/>
          <w:szCs w:val="32"/>
        </w:rPr>
      </w:pPr>
      <w:bookmarkStart w:id="170" w:name="_Toc15377222"/>
      <w:bookmarkStart w:id="171" w:name="_Toc146881992"/>
      <w:bookmarkStart w:id="172" w:name="_Toc146882169"/>
      <w:bookmarkStart w:id="173" w:name="_Toc146881228"/>
      <w:bookmarkStart w:id="174" w:name="_Toc146881815"/>
      <w:bookmarkStart w:id="175" w:name="_Toc146881356"/>
      <w:r>
        <w:rPr>
          <w:rFonts w:hint="eastAsia" w:ascii="方正楷体_GBK" w:eastAsia="方正楷体_GBK"/>
          <w:sz w:val="32"/>
          <w:szCs w:val="32"/>
        </w:rPr>
        <w:t>（一）机关运行经费支出情况</w:t>
      </w:r>
      <w:bookmarkEnd w:id="170"/>
      <w:bookmarkEnd w:id="171"/>
      <w:bookmarkEnd w:id="172"/>
      <w:bookmarkEnd w:id="173"/>
      <w:bookmarkEnd w:id="174"/>
      <w:bookmarkEnd w:id="175"/>
    </w:p>
    <w:p>
      <w:pPr>
        <w:pageBreakBefore w:val="0"/>
        <w:widowControl w:val="0"/>
        <w:kinsoku/>
        <w:wordWrap/>
        <w:overflowPunct/>
        <w:topLinePunct w:val="0"/>
        <w:bidi w:val="0"/>
        <w:snapToGrid/>
        <w:spacing w:line="578" w:lineRule="exact"/>
        <w:ind w:firstLine="640" w:firstLineChars="200"/>
        <w:textAlignment w:val="auto"/>
        <w:rPr>
          <w:rFonts w:eastAsia="方正仿宋_GBK"/>
          <w:b/>
          <w:sz w:val="32"/>
          <w:szCs w:val="32"/>
        </w:rPr>
      </w:pPr>
      <w:r>
        <w:rPr>
          <w:rFonts w:eastAsia="方正仿宋_GBK"/>
          <w:sz w:val="32"/>
          <w:szCs w:val="32"/>
        </w:rPr>
        <w:t>2022年，我单位机关运行经费支出0万元。</w:t>
      </w:r>
    </w:p>
    <w:p>
      <w:pPr>
        <w:pageBreakBefore w:val="0"/>
        <w:widowControl w:val="0"/>
        <w:kinsoku/>
        <w:wordWrap/>
        <w:overflowPunct/>
        <w:topLinePunct w:val="0"/>
        <w:bidi w:val="0"/>
        <w:snapToGrid/>
        <w:spacing w:line="578" w:lineRule="exact"/>
        <w:ind w:firstLine="563" w:firstLineChars="176"/>
        <w:textAlignment w:val="auto"/>
        <w:rPr>
          <w:rFonts w:hint="eastAsia" w:ascii="方正楷体_GBK" w:eastAsia="方正楷体_GBK"/>
          <w:sz w:val="32"/>
          <w:szCs w:val="32"/>
        </w:rPr>
      </w:pPr>
      <w:bookmarkStart w:id="176" w:name="_Toc146882170"/>
      <w:bookmarkStart w:id="177" w:name="_Toc15377223"/>
      <w:bookmarkStart w:id="178" w:name="_Toc146881357"/>
      <w:bookmarkStart w:id="179" w:name="_Toc146881229"/>
      <w:bookmarkStart w:id="180" w:name="_Toc146881816"/>
      <w:bookmarkStart w:id="181" w:name="_Toc146881993"/>
      <w:r>
        <w:rPr>
          <w:rFonts w:hint="eastAsia" w:ascii="方正楷体_GBK" w:eastAsia="方正楷体_GBK"/>
          <w:sz w:val="32"/>
          <w:szCs w:val="32"/>
        </w:rPr>
        <w:t>（二）政府采购支出情况</w:t>
      </w:r>
      <w:bookmarkEnd w:id="176"/>
      <w:bookmarkEnd w:id="177"/>
      <w:bookmarkEnd w:id="178"/>
      <w:bookmarkEnd w:id="179"/>
      <w:bookmarkEnd w:id="180"/>
      <w:bookmarkEnd w:id="181"/>
    </w:p>
    <w:p>
      <w:pPr>
        <w:pageBreakBefore w:val="0"/>
        <w:widowControl w:val="0"/>
        <w:kinsoku/>
        <w:wordWrap/>
        <w:overflowPunct/>
        <w:topLinePunct w:val="0"/>
        <w:bidi w:val="0"/>
        <w:snapToGrid/>
        <w:spacing w:line="578" w:lineRule="exact"/>
        <w:ind w:firstLine="640" w:firstLineChars="200"/>
        <w:textAlignment w:val="auto"/>
        <w:rPr>
          <w:rFonts w:eastAsia="方正仿宋_GBK"/>
          <w:sz w:val="32"/>
          <w:szCs w:val="32"/>
        </w:rPr>
      </w:pPr>
      <w:r>
        <w:rPr>
          <w:rFonts w:eastAsia="方正仿宋_GBK"/>
          <w:sz w:val="32"/>
          <w:szCs w:val="32"/>
        </w:rPr>
        <w:t xml:space="preserve">2022年，单位政府采购支出总额0万元。 </w:t>
      </w:r>
    </w:p>
    <w:p>
      <w:pPr>
        <w:pageBreakBefore w:val="0"/>
        <w:widowControl w:val="0"/>
        <w:kinsoku/>
        <w:wordWrap/>
        <w:overflowPunct/>
        <w:topLinePunct w:val="0"/>
        <w:bidi w:val="0"/>
        <w:snapToGrid/>
        <w:spacing w:line="578" w:lineRule="exact"/>
        <w:ind w:firstLine="563" w:firstLineChars="176"/>
        <w:textAlignment w:val="auto"/>
        <w:rPr>
          <w:rFonts w:hint="eastAsia" w:ascii="方正楷体_GBK" w:eastAsia="方正楷体_GBK"/>
          <w:sz w:val="32"/>
          <w:szCs w:val="32"/>
        </w:rPr>
      </w:pPr>
      <w:bookmarkStart w:id="182" w:name="_Toc146881358"/>
      <w:bookmarkStart w:id="183" w:name="_Toc146881994"/>
      <w:bookmarkStart w:id="184" w:name="_Toc15377224"/>
      <w:bookmarkStart w:id="185" w:name="_Toc146881817"/>
      <w:bookmarkStart w:id="186" w:name="_Toc146882171"/>
      <w:bookmarkStart w:id="187" w:name="_Toc146881230"/>
      <w:r>
        <w:rPr>
          <w:rFonts w:hint="eastAsia" w:ascii="方正楷体_GBK" w:eastAsia="方正楷体_GBK"/>
          <w:sz w:val="32"/>
          <w:szCs w:val="32"/>
        </w:rPr>
        <w:t>（三）国有资产占有使用情况</w:t>
      </w:r>
      <w:bookmarkEnd w:id="182"/>
      <w:bookmarkEnd w:id="183"/>
      <w:bookmarkEnd w:id="184"/>
      <w:bookmarkEnd w:id="185"/>
      <w:bookmarkEnd w:id="186"/>
      <w:bookmarkEnd w:id="187"/>
    </w:p>
    <w:p>
      <w:pPr>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eastAsia="方正仿宋_GBK"/>
          <w:sz w:val="32"/>
          <w:szCs w:val="32"/>
        </w:rPr>
      </w:pPr>
      <w:r>
        <w:rPr>
          <w:rFonts w:eastAsia="方正仿宋_GBK"/>
          <w:sz w:val="32"/>
          <w:szCs w:val="32"/>
        </w:rPr>
        <w:t>截至2022年12月31日，我单位共有车辆0辆，其中：主要领导干部用车0辆、机要通信车0辆、应急保障用车0辆、其他用车0辆。单价100万元以上专用设备0台（套）。</w:t>
      </w:r>
    </w:p>
    <w:p>
      <w:pPr>
        <w:keepNext w:val="0"/>
        <w:keepLines w:val="0"/>
        <w:pageBreakBefore w:val="0"/>
        <w:widowControl w:val="0"/>
        <w:kinsoku/>
        <w:wordWrap/>
        <w:overflowPunct/>
        <w:topLinePunct w:val="0"/>
        <w:bidi w:val="0"/>
        <w:snapToGrid/>
        <w:spacing w:line="578" w:lineRule="exact"/>
        <w:ind w:firstLine="563" w:firstLineChars="176"/>
        <w:textAlignment w:val="auto"/>
        <w:rPr>
          <w:rFonts w:hint="eastAsia" w:ascii="方正楷体_GBK" w:eastAsia="方正楷体_GBK"/>
          <w:sz w:val="32"/>
          <w:szCs w:val="32"/>
        </w:rPr>
      </w:pPr>
      <w:bookmarkStart w:id="188" w:name="_Toc146881231"/>
      <w:bookmarkStart w:id="189" w:name="_Toc146881818"/>
      <w:bookmarkStart w:id="190" w:name="_Toc146882172"/>
      <w:bookmarkStart w:id="191" w:name="_Toc146881995"/>
      <w:bookmarkStart w:id="192" w:name="_Toc146881359"/>
      <w:r>
        <w:rPr>
          <w:rFonts w:hint="eastAsia" w:ascii="方正楷体_GBK" w:eastAsia="方正楷体_GBK"/>
          <w:sz w:val="32"/>
          <w:szCs w:val="32"/>
        </w:rPr>
        <w:t>（四）预算绩效管理情况</w:t>
      </w:r>
      <w:bookmarkEnd w:id="188"/>
      <w:bookmarkEnd w:id="189"/>
      <w:bookmarkEnd w:id="190"/>
      <w:bookmarkEnd w:id="191"/>
      <w:bookmarkEnd w:id="192"/>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eastAsia="方正仿宋_GBK"/>
          <w:color w:val="000000" w:themeColor="text1"/>
          <w:sz w:val="32"/>
          <w:szCs w:val="32"/>
        </w:rPr>
      </w:pPr>
      <w:r>
        <w:rPr>
          <w:rFonts w:eastAsia="方正仿宋_GBK"/>
          <w:color w:val="000000" w:themeColor="text1"/>
          <w:sz w:val="32"/>
          <w:szCs w:val="32"/>
        </w:rPr>
        <w:t>根据预算绩效管理要求，本部门在2022年度预算编制阶段，组织对</w:t>
      </w:r>
      <w:r>
        <w:rPr>
          <w:rFonts w:hint="eastAsia" w:eastAsia="方正仿宋_GBK"/>
          <w:color w:val="000000" w:themeColor="text1"/>
          <w:sz w:val="32"/>
          <w:szCs w:val="32"/>
          <w:lang w:val="en-US" w:eastAsia="zh-CN"/>
        </w:rPr>
        <w:t>0</w:t>
      </w:r>
      <w:r>
        <w:rPr>
          <w:rFonts w:eastAsia="方正仿宋_GBK"/>
          <w:color w:val="000000" w:themeColor="text1"/>
          <w:sz w:val="32"/>
          <w:szCs w:val="32"/>
        </w:rPr>
        <w:t>个项目开展了预算事前绩效评估，对达川区</w:t>
      </w:r>
      <w:r>
        <w:rPr>
          <w:rFonts w:hint="eastAsia" w:eastAsia="方正仿宋_GBK"/>
          <w:color w:val="000000" w:themeColor="text1"/>
          <w:sz w:val="32"/>
          <w:szCs w:val="32"/>
          <w:lang w:val="en-US" w:eastAsia="zh-CN"/>
        </w:rPr>
        <w:t>实验幼儿园</w:t>
      </w:r>
      <w:r>
        <w:rPr>
          <w:rFonts w:eastAsia="方正仿宋_GBK"/>
          <w:color w:val="000000" w:themeColor="text1"/>
          <w:sz w:val="32"/>
          <w:szCs w:val="32"/>
        </w:rPr>
        <w:t>购买安保服务专项等</w:t>
      </w:r>
      <w:r>
        <w:rPr>
          <w:rFonts w:hint="eastAsia" w:eastAsia="方正仿宋_GBK"/>
          <w:color w:val="000000" w:themeColor="text1"/>
          <w:sz w:val="32"/>
          <w:szCs w:val="32"/>
          <w:lang w:val="en-US" w:eastAsia="zh-CN"/>
        </w:rPr>
        <w:t>2</w:t>
      </w:r>
      <w:r>
        <w:rPr>
          <w:rFonts w:eastAsia="方正仿宋_GBK"/>
          <w:color w:val="000000" w:themeColor="text1"/>
          <w:sz w:val="32"/>
          <w:szCs w:val="32"/>
        </w:rPr>
        <w:t>个项目编制了绩效目标，预算执行过程中，选取达川区</w:t>
      </w:r>
      <w:r>
        <w:rPr>
          <w:rFonts w:hint="eastAsia" w:eastAsia="方正仿宋_GBK"/>
          <w:color w:val="000000" w:themeColor="text1"/>
          <w:sz w:val="32"/>
          <w:szCs w:val="32"/>
          <w:lang w:val="en-US" w:eastAsia="zh-CN"/>
        </w:rPr>
        <w:t>实验幼儿园</w:t>
      </w:r>
      <w:r>
        <w:rPr>
          <w:rFonts w:eastAsia="方正仿宋_GBK"/>
          <w:color w:val="000000" w:themeColor="text1"/>
          <w:sz w:val="32"/>
          <w:szCs w:val="32"/>
        </w:rPr>
        <w:t>购买安保服务专项等</w:t>
      </w:r>
      <w:r>
        <w:rPr>
          <w:rFonts w:hint="eastAsia" w:eastAsia="方正仿宋_GBK"/>
          <w:color w:val="000000" w:themeColor="text1"/>
          <w:sz w:val="32"/>
          <w:szCs w:val="32"/>
          <w:lang w:val="en-US" w:eastAsia="zh-CN"/>
        </w:rPr>
        <w:t>2</w:t>
      </w:r>
      <w:r>
        <w:rPr>
          <w:rFonts w:eastAsia="方正仿宋_GBK"/>
          <w:color w:val="000000" w:themeColor="text1"/>
          <w:sz w:val="32"/>
          <w:szCs w:val="32"/>
        </w:rPr>
        <w:t>个项目开展绩效监控。</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eastAsia="方正仿宋_GBK"/>
          <w:color w:val="000000" w:themeColor="text1"/>
          <w:sz w:val="32"/>
          <w:szCs w:val="32"/>
        </w:rPr>
      </w:pPr>
      <w:r>
        <w:rPr>
          <w:rFonts w:eastAsia="方正仿宋_GBK"/>
          <w:color w:val="000000" w:themeColor="text1"/>
          <w:sz w:val="32"/>
          <w:szCs w:val="32"/>
        </w:rPr>
        <w:t>本部门组织对2022年度一般公共预算、政府性基金预算、国有资本经营预算、社会保险基金预算以及资本资产、债券资金等全面开展绩效自评，形成达川区</w:t>
      </w:r>
      <w:r>
        <w:rPr>
          <w:rFonts w:hint="eastAsia" w:eastAsia="方正仿宋_GBK"/>
          <w:color w:val="000000" w:themeColor="text1"/>
          <w:sz w:val="32"/>
          <w:szCs w:val="32"/>
          <w:lang w:eastAsia="zh-CN"/>
        </w:rPr>
        <w:t>实验幼儿园</w:t>
      </w:r>
      <w:r>
        <w:rPr>
          <w:rFonts w:eastAsia="方正仿宋_GBK"/>
          <w:color w:val="000000" w:themeColor="text1"/>
          <w:sz w:val="32"/>
          <w:szCs w:val="32"/>
        </w:rPr>
        <w:t>部门整体</w:t>
      </w:r>
      <w:r>
        <w:rPr>
          <w:rFonts w:hint="eastAsia" w:eastAsia="方正仿宋_GBK"/>
          <w:color w:val="000000" w:themeColor="text1"/>
          <w:sz w:val="32"/>
          <w:szCs w:val="32"/>
          <w:lang w:eastAsia="zh-CN"/>
        </w:rPr>
        <w:t>（</w:t>
      </w:r>
      <w:r>
        <w:rPr>
          <w:rFonts w:eastAsia="方正仿宋_GBK"/>
          <w:color w:val="000000" w:themeColor="text1"/>
          <w:sz w:val="32"/>
          <w:szCs w:val="32"/>
        </w:rPr>
        <w:t>含部门预算项目</w:t>
      </w:r>
      <w:r>
        <w:rPr>
          <w:rFonts w:hint="eastAsia" w:eastAsia="方正仿宋_GBK"/>
          <w:color w:val="000000" w:themeColor="text1"/>
          <w:sz w:val="32"/>
          <w:szCs w:val="32"/>
          <w:lang w:eastAsia="zh-CN"/>
        </w:rPr>
        <w:t>）</w:t>
      </w:r>
      <w:r>
        <w:rPr>
          <w:rFonts w:eastAsia="方正仿宋_GBK"/>
          <w:color w:val="000000" w:themeColor="text1"/>
          <w:sz w:val="32"/>
          <w:szCs w:val="32"/>
        </w:rPr>
        <w:t>绩效自评报告、达川区</w:t>
      </w:r>
      <w:r>
        <w:rPr>
          <w:rFonts w:hint="eastAsia" w:eastAsia="方正仿宋_GBK"/>
          <w:color w:val="000000" w:themeColor="text1"/>
          <w:sz w:val="32"/>
          <w:szCs w:val="32"/>
          <w:lang w:eastAsia="zh-CN"/>
        </w:rPr>
        <w:t>实验幼儿园</w:t>
      </w:r>
      <w:r>
        <w:rPr>
          <w:rFonts w:eastAsia="方正仿宋_GBK"/>
          <w:color w:val="000000" w:themeColor="text1"/>
          <w:sz w:val="32"/>
          <w:szCs w:val="32"/>
        </w:rPr>
        <w:t>购买安保服务专项项目等专项预算项目绩效自评报告，其中，达川区</w:t>
      </w:r>
      <w:r>
        <w:rPr>
          <w:rFonts w:hint="eastAsia" w:eastAsia="方正仿宋_GBK"/>
          <w:color w:val="000000" w:themeColor="text1"/>
          <w:sz w:val="32"/>
          <w:szCs w:val="32"/>
          <w:lang w:eastAsia="zh-CN"/>
        </w:rPr>
        <w:t>实验幼儿园</w:t>
      </w:r>
      <w:r>
        <w:rPr>
          <w:rFonts w:eastAsia="方正仿宋_GBK"/>
          <w:color w:val="000000" w:themeColor="text1"/>
          <w:sz w:val="32"/>
          <w:szCs w:val="32"/>
        </w:rPr>
        <w:t>部门整体</w:t>
      </w:r>
      <w:r>
        <w:rPr>
          <w:rFonts w:hint="eastAsia" w:eastAsia="方正仿宋_GBK"/>
          <w:color w:val="000000" w:themeColor="text1"/>
          <w:sz w:val="32"/>
          <w:szCs w:val="32"/>
          <w:lang w:eastAsia="zh-CN"/>
        </w:rPr>
        <w:t>（</w:t>
      </w:r>
      <w:r>
        <w:rPr>
          <w:rFonts w:eastAsia="方正仿宋_GBK"/>
          <w:color w:val="000000" w:themeColor="text1"/>
          <w:sz w:val="32"/>
          <w:szCs w:val="32"/>
        </w:rPr>
        <w:t>含部门预算项目</w:t>
      </w:r>
      <w:r>
        <w:rPr>
          <w:rFonts w:hint="eastAsia" w:eastAsia="方正仿宋_GBK"/>
          <w:color w:val="000000" w:themeColor="text1"/>
          <w:sz w:val="32"/>
          <w:szCs w:val="32"/>
          <w:lang w:eastAsia="zh-CN"/>
        </w:rPr>
        <w:t>）</w:t>
      </w:r>
      <w:r>
        <w:rPr>
          <w:rFonts w:eastAsia="方正仿宋_GBK"/>
          <w:color w:val="000000" w:themeColor="text1"/>
          <w:sz w:val="32"/>
          <w:szCs w:val="32"/>
        </w:rPr>
        <w:t>绩效自评得分为86分</w:t>
      </w:r>
      <w:r>
        <w:rPr>
          <w:rFonts w:hint="eastAsia" w:eastAsia="方正仿宋_GBK"/>
          <w:color w:val="000000" w:themeColor="text1"/>
          <w:sz w:val="32"/>
          <w:szCs w:val="32"/>
        </w:rPr>
        <w:t>。</w:t>
      </w:r>
      <w:r>
        <w:rPr>
          <w:rFonts w:eastAsia="方正仿宋_GBK"/>
          <w:color w:val="000000" w:themeColor="text1"/>
          <w:sz w:val="32"/>
          <w:szCs w:val="32"/>
        </w:rPr>
        <w:t>绩效自评综述：按照2022年度区级部门整体支出绩效评价指标体系，绩效评价总分95分，我单位得分86分</w:t>
      </w:r>
      <w:r>
        <w:rPr>
          <w:rFonts w:hint="eastAsia" w:eastAsia="方正仿宋_GBK"/>
          <w:color w:val="000000" w:themeColor="text1"/>
          <w:sz w:val="32"/>
          <w:szCs w:val="32"/>
          <w:lang w:eastAsia="zh-CN"/>
        </w:rPr>
        <w:t>（</w:t>
      </w:r>
      <w:r>
        <w:rPr>
          <w:rFonts w:eastAsia="方正仿宋_GBK"/>
          <w:color w:val="000000" w:themeColor="text1"/>
          <w:sz w:val="32"/>
          <w:szCs w:val="32"/>
        </w:rPr>
        <w:t>详见《2023年整体支出绩效评价指标体系表》</w:t>
      </w:r>
      <w:r>
        <w:rPr>
          <w:rFonts w:hint="eastAsia" w:eastAsia="方正仿宋_GBK"/>
          <w:color w:val="000000" w:themeColor="text1"/>
          <w:sz w:val="32"/>
          <w:szCs w:val="32"/>
          <w:lang w:eastAsia="zh-CN"/>
        </w:rPr>
        <w:t>）</w:t>
      </w:r>
      <w:r>
        <w:rPr>
          <w:rFonts w:eastAsia="方正仿宋_GBK"/>
          <w:color w:val="000000" w:themeColor="text1"/>
          <w:sz w:val="32"/>
          <w:szCs w:val="32"/>
        </w:rPr>
        <w:t>。基本完成了年度预算绩效管理目标，扣分项主要涉及预算调整金额偏大和个别时间节点</w:t>
      </w:r>
      <w:r>
        <w:rPr>
          <w:rFonts w:hint="eastAsia" w:eastAsia="方正仿宋_GBK"/>
          <w:color w:val="000000" w:themeColor="text1"/>
          <w:sz w:val="32"/>
          <w:szCs w:val="32"/>
        </w:rPr>
        <w:t>，</w:t>
      </w:r>
      <w:r>
        <w:rPr>
          <w:rFonts w:eastAsia="方正仿宋_GBK"/>
          <w:color w:val="000000" w:themeColor="text1"/>
          <w:sz w:val="32"/>
          <w:szCs w:val="32"/>
        </w:rPr>
        <w:t>预算执行进度不高。</w:t>
      </w:r>
    </w:p>
    <w:p>
      <w:pPr>
        <w:keepNext w:val="0"/>
        <w:keepLines w:val="0"/>
        <w:pageBreakBefore w:val="0"/>
        <w:kinsoku/>
        <w:wordWrap/>
        <w:overflowPunct/>
        <w:topLinePunct w:val="0"/>
        <w:autoSpaceDE w:val="0"/>
        <w:autoSpaceDN w:val="0"/>
        <w:bidi w:val="0"/>
        <w:adjustRightInd w:val="0"/>
        <w:snapToGrid/>
        <w:spacing w:line="578" w:lineRule="exact"/>
        <w:ind w:firstLine="640" w:firstLineChars="200"/>
        <w:textAlignment w:val="auto"/>
        <w:rPr>
          <w:rFonts w:eastAsia="方正仿宋_GBK"/>
          <w:color w:val="000000" w:themeColor="text1"/>
          <w:sz w:val="32"/>
          <w:szCs w:val="32"/>
        </w:rPr>
      </w:pPr>
      <w:r>
        <w:rPr>
          <w:rFonts w:eastAsia="方正仿宋_GBK"/>
          <w:color w:val="000000" w:themeColor="text1"/>
          <w:sz w:val="32"/>
          <w:szCs w:val="32"/>
        </w:rPr>
        <w:t>1.达川区</w:t>
      </w:r>
      <w:r>
        <w:rPr>
          <w:rFonts w:hint="eastAsia" w:eastAsia="方正仿宋_GBK"/>
          <w:color w:val="000000" w:themeColor="text1"/>
          <w:sz w:val="32"/>
          <w:szCs w:val="32"/>
          <w:lang w:eastAsia="zh-CN"/>
        </w:rPr>
        <w:t>实验幼儿园</w:t>
      </w:r>
      <w:r>
        <w:rPr>
          <w:rFonts w:eastAsia="方正仿宋_GBK"/>
          <w:color w:val="000000" w:themeColor="text1"/>
          <w:sz w:val="32"/>
          <w:szCs w:val="32"/>
        </w:rPr>
        <w:t>购买安保服务专项预算项目绩效自评得分为</w:t>
      </w:r>
      <w:r>
        <w:rPr>
          <w:rFonts w:eastAsia="方正仿宋_GBK"/>
          <w:color w:val="auto"/>
          <w:sz w:val="32"/>
          <w:szCs w:val="32"/>
        </w:rPr>
        <w:t>90</w:t>
      </w:r>
      <w:r>
        <w:rPr>
          <w:rFonts w:eastAsia="方正仿宋_GBK"/>
          <w:color w:val="000000" w:themeColor="text1"/>
          <w:sz w:val="32"/>
          <w:szCs w:val="32"/>
        </w:rPr>
        <w:t>分，绩效自评综述：该项目在年初制定申报财政预算金额共</w:t>
      </w:r>
      <w:r>
        <w:rPr>
          <w:rFonts w:hint="eastAsia" w:eastAsia="方正仿宋_GBK"/>
          <w:color w:val="000000" w:themeColor="text1"/>
          <w:sz w:val="32"/>
          <w:szCs w:val="32"/>
        </w:rPr>
        <w:t>6</w:t>
      </w:r>
      <w:r>
        <w:rPr>
          <w:rFonts w:eastAsia="方正仿宋_GBK"/>
          <w:color w:val="000000" w:themeColor="text1"/>
          <w:sz w:val="32"/>
          <w:szCs w:val="32"/>
        </w:rPr>
        <w:t>万元，区财政局年初预算下达</w:t>
      </w:r>
      <w:r>
        <w:rPr>
          <w:rFonts w:hint="eastAsia" w:eastAsia="方正仿宋_GBK"/>
          <w:color w:val="000000" w:themeColor="text1"/>
          <w:sz w:val="32"/>
          <w:szCs w:val="32"/>
        </w:rPr>
        <w:t>6</w:t>
      </w:r>
      <w:r>
        <w:rPr>
          <w:rFonts w:eastAsia="方正仿宋_GBK"/>
          <w:color w:val="000000" w:themeColor="text1"/>
          <w:sz w:val="32"/>
          <w:szCs w:val="32"/>
        </w:rPr>
        <w:t>万元，年底实际下达</w:t>
      </w:r>
      <w:r>
        <w:rPr>
          <w:rFonts w:hint="eastAsia" w:eastAsia="方正仿宋_GBK"/>
          <w:color w:val="000000" w:themeColor="text1"/>
          <w:sz w:val="32"/>
          <w:szCs w:val="32"/>
        </w:rPr>
        <w:t>6</w:t>
      </w:r>
      <w:r>
        <w:rPr>
          <w:rFonts w:eastAsia="方正仿宋_GBK"/>
          <w:color w:val="000000" w:themeColor="text1"/>
          <w:sz w:val="32"/>
          <w:szCs w:val="32"/>
        </w:rPr>
        <w:t>万元。项目目标全部顺利完成，在项目管理上严格按照项目预算批复，项目批复后严格按专项资金有关规定执行，在项目完成上严格按照申报计划和上级批复要求进行实施，按质按量全面完成，并通过验收。</w:t>
      </w:r>
    </w:p>
    <w:p>
      <w:pPr>
        <w:keepNext w:val="0"/>
        <w:keepLines w:val="0"/>
        <w:pageBreakBefore w:val="0"/>
        <w:widowControl/>
        <w:kinsoku/>
        <w:wordWrap/>
        <w:overflowPunct/>
        <w:topLinePunct w:val="0"/>
        <w:bidi w:val="0"/>
        <w:snapToGrid/>
        <w:spacing w:line="578" w:lineRule="exact"/>
        <w:ind w:firstLine="640" w:firstLineChars="200"/>
        <w:textAlignment w:val="auto"/>
        <w:rPr>
          <w:rFonts w:eastAsia="方正仿宋_GBK"/>
          <w:color w:val="000000" w:themeColor="text1"/>
          <w:sz w:val="32"/>
          <w:szCs w:val="32"/>
        </w:rPr>
      </w:pPr>
      <w:r>
        <w:rPr>
          <w:rFonts w:hint="default" w:ascii="Times New Roman" w:hAnsi="Times New Roman" w:eastAsia="方正仿宋_GBK" w:cs="Times New Roman"/>
          <w:color w:val="000000" w:themeColor="text1"/>
          <w:sz w:val="32"/>
          <w:szCs w:val="32"/>
        </w:rPr>
        <w:t>2.达川区</w:t>
      </w:r>
      <w:r>
        <w:rPr>
          <w:rFonts w:hint="default" w:ascii="Times New Roman" w:hAnsi="Times New Roman" w:eastAsia="方正仿宋_GBK" w:cs="Times New Roman"/>
          <w:color w:val="000000" w:themeColor="text1"/>
          <w:sz w:val="32"/>
          <w:szCs w:val="32"/>
          <w:lang w:eastAsia="zh-CN"/>
        </w:rPr>
        <w:t>实验幼儿园</w:t>
      </w:r>
      <w:r>
        <w:rPr>
          <w:rFonts w:hint="default" w:ascii="Times New Roman" w:hAnsi="Times New Roman" w:eastAsia="方正仿宋_GBK" w:cs="Times New Roman"/>
          <w:color w:val="000000" w:themeColor="text1"/>
          <w:sz w:val="32"/>
          <w:szCs w:val="32"/>
        </w:rPr>
        <w:t>学生</w:t>
      </w:r>
      <w:r>
        <w:rPr>
          <w:rFonts w:hint="default" w:ascii="Times New Roman" w:hAnsi="Times New Roman" w:eastAsia="方正仿宋_GBK" w:cs="Times New Roman"/>
          <w:color w:val="000000" w:themeColor="text1"/>
          <w:sz w:val="32"/>
          <w:szCs w:val="32"/>
          <w:lang w:val="en-US" w:eastAsia="zh-CN"/>
        </w:rPr>
        <w:t>幼儿经费</w:t>
      </w:r>
      <w:r>
        <w:rPr>
          <w:rFonts w:hint="default" w:ascii="Times New Roman" w:hAnsi="Times New Roman" w:eastAsia="方正仿宋_GBK" w:cs="Times New Roman"/>
          <w:color w:val="000000" w:themeColor="text1"/>
          <w:sz w:val="32"/>
          <w:szCs w:val="32"/>
        </w:rPr>
        <w:t>专项预算项目绩效自评得分为90分，绩效自评综述：该项目在年初制定申报财政预算金额共</w:t>
      </w:r>
      <w:r>
        <w:rPr>
          <w:rFonts w:hint="default" w:ascii="Times New Roman" w:hAnsi="Times New Roman" w:eastAsia="方正仿宋_GBK" w:cs="Times New Roman"/>
          <w:sz w:val="32"/>
          <w:szCs w:val="32"/>
          <w:lang w:val="en-US" w:eastAsia="zh-CN"/>
        </w:rPr>
        <w:t>302.31</w:t>
      </w:r>
      <w:r>
        <w:rPr>
          <w:rFonts w:hint="default" w:ascii="Times New Roman" w:hAnsi="Times New Roman" w:eastAsia="方正仿宋_GBK" w:cs="Times New Roman"/>
          <w:color w:val="000000" w:themeColor="text1"/>
          <w:sz w:val="32"/>
          <w:szCs w:val="32"/>
        </w:rPr>
        <w:t>万元，区财政局年初预算下达</w:t>
      </w:r>
      <w:r>
        <w:rPr>
          <w:rFonts w:hint="default" w:ascii="Times New Roman" w:hAnsi="Times New Roman" w:eastAsia="方正仿宋_GBK" w:cs="Times New Roman"/>
          <w:sz w:val="32"/>
          <w:szCs w:val="32"/>
          <w:lang w:val="en-US" w:eastAsia="zh-CN"/>
        </w:rPr>
        <w:t>302.31</w:t>
      </w:r>
      <w:r>
        <w:rPr>
          <w:rFonts w:hint="default" w:ascii="Times New Roman" w:hAnsi="Times New Roman" w:eastAsia="方正仿宋_GBK" w:cs="Times New Roman"/>
          <w:color w:val="000000" w:themeColor="text1"/>
          <w:sz w:val="32"/>
          <w:szCs w:val="32"/>
        </w:rPr>
        <w:t>万元，年底实际下达</w:t>
      </w:r>
      <w:r>
        <w:rPr>
          <w:rFonts w:hint="default" w:ascii="Times New Roman" w:hAnsi="Times New Roman" w:eastAsia="方正仿宋_GBK" w:cs="Times New Roman"/>
          <w:sz w:val="32"/>
          <w:szCs w:val="32"/>
          <w:lang w:val="en-US" w:eastAsia="zh-CN"/>
        </w:rPr>
        <w:t>302.31</w:t>
      </w:r>
      <w:r>
        <w:rPr>
          <w:rFonts w:hint="default" w:ascii="Times New Roman" w:hAnsi="Times New Roman" w:eastAsia="方正仿宋_GBK" w:cs="Times New Roman"/>
          <w:color w:val="000000" w:themeColor="text1"/>
          <w:sz w:val="32"/>
          <w:szCs w:val="32"/>
        </w:rPr>
        <w:t>万元。项目目标全部顺利完成，在项目管理上严格按照项目预算批复，项目批复后严格按专项资金有关规定执行，在项目完成上严格按照申报计划和上级批复要求进行</w:t>
      </w:r>
      <w:r>
        <w:rPr>
          <w:rFonts w:eastAsia="方正仿宋_GBK"/>
          <w:color w:val="000000" w:themeColor="text1"/>
          <w:sz w:val="32"/>
          <w:szCs w:val="32"/>
        </w:rPr>
        <w:t>实施，按质按量全面完成，并通过验收。</w:t>
      </w:r>
    </w:p>
    <w:p>
      <w:pPr>
        <w:keepNext w:val="0"/>
        <w:keepLines w:val="0"/>
        <w:pageBreakBefore w:val="0"/>
        <w:widowControl/>
        <w:kinsoku/>
        <w:wordWrap/>
        <w:overflowPunct/>
        <w:topLinePunct w:val="0"/>
        <w:bidi w:val="0"/>
        <w:snapToGrid/>
        <w:spacing w:line="578" w:lineRule="exact"/>
        <w:ind w:firstLine="707" w:firstLineChars="221"/>
        <w:jc w:val="left"/>
        <w:textAlignment w:val="auto"/>
        <w:rPr>
          <w:rFonts w:eastAsia="方正仿宋_GBK"/>
          <w:sz w:val="32"/>
          <w:szCs w:val="32"/>
        </w:rPr>
      </w:pPr>
    </w:p>
    <w:p>
      <w:pPr>
        <w:keepNext w:val="0"/>
        <w:keepLines w:val="0"/>
        <w:pageBreakBefore w:val="0"/>
        <w:widowControl/>
        <w:kinsoku/>
        <w:wordWrap/>
        <w:overflowPunct/>
        <w:topLinePunct w:val="0"/>
        <w:bidi w:val="0"/>
        <w:snapToGrid/>
        <w:spacing w:line="578" w:lineRule="exact"/>
        <w:ind w:firstLine="707" w:firstLineChars="221"/>
        <w:jc w:val="left"/>
        <w:textAlignment w:val="auto"/>
        <w:sectPr>
          <w:pgSz w:w="11906" w:h="16838"/>
          <w:pgMar w:top="1701" w:right="1474" w:bottom="1134" w:left="1587" w:header="851" w:footer="992" w:gutter="0"/>
          <w:cols w:space="0" w:num="1"/>
          <w:titlePg/>
          <w:docGrid w:type="lines" w:linePitch="312" w:charSpace="0"/>
        </w:sectPr>
      </w:pPr>
      <w:r>
        <w:rPr>
          <w:rFonts w:eastAsia="方正仿宋_GBK"/>
          <w:sz w:val="32"/>
          <w:szCs w:val="32"/>
        </w:rPr>
        <w:t>绩效自评报告详见附件。</w:t>
      </w:r>
      <w:r>
        <w:rPr>
          <w:rFonts w:eastAsia="仿宋_GB2312"/>
          <w:b/>
          <w:sz w:val="32"/>
          <w:szCs w:val="32"/>
        </w:rPr>
        <w:br w:type="page"/>
      </w:r>
      <w:bookmarkStart w:id="193" w:name="_Toc15377225"/>
      <w:bookmarkStart w:id="194" w:name="_Toc146881232"/>
      <w:bookmarkStart w:id="195" w:name="_Toc146882173"/>
      <w:bookmarkStart w:id="196" w:name="_Toc146881360"/>
      <w:bookmarkStart w:id="197" w:name="_Toc146881819"/>
      <w:bookmarkStart w:id="198" w:name="_Toc15396613"/>
      <w:bookmarkStart w:id="199" w:name="_Toc146881996"/>
    </w:p>
    <w:p>
      <w:pPr>
        <w:jc w:val="center"/>
        <w:rPr>
          <w:rFonts w:hint="eastAsia" w:ascii="方正黑体_GBK" w:eastAsia="方正黑体_GBK"/>
          <w:b/>
          <w:szCs w:val="44"/>
        </w:rPr>
      </w:pPr>
      <w:bookmarkStart w:id="200" w:name="_Toc4282"/>
      <w:r>
        <w:rPr>
          <w:rFonts w:hint="eastAsia" w:ascii="方正黑体_GBK" w:hAnsi="黑体" w:eastAsia="方正黑体_GBK" w:cs="黑体"/>
          <w:sz w:val="44"/>
          <w:szCs w:val="44"/>
        </w:rPr>
        <w:t>第三部分 名词解释</w:t>
      </w:r>
      <w:bookmarkEnd w:id="193"/>
      <w:bookmarkEnd w:id="194"/>
      <w:bookmarkEnd w:id="195"/>
      <w:bookmarkEnd w:id="196"/>
      <w:bookmarkEnd w:id="197"/>
      <w:bookmarkEnd w:id="198"/>
      <w:bookmarkEnd w:id="199"/>
      <w:bookmarkEnd w:id="200"/>
    </w:p>
    <w:p>
      <w:pPr>
        <w:pStyle w:val="20"/>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1.财政拨款收入：指单位从同级财政部门取得的财政预算资金。</w:t>
      </w:r>
    </w:p>
    <w:p>
      <w:pPr>
        <w:pStyle w:val="20"/>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2.事业收入：指事业单位开展专业业务活动及辅助活动取得的收入。</w:t>
      </w:r>
    </w:p>
    <w:p>
      <w:pPr>
        <w:pStyle w:val="20"/>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3.经营收入：指事业单位在专业业务活动及其辅助活动之外</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开展非独立核算经营活动取得的收入。</w:t>
      </w:r>
    </w:p>
    <w:p>
      <w:pPr>
        <w:pStyle w:val="20"/>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4.其他收入：指单位取得的除上述收入以外的各项收入。</w:t>
      </w:r>
    </w:p>
    <w:p>
      <w:pPr>
        <w:pStyle w:val="20"/>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5.使用非财政拨款结余：指事业单位使用以前年度积累的非财政拨款结余弥补当年收支差额的金额。</w:t>
      </w:r>
    </w:p>
    <w:p>
      <w:pPr>
        <w:pStyle w:val="20"/>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6.年初结转和结余：指以前年度尚未完成</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结转到本年按有关规定继续使用的资金。</w:t>
      </w:r>
    </w:p>
    <w:p>
      <w:pPr>
        <w:pStyle w:val="20"/>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7.结余分配：指事业单位按照会计制度规定缴纳的所得税</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提取的专用结余以及转入非财政拨款结余的金额等。</w:t>
      </w:r>
    </w:p>
    <w:p>
      <w:pPr>
        <w:pStyle w:val="20"/>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8.年末结转和结余：指单位按有关规定结转到下年或以后年度继续使用的资金。</w:t>
      </w:r>
    </w:p>
    <w:p>
      <w:pPr>
        <w:ind w:firstLine="640" w:firstLineChars="200"/>
        <w:rPr>
          <w:rFonts w:eastAsia="方正仿宋_GBK"/>
          <w:sz w:val="32"/>
          <w:szCs w:val="32"/>
        </w:rPr>
      </w:pPr>
      <w:r>
        <w:rPr>
          <w:rFonts w:eastAsia="方正仿宋_GBK"/>
          <w:sz w:val="32"/>
          <w:szCs w:val="32"/>
        </w:rPr>
        <w:t>9.教育支出（类）普通教育（款）学前教育（项）：指单位学前教育的基本支出，包括人员经费和项目经费。</w:t>
      </w:r>
    </w:p>
    <w:p>
      <w:pPr>
        <w:pStyle w:val="5"/>
        <w:spacing w:before="93"/>
        <w:rPr>
          <w:rFonts w:ascii="Times New Roman" w:eastAsia="方正仿宋_GBK"/>
          <w:sz w:val="32"/>
          <w:szCs w:val="32"/>
        </w:rPr>
      </w:pPr>
      <w:r>
        <w:rPr>
          <w:rFonts w:ascii="Times New Roman" w:eastAsia="方正仿宋_GBK"/>
          <w:sz w:val="32"/>
          <w:szCs w:val="32"/>
        </w:rPr>
        <w:t>10.教育支出（类）普通教育（款）学前教育（项）：指单位学前教育的基本支出，包括人员经费和项目经费。</w:t>
      </w:r>
    </w:p>
    <w:p>
      <w:pPr>
        <w:pStyle w:val="5"/>
        <w:spacing w:before="93"/>
        <w:rPr>
          <w:rFonts w:ascii="Times New Roman" w:eastAsia="方正仿宋_GBK"/>
          <w:sz w:val="32"/>
          <w:szCs w:val="32"/>
        </w:rPr>
      </w:pPr>
      <w:r>
        <w:rPr>
          <w:rFonts w:ascii="Times New Roman" w:eastAsia="方正仿宋_GBK"/>
          <w:sz w:val="32"/>
          <w:szCs w:val="32"/>
        </w:rPr>
        <w:t>11.社会保障和就业（类）行政事业单位离退休（款）机关事业单位基本养老保险缴费支出（项）：指单位基本养老保险缴费单位部分支出。</w:t>
      </w:r>
    </w:p>
    <w:p>
      <w:pPr>
        <w:pStyle w:val="5"/>
        <w:spacing w:before="93"/>
        <w:rPr>
          <w:rFonts w:ascii="Times New Roman" w:eastAsia="方正仿宋_GBK"/>
          <w:sz w:val="32"/>
          <w:szCs w:val="32"/>
        </w:rPr>
      </w:pPr>
      <w:r>
        <w:rPr>
          <w:rFonts w:ascii="Times New Roman" w:eastAsia="方正仿宋_GBK"/>
          <w:sz w:val="32"/>
          <w:szCs w:val="32"/>
        </w:rPr>
        <w:t>12.社会保障和就业（类）其他社会保障和就业支出（款）其他社会保障和就业支出（项）：指单位工伤保险缴费单位部分支出。</w:t>
      </w:r>
    </w:p>
    <w:p>
      <w:pPr>
        <w:pStyle w:val="5"/>
        <w:spacing w:before="93"/>
        <w:rPr>
          <w:rFonts w:ascii="Times New Roman" w:eastAsia="方正仿宋_GBK"/>
          <w:sz w:val="32"/>
          <w:szCs w:val="32"/>
        </w:rPr>
      </w:pPr>
      <w:r>
        <w:rPr>
          <w:rFonts w:ascii="Times New Roman" w:eastAsia="方正仿宋_GBK"/>
          <w:sz w:val="32"/>
          <w:szCs w:val="32"/>
        </w:rPr>
        <w:t>13.卫生健康支出（类）行政事业单位医疗（款）事业单位医疗（项）：指单位基本医疗保险、补充医疗保险缴费支出。</w:t>
      </w:r>
    </w:p>
    <w:p>
      <w:pPr>
        <w:pStyle w:val="5"/>
        <w:spacing w:before="93"/>
        <w:rPr>
          <w:rFonts w:ascii="Times New Roman" w:eastAsia="方正仿宋_GBK"/>
          <w:sz w:val="32"/>
          <w:szCs w:val="32"/>
        </w:rPr>
      </w:pPr>
      <w:r>
        <w:rPr>
          <w:rFonts w:ascii="Times New Roman" w:eastAsia="方正仿宋_GBK"/>
          <w:sz w:val="32"/>
          <w:szCs w:val="32"/>
        </w:rPr>
        <w:t>14.住房保障支出（类）住房改革支出（款）住房公积金（项）：指单位按人力资源和社会保障部、财政部规定的基本工资和津贴补贴以及规定比例为职工缴纳的住房公积金支出。</w:t>
      </w:r>
    </w:p>
    <w:p>
      <w:pPr>
        <w:ind w:firstLine="640" w:firstLineChars="200"/>
        <w:rPr>
          <w:rFonts w:eastAsia="方正仿宋_GBK"/>
          <w:sz w:val="32"/>
          <w:szCs w:val="32"/>
        </w:rPr>
      </w:pPr>
      <w:r>
        <w:rPr>
          <w:rFonts w:eastAsia="方正仿宋_GBK"/>
          <w:sz w:val="32"/>
          <w:szCs w:val="32"/>
        </w:rPr>
        <w:t>15.基本支出：指为保障机构正常运转、完成日常工作任务而发生的人员支出和公用支出。</w:t>
      </w:r>
    </w:p>
    <w:p>
      <w:pPr>
        <w:ind w:firstLine="640" w:firstLineChars="200"/>
        <w:rPr>
          <w:rFonts w:eastAsia="方正仿宋_GBK"/>
          <w:sz w:val="32"/>
          <w:szCs w:val="32"/>
        </w:rPr>
      </w:pPr>
      <w:r>
        <w:rPr>
          <w:rFonts w:eastAsia="方正仿宋_GBK"/>
          <w:sz w:val="32"/>
          <w:szCs w:val="32"/>
        </w:rPr>
        <w:t>16.项目支出：指在基本支出之外</w:t>
      </w:r>
      <w:r>
        <w:rPr>
          <w:rFonts w:hint="eastAsia" w:eastAsia="方正仿宋_GBK"/>
          <w:sz w:val="32"/>
          <w:szCs w:val="32"/>
          <w:lang w:eastAsia="zh-CN"/>
        </w:rPr>
        <w:t>，</w:t>
      </w:r>
      <w:r>
        <w:rPr>
          <w:rFonts w:eastAsia="方正仿宋_GBK"/>
          <w:sz w:val="32"/>
          <w:szCs w:val="32"/>
        </w:rPr>
        <w:t>为完成特定行政任务和事业发展目标所发生的支出。</w:t>
      </w:r>
    </w:p>
    <w:p>
      <w:pPr>
        <w:ind w:firstLine="640" w:firstLineChars="200"/>
        <w:rPr>
          <w:rFonts w:eastAsia="方正仿宋_GBK"/>
          <w:sz w:val="32"/>
          <w:szCs w:val="32"/>
        </w:rPr>
      </w:pPr>
      <w:r>
        <w:rPr>
          <w:rFonts w:eastAsia="方正仿宋_GBK"/>
          <w:sz w:val="32"/>
          <w:szCs w:val="32"/>
        </w:rPr>
        <w:t>17.经营支出：指事业单位在专业业务活动及其辅助活动之外</w:t>
      </w:r>
      <w:r>
        <w:rPr>
          <w:rFonts w:hint="eastAsia" w:eastAsia="方正仿宋_GBK"/>
          <w:sz w:val="32"/>
          <w:szCs w:val="32"/>
          <w:lang w:eastAsia="zh-CN"/>
        </w:rPr>
        <w:t>，</w:t>
      </w:r>
      <w:r>
        <w:rPr>
          <w:rFonts w:eastAsia="方正仿宋_GBK"/>
          <w:sz w:val="32"/>
          <w:szCs w:val="32"/>
        </w:rPr>
        <w:t>开展非独立核算经营活动发生的支出。</w:t>
      </w:r>
    </w:p>
    <w:p>
      <w:pPr>
        <w:pStyle w:val="20"/>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18.“三公”经费：指部门用财政拨款安排的因公出国（境）费、公务用车购置及运行费和公务接待费。其中，因公出国（境）费反映单位公务出国（境）的国际</w:t>
      </w:r>
      <w:r>
        <w:rPr>
          <w:rFonts w:hint="eastAsia" w:ascii="Times New Roman" w:hAnsi="Times New Roman" w:eastAsia="方正仿宋_GBK" w:cs="Times New Roman"/>
          <w:color w:val="auto"/>
          <w:sz w:val="32"/>
          <w:szCs w:val="32"/>
          <w:lang w:val="en-US" w:eastAsia="zh-CN"/>
        </w:rPr>
        <w:t>差</w:t>
      </w:r>
      <w:r>
        <w:rPr>
          <w:rFonts w:ascii="Times New Roman" w:hAnsi="Times New Roman" w:eastAsia="方正仿宋_GBK" w:cs="Times New Roman"/>
          <w:color w:val="auto"/>
          <w:sz w:val="32"/>
          <w:szCs w:val="32"/>
        </w:rPr>
        <w:t>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方正仿宋_GBK" w:cs="Times New Roman"/>
          <w:color w:val="auto"/>
          <w:sz w:val="32"/>
          <w:szCs w:val="32"/>
        </w:rPr>
        <w:t>19.机关运行经费：为保障行政单位（含参照公务员法管理的事业单位）运行</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用于购买货物和服务的各项资金，包括办公及印刷费、邮电费、差旅费、会议费、福利费、日常维修费、专用材料</w:t>
      </w:r>
      <w:r>
        <w:rPr>
          <w:rFonts w:hint="eastAsia" w:ascii="Times New Roman" w:hAnsi="Times New Roman" w:eastAsia="方正仿宋_GBK" w:cs="Times New Roman"/>
          <w:color w:val="auto"/>
          <w:sz w:val="32"/>
          <w:szCs w:val="32"/>
          <w:lang w:val="en-US" w:eastAsia="zh-CN"/>
        </w:rPr>
        <w:t>费</w:t>
      </w:r>
      <w:r>
        <w:rPr>
          <w:rFonts w:ascii="Times New Roman" w:hAnsi="Times New Roman" w:eastAsia="方正仿宋_GBK" w:cs="Times New Roman"/>
          <w:color w:val="auto"/>
          <w:sz w:val="32"/>
          <w:szCs w:val="32"/>
        </w:rPr>
        <w:t>及一般设备购置费、办公用房水电费、办公用房取暖费、办公用房物业管理费、公务用车运行维护费以及其他费用。</w:t>
      </w:r>
    </w:p>
    <w:p>
      <w:pPr>
        <w:pStyle w:val="2"/>
        <w:rPr>
          <w:b/>
        </w:rPr>
        <w:sectPr>
          <w:pgSz w:w="11906" w:h="16838"/>
          <w:pgMar w:top="1701" w:right="1474" w:bottom="1134" w:left="1587" w:header="851" w:footer="992" w:gutter="0"/>
          <w:cols w:space="0" w:num="1"/>
          <w:titlePg/>
          <w:docGrid w:type="lines" w:linePitch="312" w:charSpace="0"/>
        </w:sectPr>
      </w:pPr>
      <w:bookmarkStart w:id="201" w:name="_Toc15377226"/>
      <w:r>
        <w:rPr>
          <w:b/>
        </w:rPr>
        <w:br w:type="page"/>
      </w:r>
      <w:bookmarkStart w:id="202" w:name="_Toc146882174"/>
      <w:bookmarkStart w:id="203" w:name="_Toc146881233"/>
      <w:bookmarkStart w:id="204" w:name="_Toc146881820"/>
      <w:bookmarkStart w:id="205" w:name="_Toc146881997"/>
      <w:bookmarkStart w:id="206" w:name="_Toc15396614"/>
      <w:bookmarkStart w:id="207" w:name="_Toc146881361"/>
    </w:p>
    <w:p>
      <w:pPr>
        <w:spacing w:line="640" w:lineRule="exact"/>
        <w:jc w:val="center"/>
        <w:rPr>
          <w:rFonts w:hint="eastAsia" w:ascii="方正黑体_GBK" w:eastAsia="方正黑体_GBK"/>
          <w:sz w:val="44"/>
          <w:szCs w:val="44"/>
        </w:rPr>
      </w:pPr>
      <w:bookmarkStart w:id="208" w:name="_Toc25637"/>
      <w:r>
        <w:rPr>
          <w:rFonts w:hint="eastAsia" w:ascii="方正黑体_GBK" w:eastAsia="方正黑体_GBK"/>
          <w:sz w:val="44"/>
          <w:szCs w:val="44"/>
        </w:rPr>
        <w:t>第四部分 附件</w:t>
      </w:r>
      <w:bookmarkEnd w:id="202"/>
      <w:bookmarkEnd w:id="203"/>
      <w:bookmarkEnd w:id="204"/>
      <w:bookmarkEnd w:id="205"/>
      <w:bookmarkEnd w:id="206"/>
      <w:bookmarkEnd w:id="207"/>
      <w:bookmarkEnd w:id="208"/>
    </w:p>
    <w:p>
      <w:pPr>
        <w:keepNext w:val="0"/>
        <w:keepLines w:val="0"/>
        <w:pageBreakBefore w:val="0"/>
        <w:widowControl/>
        <w:kinsoku/>
        <w:wordWrap/>
        <w:overflowPunct/>
        <w:topLinePunct w:val="0"/>
        <w:autoSpaceDE/>
        <w:autoSpaceDN/>
        <w:bidi w:val="0"/>
        <w:adjustRightInd/>
        <w:snapToGrid/>
        <w:spacing w:line="578" w:lineRule="exact"/>
        <w:contextualSpacing/>
        <w:jc w:val="center"/>
        <w:textAlignment w:val="auto"/>
        <w:rPr>
          <w:rFonts w:hint="eastAsia" w:ascii="方正小标宋_GBK" w:hAnsi="方正小标宋_GBK" w:eastAsia="方正小标宋_GBK" w:cs="方正小标宋_GBK"/>
          <w:b w:val="0"/>
          <w:bCs/>
          <w:sz w:val="44"/>
          <w:szCs w:val="44"/>
          <w:shd w:val="clear" w:color="auto" w:fill="FFFFFF"/>
        </w:rPr>
      </w:pPr>
      <w:r>
        <w:rPr>
          <w:rFonts w:hint="eastAsia" w:ascii="方正小标宋_GBK" w:hAnsi="方正小标宋_GBK" w:eastAsia="方正小标宋_GBK" w:cs="方正小标宋_GBK"/>
          <w:b w:val="0"/>
          <w:bCs/>
          <w:sz w:val="44"/>
          <w:szCs w:val="44"/>
          <w:shd w:val="clear" w:color="auto" w:fill="FFFFFF"/>
        </w:rPr>
        <w:t>达川区实验幼儿园</w:t>
      </w:r>
    </w:p>
    <w:p>
      <w:pPr>
        <w:pStyle w:val="28"/>
        <w:keepNext w:val="0"/>
        <w:keepLines w:val="0"/>
        <w:pageBreakBefore w:val="0"/>
        <w:widowControl/>
        <w:numPr>
          <w:ilvl w:val="0"/>
          <w:numId w:val="0"/>
        </w:numPr>
        <w:kinsoku/>
        <w:wordWrap/>
        <w:overflowPunct/>
        <w:topLinePunct w:val="0"/>
        <w:autoSpaceDE/>
        <w:autoSpaceDN/>
        <w:bidi w:val="0"/>
        <w:adjustRightInd/>
        <w:snapToGrid/>
        <w:spacing w:line="578" w:lineRule="exact"/>
        <w:ind w:leftChars="0"/>
        <w:contextualSpacing/>
        <w:jc w:val="center"/>
        <w:textAlignment w:val="auto"/>
        <w:rPr>
          <w:rFonts w:hint="eastAsia" w:ascii="方正小标宋_GBK" w:hAnsi="方正小标宋_GBK" w:eastAsia="方正小标宋_GBK" w:cs="方正小标宋_GBK"/>
          <w:b w:val="0"/>
          <w:bCs/>
          <w:kern w:val="0"/>
          <w:sz w:val="44"/>
          <w:szCs w:val="44"/>
          <w:shd w:val="clear" w:color="auto" w:fill="FFFFFF"/>
        </w:rPr>
      </w:pPr>
      <w:r>
        <w:rPr>
          <w:rFonts w:hint="eastAsia" w:ascii="方正小标宋_GBK" w:hAnsi="方正小标宋_GBK" w:eastAsia="方正小标宋_GBK" w:cs="方正小标宋_GBK"/>
          <w:b w:val="0"/>
          <w:bCs/>
          <w:sz w:val="44"/>
          <w:szCs w:val="44"/>
          <w:shd w:val="clear" w:color="auto" w:fill="FFFFFF"/>
        </w:rPr>
        <w:t>2022年部门整体支出绩效自评报告</w:t>
      </w:r>
    </w:p>
    <w:p>
      <w:pPr>
        <w:spacing w:line="578" w:lineRule="exact"/>
        <w:ind w:firstLine="640" w:firstLineChars="200"/>
        <w:rPr>
          <w:rFonts w:hint="eastAsia" w:ascii="方正黑体_GBK" w:eastAsia="方正黑体_GBK"/>
          <w:sz w:val="32"/>
          <w:szCs w:val="32"/>
        </w:rPr>
      </w:pPr>
    </w:p>
    <w:p>
      <w:pPr>
        <w:spacing w:line="578" w:lineRule="exact"/>
        <w:ind w:firstLine="640" w:firstLineChars="200"/>
        <w:rPr>
          <w:rFonts w:hint="eastAsia" w:ascii="方正黑体_GBK" w:eastAsia="方正黑体_GBK"/>
          <w:sz w:val="32"/>
          <w:szCs w:val="32"/>
        </w:rPr>
      </w:pPr>
      <w:bookmarkStart w:id="309" w:name="_GoBack"/>
      <w:bookmarkEnd w:id="309"/>
      <w:r>
        <w:rPr>
          <w:rFonts w:hint="eastAsia" w:ascii="方正黑体_GBK" w:eastAsia="方正黑体_GBK"/>
          <w:sz w:val="32"/>
          <w:szCs w:val="32"/>
        </w:rPr>
        <w:t>一、单位概况</w:t>
      </w:r>
    </w:p>
    <w:p>
      <w:pPr>
        <w:spacing w:line="578" w:lineRule="exact"/>
        <w:ind w:firstLine="640" w:firstLineChars="200"/>
        <w:rPr>
          <w:rFonts w:eastAsia="方正楷体_GBK"/>
          <w:color w:val="000000" w:themeColor="text1"/>
          <w:kern w:val="0"/>
          <w:shd w:val="clear" w:color="auto" w:fill="FFFFFF"/>
          <w:lang w:val="zh-CN"/>
        </w:rPr>
      </w:pPr>
      <w:r>
        <w:rPr>
          <w:rFonts w:hint="eastAsia" w:ascii="方正楷体_GBK" w:eastAsia="方正楷体_GBK"/>
          <w:sz w:val="32"/>
          <w:szCs w:val="32"/>
        </w:rPr>
        <w:t>（一）机构组成</w:t>
      </w:r>
      <w:r>
        <w:rPr>
          <w:rFonts w:eastAsia="方正楷体_GBK"/>
          <w:color w:val="000000" w:themeColor="text1"/>
          <w:kern w:val="0"/>
          <w:shd w:val="clear" w:color="auto" w:fill="FFFFFF"/>
          <w:lang w:val="zh-CN"/>
        </w:rPr>
        <w:t>。</w:t>
      </w:r>
    </w:p>
    <w:p>
      <w:pPr>
        <w:tabs>
          <w:tab w:val="left" w:pos="3885"/>
        </w:tabs>
        <w:snapToGrid w:val="0"/>
        <w:spacing w:line="578" w:lineRule="exact"/>
        <w:ind w:firstLine="640" w:firstLineChars="200"/>
        <w:rPr>
          <w:rFonts w:eastAsia="方正仿宋_GBK"/>
          <w:sz w:val="32"/>
          <w:szCs w:val="32"/>
        </w:rPr>
      </w:pPr>
      <w:bookmarkStart w:id="209" w:name="_Hlk109805614"/>
      <w:r>
        <w:rPr>
          <w:rFonts w:eastAsia="方正仿宋_GBK"/>
          <w:kern w:val="0"/>
          <w:sz w:val="32"/>
          <w:szCs w:val="32"/>
        </w:rPr>
        <w:t>达川区</w:t>
      </w:r>
      <w:bookmarkEnd w:id="209"/>
      <w:r>
        <w:rPr>
          <w:rFonts w:eastAsia="方正仿宋_GBK"/>
          <w:kern w:val="0"/>
          <w:sz w:val="32"/>
          <w:szCs w:val="32"/>
        </w:rPr>
        <w:t>实验幼儿园是达川区二级预算单位。</w:t>
      </w:r>
      <w:bookmarkStart w:id="210" w:name="_Hlk109805662"/>
      <w:r>
        <w:rPr>
          <w:rFonts w:eastAsia="方正仿宋_GBK"/>
          <w:kern w:val="0"/>
          <w:sz w:val="32"/>
          <w:szCs w:val="32"/>
        </w:rPr>
        <w:t>隶属于达州市达川区教育局主管，属公益二类事业单位，内设机构5个，分别是党建办、办公室、保教处、安全办、总务处。</w:t>
      </w:r>
    </w:p>
    <w:bookmarkEnd w:id="210"/>
    <w:p>
      <w:pPr>
        <w:widowControl/>
        <w:adjustRightInd w:val="0"/>
        <w:snapToGrid w:val="0"/>
        <w:spacing w:line="578" w:lineRule="exact"/>
        <w:ind w:firstLine="640" w:firstLineChars="200"/>
        <w:contextualSpacing/>
        <w:jc w:val="left"/>
        <w:rPr>
          <w:rFonts w:ascii="方正楷体_GBK" w:hAnsi="方正楷体_GBK" w:eastAsia="方正楷体_GBK" w:cs="方正楷体_GBK"/>
          <w:color w:val="000000" w:themeColor="text1"/>
          <w:kern w:val="0"/>
          <w:sz w:val="32"/>
          <w:szCs w:val="32"/>
          <w:shd w:val="clear" w:color="auto" w:fill="FFFFFF"/>
          <w:lang w:val="zh-CN"/>
        </w:rPr>
      </w:pPr>
      <w:r>
        <w:rPr>
          <w:rFonts w:hint="eastAsia" w:ascii="方正楷体_GBK" w:hAnsi="方正楷体_GBK" w:eastAsia="方正楷体_GBK" w:cs="方正楷体_GBK"/>
          <w:color w:val="000000" w:themeColor="text1"/>
          <w:kern w:val="0"/>
          <w:sz w:val="32"/>
          <w:szCs w:val="32"/>
          <w:shd w:val="clear" w:color="auto" w:fill="FFFFFF"/>
          <w:lang w:val="zh-CN"/>
        </w:rPr>
        <w:t>（</w:t>
      </w:r>
      <w:r>
        <w:rPr>
          <w:rFonts w:hint="eastAsia" w:ascii="方正楷体_GBK" w:hAnsi="方正楷体_GBK" w:eastAsia="方正楷体_GBK" w:cs="方正楷体_GBK"/>
          <w:color w:val="000000" w:themeColor="text1"/>
          <w:kern w:val="0"/>
          <w:sz w:val="32"/>
          <w:szCs w:val="32"/>
          <w:shd w:val="clear" w:color="auto" w:fill="FFFFFF"/>
        </w:rPr>
        <w:t>二</w:t>
      </w:r>
      <w:r>
        <w:rPr>
          <w:rFonts w:hint="eastAsia" w:ascii="方正楷体_GBK" w:hAnsi="方正楷体_GBK" w:eastAsia="方正楷体_GBK" w:cs="方正楷体_GBK"/>
          <w:color w:val="000000" w:themeColor="text1"/>
          <w:kern w:val="0"/>
          <w:sz w:val="32"/>
          <w:szCs w:val="32"/>
          <w:shd w:val="clear" w:color="auto" w:fill="FFFFFF"/>
          <w:lang w:val="zh-CN"/>
        </w:rPr>
        <w:t>）机构职能。</w:t>
      </w:r>
    </w:p>
    <w:p>
      <w:pPr>
        <w:spacing w:line="578" w:lineRule="exact"/>
        <w:ind w:firstLine="627" w:firstLineChars="196"/>
        <w:rPr>
          <w:rFonts w:eastAsia="方正仿宋_GBK"/>
          <w:kern w:val="0"/>
          <w:sz w:val="32"/>
          <w:szCs w:val="32"/>
          <w:highlight w:val="yellow"/>
        </w:rPr>
      </w:pPr>
      <w:r>
        <w:rPr>
          <w:rFonts w:eastAsia="方正仿宋_GBK"/>
          <w:kern w:val="0"/>
          <w:sz w:val="32"/>
          <w:szCs w:val="32"/>
        </w:rPr>
        <w:t>根据达州市达川区实验幼儿园三定方案，我</w:t>
      </w:r>
      <w:r>
        <w:rPr>
          <w:rFonts w:eastAsia="方正仿宋_GBK"/>
          <w:kern w:val="0"/>
          <w:sz w:val="32"/>
          <w:szCs w:val="32"/>
          <w:shd w:val="clear" w:color="auto" w:fill="FFFFFF"/>
          <w:lang w:val="zh-CN"/>
        </w:rPr>
        <w:t>单位</w:t>
      </w:r>
      <w:r>
        <w:rPr>
          <w:rFonts w:eastAsia="方正仿宋_GBK"/>
          <w:kern w:val="0"/>
          <w:sz w:val="32"/>
          <w:szCs w:val="32"/>
        </w:rPr>
        <w:t>的主要职能职责为：对学龄前儿童实施学前教育，培养他们良好的行为习惯。</w:t>
      </w:r>
    </w:p>
    <w:p>
      <w:pPr>
        <w:widowControl/>
        <w:adjustRightInd w:val="0"/>
        <w:snapToGrid w:val="0"/>
        <w:spacing w:line="578" w:lineRule="exact"/>
        <w:ind w:left="420" w:leftChars="200"/>
        <w:contextualSpacing/>
        <w:jc w:val="left"/>
        <w:rPr>
          <w:rFonts w:ascii="方正楷体_GBK" w:hAnsi="方正楷体_GBK" w:eastAsia="方正楷体_GBK" w:cs="方正楷体_GBK"/>
          <w:color w:val="000000" w:themeColor="text1"/>
          <w:kern w:val="0"/>
          <w:sz w:val="32"/>
          <w:szCs w:val="32"/>
          <w:shd w:val="clear" w:color="auto" w:fill="FFFFFF"/>
          <w:lang w:val="zh-CN"/>
        </w:rPr>
      </w:pPr>
      <w:r>
        <w:rPr>
          <w:rFonts w:hint="eastAsia" w:ascii="方正楷体_GBK" w:hAnsi="方正楷体_GBK" w:eastAsia="方正楷体_GBK" w:cs="方正楷体_GBK"/>
          <w:color w:val="000000" w:themeColor="text1"/>
          <w:kern w:val="0"/>
          <w:sz w:val="32"/>
          <w:szCs w:val="32"/>
          <w:shd w:val="clear" w:color="auto" w:fill="FFFFFF"/>
          <w:lang w:val="zh-CN"/>
        </w:rPr>
        <w:t>（</w:t>
      </w:r>
      <w:r>
        <w:rPr>
          <w:rFonts w:hint="eastAsia" w:ascii="方正楷体_GBK" w:hAnsi="方正楷体_GBK" w:eastAsia="方正楷体_GBK" w:cs="方正楷体_GBK"/>
          <w:color w:val="000000" w:themeColor="text1"/>
          <w:kern w:val="0"/>
          <w:sz w:val="32"/>
          <w:szCs w:val="32"/>
          <w:shd w:val="clear" w:color="auto" w:fill="FFFFFF"/>
        </w:rPr>
        <w:t>三</w:t>
      </w:r>
      <w:r>
        <w:rPr>
          <w:rFonts w:hint="eastAsia" w:ascii="方正楷体_GBK" w:hAnsi="方正楷体_GBK" w:eastAsia="方正楷体_GBK" w:cs="方正楷体_GBK"/>
          <w:color w:val="000000" w:themeColor="text1"/>
          <w:kern w:val="0"/>
          <w:sz w:val="32"/>
          <w:szCs w:val="32"/>
          <w:shd w:val="clear" w:color="auto" w:fill="FFFFFF"/>
          <w:lang w:val="zh-CN"/>
        </w:rPr>
        <w:t>）人员概况。</w:t>
      </w:r>
    </w:p>
    <w:p>
      <w:pPr>
        <w:spacing w:line="578" w:lineRule="exact"/>
        <w:ind w:firstLine="640" w:firstLineChars="200"/>
        <w:rPr>
          <w:rFonts w:eastAsia="方正仿宋_GBK"/>
          <w:color w:val="0000FF"/>
          <w:kern w:val="0"/>
          <w:sz w:val="32"/>
          <w:szCs w:val="32"/>
          <w:shd w:val="clear" w:color="auto" w:fill="FFFFFF"/>
          <w:lang w:val="zh-CN"/>
        </w:rPr>
      </w:pPr>
      <w:r>
        <w:rPr>
          <w:rFonts w:eastAsia="方正仿宋_GBK"/>
          <w:sz w:val="32"/>
          <w:szCs w:val="32"/>
        </w:rPr>
        <w:t>根据人社局等相关编制批复文件，核定我</w:t>
      </w:r>
      <w:r>
        <w:rPr>
          <w:rFonts w:eastAsia="方正仿宋_GBK"/>
          <w:kern w:val="0"/>
          <w:sz w:val="32"/>
          <w:szCs w:val="32"/>
          <w:shd w:val="clear" w:color="auto" w:fill="FFFFFF"/>
          <w:lang w:val="zh-CN"/>
        </w:rPr>
        <w:t>单位</w:t>
      </w:r>
      <w:r>
        <w:rPr>
          <w:rFonts w:eastAsia="方正仿宋_GBK"/>
          <w:sz w:val="32"/>
          <w:szCs w:val="32"/>
        </w:rPr>
        <w:t>参照公务员法管理的事业编制71名，其中事业编制52名；截至2022年年末</w:t>
      </w:r>
      <w:r>
        <w:rPr>
          <w:rFonts w:hint="eastAsia" w:eastAsia="方正仿宋_GBK"/>
          <w:sz w:val="32"/>
          <w:szCs w:val="32"/>
          <w:lang w:eastAsia="zh-CN"/>
        </w:rPr>
        <w:t>，</w:t>
      </w:r>
      <w:r>
        <w:rPr>
          <w:rFonts w:eastAsia="方正仿宋_GBK"/>
          <w:sz w:val="32"/>
          <w:szCs w:val="32"/>
        </w:rPr>
        <w:t>实有在职人员52人，其中</w:t>
      </w:r>
      <w:r>
        <w:rPr>
          <w:rFonts w:hint="eastAsia" w:eastAsia="方正仿宋_GBK"/>
          <w:sz w:val="32"/>
          <w:szCs w:val="32"/>
          <w:lang w:eastAsia="zh-CN"/>
        </w:rPr>
        <w:t>，</w:t>
      </w:r>
      <w:r>
        <w:rPr>
          <w:rFonts w:eastAsia="方正仿宋_GBK"/>
          <w:sz w:val="32"/>
          <w:szCs w:val="32"/>
        </w:rPr>
        <w:t>事业编制52人。</w:t>
      </w:r>
      <w:r>
        <w:rPr>
          <w:rFonts w:eastAsia="方正仿宋_GBK"/>
          <w:bCs/>
          <w:kern w:val="0"/>
          <w:sz w:val="32"/>
          <w:szCs w:val="32"/>
        </w:rPr>
        <w:t>退休人员为8人。</w:t>
      </w:r>
    </w:p>
    <w:p>
      <w:pPr>
        <w:widowControl/>
        <w:adjustRightInd w:val="0"/>
        <w:snapToGrid w:val="0"/>
        <w:spacing w:line="578" w:lineRule="exact"/>
        <w:ind w:firstLine="640" w:firstLineChars="200"/>
        <w:contextualSpacing/>
        <w:jc w:val="left"/>
        <w:rPr>
          <w:rFonts w:hint="eastAsia" w:ascii="方正黑体_GBK" w:eastAsia="方正黑体_GBK"/>
          <w:kern w:val="0"/>
          <w:sz w:val="32"/>
          <w:szCs w:val="32"/>
          <w:shd w:val="clear" w:color="auto" w:fill="FFFFFF"/>
        </w:rPr>
      </w:pPr>
      <w:r>
        <w:rPr>
          <w:rFonts w:hint="eastAsia" w:ascii="方正黑体_GBK" w:eastAsia="方正黑体_GBK"/>
          <w:kern w:val="0"/>
          <w:sz w:val="32"/>
          <w:szCs w:val="32"/>
          <w:shd w:val="clear" w:color="auto" w:fill="FFFFFF"/>
        </w:rPr>
        <w:t>二、部门资金收支情况</w:t>
      </w:r>
    </w:p>
    <w:p>
      <w:pPr>
        <w:widowControl/>
        <w:adjustRightInd w:val="0"/>
        <w:snapToGrid w:val="0"/>
        <w:spacing w:line="578" w:lineRule="exact"/>
        <w:ind w:firstLine="640" w:firstLineChars="200"/>
        <w:contextualSpacing/>
        <w:jc w:val="left"/>
        <w:rPr>
          <w:rFonts w:hint="eastAsia" w:ascii="方正楷体_GBK" w:eastAsia="方正楷体_GBK"/>
          <w:kern w:val="0"/>
          <w:sz w:val="32"/>
          <w:szCs w:val="32"/>
          <w:lang w:val="zh-CN"/>
        </w:rPr>
      </w:pPr>
      <w:r>
        <w:rPr>
          <w:rFonts w:hint="eastAsia" w:ascii="方正楷体_GBK" w:eastAsia="方正楷体_GBK"/>
          <w:kern w:val="0"/>
          <w:sz w:val="32"/>
          <w:szCs w:val="32"/>
          <w:lang w:val="zh-CN"/>
        </w:rPr>
        <w:t>（一）部门总体收支情况。</w:t>
      </w:r>
    </w:p>
    <w:p>
      <w:pPr>
        <w:widowControl/>
        <w:adjustRightInd w:val="0"/>
        <w:snapToGrid w:val="0"/>
        <w:spacing w:line="578" w:lineRule="exact"/>
        <w:ind w:firstLine="640" w:firstLineChars="200"/>
        <w:contextualSpacing/>
        <w:jc w:val="left"/>
        <w:rPr>
          <w:rFonts w:eastAsia="方正仿宋_GBK"/>
          <w:kern w:val="0"/>
          <w:sz w:val="32"/>
          <w:szCs w:val="32"/>
        </w:rPr>
      </w:pPr>
      <w:r>
        <w:rPr>
          <w:rFonts w:eastAsia="方正仿宋_GBK"/>
          <w:kern w:val="0"/>
          <w:sz w:val="32"/>
          <w:szCs w:val="32"/>
        </w:rPr>
        <w:t>1.部门总体收入情况</w:t>
      </w:r>
    </w:p>
    <w:p>
      <w:pPr>
        <w:spacing w:line="578" w:lineRule="exact"/>
        <w:ind w:firstLine="707" w:firstLineChars="221"/>
        <w:rPr>
          <w:rFonts w:eastAsia="方正仿宋_GBK"/>
          <w:sz w:val="32"/>
          <w:szCs w:val="32"/>
        </w:rPr>
      </w:pPr>
      <w:r>
        <w:rPr>
          <w:rFonts w:eastAsia="方正仿宋_GBK"/>
          <w:sz w:val="32"/>
          <w:szCs w:val="32"/>
        </w:rPr>
        <w:t>2022年本年总体收入合计915.83万元。</w:t>
      </w:r>
    </w:p>
    <w:p>
      <w:pPr>
        <w:spacing w:line="578" w:lineRule="exact"/>
        <w:ind w:firstLine="707" w:firstLineChars="221"/>
        <w:rPr>
          <w:rFonts w:eastAsia="方正仿宋_GBK"/>
          <w:sz w:val="32"/>
          <w:szCs w:val="32"/>
        </w:rPr>
      </w:pPr>
      <w:r>
        <w:rPr>
          <w:rFonts w:eastAsia="方正仿宋_GBK"/>
          <w:sz w:val="32"/>
          <w:szCs w:val="32"/>
        </w:rPr>
        <w:t>本年收入合计915.83万元，其中</w:t>
      </w:r>
      <w:r>
        <w:rPr>
          <w:rFonts w:hint="eastAsia" w:eastAsia="方正仿宋_GBK"/>
          <w:sz w:val="32"/>
          <w:szCs w:val="32"/>
          <w:lang w:eastAsia="zh-CN"/>
        </w:rPr>
        <w:t>：</w:t>
      </w:r>
      <w:r>
        <w:rPr>
          <w:rFonts w:eastAsia="方正仿宋_GBK"/>
          <w:sz w:val="32"/>
          <w:szCs w:val="32"/>
        </w:rPr>
        <w:t>一般公共预算财政拨款收入915.83万元，占100%；政府性基金预算财政拨款收入0万元，占0%；国有资本经营预算财政拨款收入0万元，占0%；事业收入0万元，占0%；经营收入0万元，占0%；附属单位上缴收入0万元，占0%；其他收入0万元，占0%。</w:t>
      </w:r>
    </w:p>
    <w:p>
      <w:pPr>
        <w:spacing w:line="578" w:lineRule="exact"/>
        <w:ind w:firstLine="707" w:firstLineChars="221"/>
        <w:rPr>
          <w:rFonts w:eastAsia="方正仿宋_GBK"/>
          <w:sz w:val="32"/>
          <w:szCs w:val="32"/>
        </w:rPr>
      </w:pPr>
      <w:r>
        <w:rPr>
          <w:rFonts w:eastAsia="方正仿宋_GBK"/>
          <w:sz w:val="32"/>
          <w:szCs w:val="32"/>
        </w:rPr>
        <w:t>年初结转结余0万元。</w:t>
      </w:r>
    </w:p>
    <w:p>
      <w:pPr>
        <w:widowControl/>
        <w:adjustRightInd w:val="0"/>
        <w:snapToGrid w:val="0"/>
        <w:spacing w:line="578" w:lineRule="exact"/>
        <w:ind w:firstLine="640" w:firstLineChars="200"/>
        <w:contextualSpacing/>
        <w:jc w:val="left"/>
        <w:rPr>
          <w:rFonts w:eastAsia="方正仿宋_GBK"/>
          <w:kern w:val="0"/>
          <w:sz w:val="32"/>
          <w:szCs w:val="32"/>
        </w:rPr>
      </w:pPr>
      <w:r>
        <w:rPr>
          <w:rFonts w:eastAsia="方正仿宋_GBK"/>
          <w:kern w:val="0"/>
          <w:sz w:val="32"/>
          <w:szCs w:val="32"/>
        </w:rPr>
        <w:t>2.部门总体支出情况</w:t>
      </w:r>
    </w:p>
    <w:p>
      <w:pPr>
        <w:pStyle w:val="5"/>
        <w:spacing w:beforeLines="0" w:line="578" w:lineRule="exact"/>
        <w:ind w:firstLine="566" w:firstLineChars="177"/>
        <w:rPr>
          <w:rFonts w:ascii="Times New Roman" w:eastAsia="方正仿宋_GBK"/>
          <w:sz w:val="32"/>
          <w:szCs w:val="32"/>
        </w:rPr>
      </w:pPr>
      <w:r>
        <w:rPr>
          <w:rFonts w:ascii="Times New Roman" w:eastAsia="方正仿宋_GBK"/>
          <w:sz w:val="32"/>
          <w:szCs w:val="32"/>
        </w:rPr>
        <w:t>2022年支出915.83万元，主要用于以下方面</w:t>
      </w:r>
      <w:r>
        <w:rPr>
          <w:rFonts w:hint="eastAsia" w:ascii="Times New Roman" w:eastAsia="方正仿宋_GBK"/>
          <w:sz w:val="32"/>
          <w:szCs w:val="32"/>
          <w:lang w:eastAsia="zh-CN"/>
        </w:rPr>
        <w:t>：</w:t>
      </w:r>
      <w:r>
        <w:rPr>
          <w:rFonts w:ascii="Times New Roman" w:eastAsia="方正仿宋_GBK"/>
          <w:sz w:val="32"/>
          <w:szCs w:val="32"/>
        </w:rPr>
        <w:t>教育支出793.49万元，占86.64%，社会保障和就业支出56.86万元，占6.21%，卫生健康支出24.87万元，占2.72%，住房保障支出40.61万元，占4.43%。</w:t>
      </w:r>
    </w:p>
    <w:p>
      <w:pPr>
        <w:widowControl/>
        <w:adjustRightInd w:val="0"/>
        <w:snapToGrid w:val="0"/>
        <w:spacing w:line="578" w:lineRule="exact"/>
        <w:ind w:firstLine="640" w:firstLineChars="200"/>
        <w:contextualSpacing/>
        <w:jc w:val="left"/>
        <w:rPr>
          <w:rFonts w:eastAsia="方正仿宋_GBK"/>
          <w:kern w:val="0"/>
          <w:sz w:val="32"/>
          <w:szCs w:val="32"/>
        </w:rPr>
      </w:pPr>
      <w:r>
        <w:rPr>
          <w:rFonts w:eastAsia="方正仿宋_GBK"/>
          <w:kern w:val="0"/>
          <w:sz w:val="32"/>
          <w:szCs w:val="32"/>
        </w:rPr>
        <w:t>3.部门总体结转结余情况</w:t>
      </w:r>
    </w:p>
    <w:p>
      <w:pPr>
        <w:pStyle w:val="5"/>
        <w:spacing w:beforeLines="0" w:line="578" w:lineRule="exact"/>
        <w:ind w:firstLine="707" w:firstLineChars="221"/>
        <w:rPr>
          <w:rFonts w:ascii="Times New Roman" w:eastAsia="方正仿宋_GBK"/>
          <w:sz w:val="32"/>
          <w:szCs w:val="32"/>
        </w:rPr>
      </w:pPr>
      <w:r>
        <w:rPr>
          <w:rFonts w:ascii="Times New Roman" w:eastAsia="方正仿宋_GBK"/>
          <w:sz w:val="32"/>
          <w:szCs w:val="32"/>
        </w:rPr>
        <w:t>年末结转结余0万元。</w:t>
      </w:r>
    </w:p>
    <w:p>
      <w:pPr>
        <w:widowControl/>
        <w:adjustRightInd w:val="0"/>
        <w:snapToGrid w:val="0"/>
        <w:spacing w:line="578" w:lineRule="exact"/>
        <w:ind w:firstLine="640" w:firstLineChars="200"/>
        <w:contextualSpacing/>
        <w:jc w:val="left"/>
        <w:rPr>
          <w:rFonts w:hint="eastAsia" w:ascii="方正楷体_GBK" w:eastAsia="方正楷体_GBK"/>
          <w:kern w:val="0"/>
          <w:sz w:val="32"/>
          <w:szCs w:val="32"/>
          <w:lang w:val="zh-CN"/>
        </w:rPr>
      </w:pPr>
      <w:r>
        <w:rPr>
          <w:rFonts w:hint="eastAsia" w:ascii="方正楷体_GBK" w:eastAsia="方正楷体_GBK"/>
          <w:kern w:val="0"/>
          <w:sz w:val="32"/>
          <w:szCs w:val="32"/>
          <w:lang w:val="zh-CN"/>
        </w:rPr>
        <w:t>（二）部门财政拨款收支情况。</w:t>
      </w:r>
    </w:p>
    <w:p>
      <w:pPr>
        <w:widowControl/>
        <w:adjustRightInd w:val="0"/>
        <w:snapToGrid w:val="0"/>
        <w:spacing w:line="578" w:lineRule="exact"/>
        <w:ind w:firstLine="640" w:firstLineChars="200"/>
        <w:contextualSpacing/>
        <w:jc w:val="left"/>
        <w:rPr>
          <w:rFonts w:eastAsia="方正仿宋_GBK"/>
          <w:kern w:val="0"/>
          <w:sz w:val="32"/>
          <w:szCs w:val="32"/>
        </w:rPr>
      </w:pPr>
      <w:r>
        <w:rPr>
          <w:rFonts w:eastAsia="方正仿宋_GBK"/>
          <w:kern w:val="0"/>
          <w:sz w:val="32"/>
          <w:szCs w:val="32"/>
        </w:rPr>
        <w:t>1.部门财政拨款收入情况</w:t>
      </w:r>
    </w:p>
    <w:p>
      <w:pPr>
        <w:spacing w:line="578" w:lineRule="exact"/>
        <w:ind w:firstLine="707" w:firstLineChars="221"/>
        <w:rPr>
          <w:rFonts w:eastAsia="方正仿宋_GBK"/>
          <w:sz w:val="32"/>
          <w:szCs w:val="32"/>
        </w:rPr>
      </w:pPr>
      <w:r>
        <w:rPr>
          <w:rFonts w:eastAsia="方正仿宋_GBK"/>
          <w:sz w:val="32"/>
          <w:szCs w:val="32"/>
        </w:rPr>
        <w:t>2022年</w:t>
      </w:r>
      <w:r>
        <w:rPr>
          <w:rFonts w:eastAsia="方正仿宋_GBK"/>
          <w:kern w:val="0"/>
          <w:sz w:val="32"/>
          <w:szCs w:val="32"/>
        </w:rPr>
        <w:t>财政拨款收入</w:t>
      </w:r>
      <w:r>
        <w:rPr>
          <w:rFonts w:eastAsia="方正仿宋_GBK"/>
          <w:sz w:val="32"/>
          <w:szCs w:val="32"/>
        </w:rPr>
        <w:t>915.83万元。其中：一般公共预算财政拨款收入915.83万元，占100%；政府性基金预算财政拨款收入0万元，占0%；国有资本经营预算财政拨款收入0万元，占0%。</w:t>
      </w:r>
    </w:p>
    <w:p>
      <w:pPr>
        <w:spacing w:line="578" w:lineRule="exact"/>
        <w:ind w:firstLine="707" w:firstLineChars="221"/>
        <w:rPr>
          <w:rFonts w:eastAsia="方正仿宋_GBK"/>
          <w:sz w:val="32"/>
          <w:szCs w:val="32"/>
        </w:rPr>
      </w:pPr>
      <w:r>
        <w:rPr>
          <w:rFonts w:eastAsia="方正仿宋_GBK"/>
          <w:sz w:val="32"/>
          <w:szCs w:val="32"/>
        </w:rPr>
        <w:t>年初结转结余0万元。</w:t>
      </w:r>
    </w:p>
    <w:p>
      <w:pPr>
        <w:widowControl/>
        <w:adjustRightInd w:val="0"/>
        <w:snapToGrid w:val="0"/>
        <w:spacing w:line="578" w:lineRule="exact"/>
        <w:ind w:firstLine="640" w:firstLineChars="200"/>
        <w:contextualSpacing/>
        <w:jc w:val="left"/>
        <w:rPr>
          <w:rFonts w:eastAsia="方正仿宋_GBK"/>
          <w:kern w:val="0"/>
          <w:sz w:val="32"/>
          <w:szCs w:val="32"/>
        </w:rPr>
      </w:pPr>
      <w:r>
        <w:rPr>
          <w:rFonts w:eastAsia="方正仿宋_GBK"/>
          <w:kern w:val="0"/>
          <w:sz w:val="32"/>
          <w:szCs w:val="32"/>
        </w:rPr>
        <w:t>2.部门财政拨款支出情况</w:t>
      </w:r>
    </w:p>
    <w:p>
      <w:pPr>
        <w:pStyle w:val="5"/>
        <w:spacing w:beforeLines="0" w:line="578" w:lineRule="exact"/>
        <w:ind w:firstLine="566" w:firstLineChars="177"/>
        <w:rPr>
          <w:rFonts w:ascii="Times New Roman" w:eastAsia="方正仿宋_GBK"/>
          <w:b/>
          <w:sz w:val="32"/>
          <w:szCs w:val="32"/>
        </w:rPr>
      </w:pPr>
      <w:r>
        <w:rPr>
          <w:rFonts w:ascii="Times New Roman" w:eastAsia="方正仿宋_GBK"/>
          <w:sz w:val="32"/>
          <w:szCs w:val="32"/>
        </w:rPr>
        <w:t>2022年财政拨款支出915.83万元，主要用于以下方面</w:t>
      </w:r>
      <w:r>
        <w:rPr>
          <w:rFonts w:hint="eastAsia" w:ascii="Times New Roman" w:eastAsia="方正仿宋_GBK"/>
          <w:sz w:val="32"/>
          <w:szCs w:val="32"/>
          <w:lang w:eastAsia="zh-CN"/>
        </w:rPr>
        <w:t>：</w:t>
      </w:r>
      <w:r>
        <w:rPr>
          <w:rFonts w:ascii="Times New Roman" w:eastAsia="方正仿宋_GBK"/>
          <w:sz w:val="32"/>
          <w:szCs w:val="32"/>
        </w:rPr>
        <w:t>教育支出793.49万元，占86.64%，社会保障和就业支出56.86万元，占6.21%，卫生健康支出24.87万元，占2.72%，住房保障支出40.61万元，占4.43%。</w:t>
      </w:r>
    </w:p>
    <w:p>
      <w:pPr>
        <w:pStyle w:val="5"/>
        <w:spacing w:before="93" w:line="578" w:lineRule="exact"/>
        <w:ind w:firstLine="707" w:firstLineChars="221"/>
        <w:rPr>
          <w:rFonts w:ascii="Times New Roman" w:eastAsia="方正仿宋_GBK"/>
          <w:sz w:val="32"/>
          <w:szCs w:val="32"/>
        </w:rPr>
      </w:pPr>
      <w:r>
        <w:rPr>
          <w:rFonts w:ascii="Times New Roman" w:eastAsia="方正仿宋_GBK"/>
          <w:sz w:val="32"/>
          <w:szCs w:val="32"/>
        </w:rPr>
        <w:t>3.部门财政拨款结转结余情况</w:t>
      </w:r>
    </w:p>
    <w:p>
      <w:pPr>
        <w:pStyle w:val="5"/>
        <w:spacing w:before="93" w:line="578" w:lineRule="exact"/>
        <w:ind w:firstLine="707" w:firstLineChars="221"/>
        <w:rPr>
          <w:rFonts w:ascii="Times New Roman" w:eastAsia="方正仿宋_GBK"/>
          <w:sz w:val="32"/>
          <w:szCs w:val="32"/>
        </w:rPr>
      </w:pPr>
      <w:r>
        <w:rPr>
          <w:rFonts w:ascii="Times New Roman" w:eastAsia="方正仿宋_GBK"/>
          <w:sz w:val="32"/>
          <w:szCs w:val="32"/>
        </w:rPr>
        <w:t>年末结转结余0万元。</w:t>
      </w:r>
    </w:p>
    <w:p>
      <w:pPr>
        <w:widowControl/>
        <w:adjustRightInd w:val="0"/>
        <w:snapToGrid w:val="0"/>
        <w:spacing w:line="578" w:lineRule="exact"/>
        <w:ind w:firstLine="640" w:firstLineChars="200"/>
        <w:contextualSpacing/>
        <w:jc w:val="left"/>
        <w:rPr>
          <w:rFonts w:hint="eastAsia" w:ascii="方正黑体_GBK" w:eastAsia="方正黑体_GBK"/>
          <w:kern w:val="0"/>
          <w:sz w:val="32"/>
          <w:szCs w:val="32"/>
          <w:shd w:val="clear" w:color="auto" w:fill="FFFFFF"/>
        </w:rPr>
      </w:pPr>
      <w:r>
        <w:rPr>
          <w:rFonts w:hint="eastAsia" w:ascii="方正黑体_GBK" w:eastAsia="方正黑体_GBK"/>
          <w:kern w:val="0"/>
          <w:sz w:val="32"/>
          <w:szCs w:val="32"/>
          <w:shd w:val="clear" w:color="auto" w:fill="FFFFFF"/>
        </w:rPr>
        <w:t>三、</w:t>
      </w:r>
      <w:r>
        <w:rPr>
          <w:rFonts w:hint="eastAsia" w:ascii="方正黑体_GBK" w:hAnsi="黑体" w:eastAsia="方正黑体_GBK" w:cs="黑体"/>
          <w:kern w:val="0"/>
          <w:sz w:val="32"/>
          <w:szCs w:val="32"/>
          <w:shd w:val="clear" w:color="auto" w:fill="FFFFFF"/>
        </w:rPr>
        <w:t>部门</w:t>
      </w:r>
      <w:r>
        <w:rPr>
          <w:rFonts w:hint="eastAsia" w:ascii="方正黑体_GBK" w:hAnsi="黑体" w:eastAsia="方正黑体_GBK" w:cs="黑体"/>
          <w:color w:val="000000" w:themeColor="text1"/>
          <w:kern w:val="0"/>
          <w:sz w:val="32"/>
          <w:szCs w:val="32"/>
          <w:shd w:val="clear" w:color="auto" w:fill="FFFFFF"/>
        </w:rPr>
        <w:t>整体预算绩效管理情况</w:t>
      </w:r>
    </w:p>
    <w:p>
      <w:pPr>
        <w:widowControl/>
        <w:adjustRightInd w:val="0"/>
        <w:snapToGrid w:val="0"/>
        <w:spacing w:line="578" w:lineRule="exact"/>
        <w:ind w:firstLine="640" w:firstLineChars="200"/>
        <w:contextualSpacing/>
        <w:jc w:val="left"/>
        <w:rPr>
          <w:rFonts w:ascii="方正楷体_GBK" w:eastAsia="方正楷体_GBK"/>
          <w:kern w:val="0"/>
          <w:sz w:val="32"/>
          <w:szCs w:val="32"/>
          <w:shd w:val="clear" w:color="auto" w:fill="FFFFFF"/>
          <w:lang w:val="zh-CN"/>
        </w:rPr>
      </w:pPr>
      <w:r>
        <w:rPr>
          <w:rFonts w:hint="eastAsia" w:ascii="方正楷体_GBK" w:eastAsia="方正楷体_GBK"/>
          <w:kern w:val="0"/>
          <w:sz w:val="32"/>
          <w:szCs w:val="32"/>
          <w:shd w:val="clear" w:color="auto" w:fill="FFFFFF"/>
          <w:lang w:val="zh-CN"/>
        </w:rPr>
        <w:t>（一）总体工作情况</w:t>
      </w:r>
    </w:p>
    <w:p>
      <w:pPr>
        <w:widowControl/>
        <w:adjustRightInd w:val="0"/>
        <w:snapToGrid w:val="0"/>
        <w:spacing w:line="578" w:lineRule="exact"/>
        <w:ind w:firstLine="640" w:firstLineChars="200"/>
        <w:contextualSpacing/>
        <w:jc w:val="left"/>
        <w:rPr>
          <w:rFonts w:eastAsia="方正仿宋_GBK"/>
          <w:kern w:val="0"/>
          <w:sz w:val="32"/>
          <w:szCs w:val="32"/>
          <w:shd w:val="clear" w:color="auto" w:fill="FFFFFF"/>
        </w:rPr>
      </w:pPr>
      <w:r>
        <w:rPr>
          <w:rFonts w:eastAsia="方正仿宋_GBK"/>
          <w:kern w:val="0"/>
          <w:sz w:val="32"/>
          <w:szCs w:val="32"/>
          <w:shd w:val="clear" w:color="auto" w:fill="FFFFFF"/>
          <w:lang w:val="zh-CN"/>
        </w:rPr>
        <w:t>202</w:t>
      </w:r>
      <w:r>
        <w:rPr>
          <w:rFonts w:eastAsia="方正仿宋_GBK"/>
          <w:kern w:val="0"/>
          <w:sz w:val="32"/>
          <w:szCs w:val="32"/>
          <w:shd w:val="clear" w:color="auto" w:fill="FFFFFF"/>
        </w:rPr>
        <w:t>2</w:t>
      </w:r>
      <w:r>
        <w:rPr>
          <w:rFonts w:eastAsia="方正仿宋_GBK"/>
          <w:kern w:val="0"/>
          <w:sz w:val="32"/>
          <w:szCs w:val="32"/>
          <w:shd w:val="clear" w:color="auto" w:fill="FFFFFF"/>
          <w:lang w:val="zh-CN"/>
        </w:rPr>
        <w:t>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eastAsia="方正仿宋_GBK"/>
          <w:kern w:val="0"/>
          <w:sz w:val="32"/>
          <w:szCs w:val="32"/>
          <w:shd w:val="clear" w:color="auto" w:fill="FFFFFF"/>
        </w:rPr>
        <w:t>2022年年终各项工作任务均全面完成，完成质量较高。</w:t>
      </w:r>
    </w:p>
    <w:p>
      <w:pPr>
        <w:widowControl/>
        <w:adjustRightInd w:val="0"/>
        <w:snapToGrid w:val="0"/>
        <w:spacing w:line="578" w:lineRule="exact"/>
        <w:ind w:firstLine="640" w:firstLineChars="200"/>
        <w:contextualSpacing/>
        <w:jc w:val="left"/>
        <w:rPr>
          <w:rFonts w:eastAsia="方正楷体_GBK"/>
          <w:kern w:val="0"/>
          <w:sz w:val="32"/>
          <w:szCs w:val="32"/>
          <w:shd w:val="clear" w:color="auto" w:fill="FFFFFF"/>
          <w:lang w:val="zh-CN"/>
        </w:rPr>
      </w:pPr>
      <w:r>
        <w:rPr>
          <w:rFonts w:hint="eastAsia" w:eastAsia="方正楷体_GBK"/>
          <w:kern w:val="0"/>
          <w:sz w:val="32"/>
          <w:szCs w:val="32"/>
          <w:shd w:val="clear" w:color="auto" w:fill="FFFFFF"/>
          <w:lang w:val="zh-CN"/>
        </w:rPr>
        <w:t>（</w:t>
      </w:r>
      <w:r>
        <w:rPr>
          <w:rFonts w:eastAsia="方正楷体_GBK"/>
          <w:kern w:val="0"/>
          <w:sz w:val="32"/>
          <w:szCs w:val="32"/>
          <w:shd w:val="clear" w:color="auto" w:fill="FFFFFF"/>
          <w:lang w:val="zh-CN"/>
        </w:rPr>
        <w:t>二</w:t>
      </w:r>
      <w:r>
        <w:rPr>
          <w:rFonts w:hint="eastAsia" w:eastAsia="方正楷体_GBK"/>
          <w:kern w:val="0"/>
          <w:sz w:val="32"/>
          <w:szCs w:val="32"/>
          <w:shd w:val="clear" w:color="auto" w:fill="FFFFFF"/>
          <w:lang w:val="zh-CN"/>
        </w:rPr>
        <w:t>）</w:t>
      </w:r>
      <w:r>
        <w:rPr>
          <w:rFonts w:eastAsia="方正楷体_GBK"/>
          <w:kern w:val="0"/>
          <w:sz w:val="32"/>
          <w:szCs w:val="32"/>
          <w:shd w:val="clear" w:color="auto" w:fill="FFFFFF"/>
          <w:lang w:val="zh-CN"/>
        </w:rPr>
        <w:t>部门预算管理情况</w:t>
      </w:r>
    </w:p>
    <w:p>
      <w:pPr>
        <w:widowControl/>
        <w:adjustRightInd w:val="0"/>
        <w:snapToGrid w:val="0"/>
        <w:spacing w:line="578" w:lineRule="exact"/>
        <w:ind w:firstLine="640" w:firstLineChars="200"/>
        <w:contextualSpacing/>
        <w:jc w:val="left"/>
        <w:rPr>
          <w:rFonts w:eastAsia="方正仿宋_GBK"/>
          <w:kern w:val="0"/>
          <w:sz w:val="32"/>
          <w:szCs w:val="32"/>
          <w:shd w:val="clear" w:color="auto" w:fill="FFFFFF"/>
          <w:lang w:val="zh-CN"/>
        </w:rPr>
      </w:pPr>
      <w:r>
        <w:rPr>
          <w:rFonts w:eastAsia="方正仿宋_GBK"/>
          <w:kern w:val="0"/>
          <w:sz w:val="32"/>
          <w:szCs w:val="32"/>
          <w:shd w:val="clear" w:color="auto" w:fill="FFFFFF"/>
          <w:lang w:val="zh-CN"/>
        </w:rPr>
        <w:t>202</w:t>
      </w:r>
      <w:r>
        <w:rPr>
          <w:rFonts w:eastAsia="方正仿宋_GBK"/>
          <w:kern w:val="0"/>
          <w:sz w:val="32"/>
          <w:szCs w:val="32"/>
          <w:shd w:val="clear" w:color="auto" w:fill="FFFFFF"/>
        </w:rPr>
        <w:t>2</w:t>
      </w:r>
      <w:r>
        <w:rPr>
          <w:rFonts w:eastAsia="方正仿宋_GBK"/>
          <w:kern w:val="0"/>
          <w:sz w:val="32"/>
          <w:szCs w:val="32"/>
          <w:shd w:val="clear" w:color="auto" w:fill="FFFFFF"/>
          <w:lang w:val="zh-CN"/>
        </w:rPr>
        <w:t>年，我单位的预算管理工作有序开展，现结合整体支出绩效评价指标体系，将主要情况总结如下</w:t>
      </w:r>
      <w:r>
        <w:rPr>
          <w:rFonts w:hint="eastAsia" w:eastAsia="方正仿宋_GBK"/>
          <w:kern w:val="0"/>
          <w:sz w:val="32"/>
          <w:szCs w:val="32"/>
          <w:shd w:val="clear" w:color="auto" w:fill="FFFFFF"/>
          <w:lang w:val="zh-CN"/>
        </w:rPr>
        <w:t>：</w:t>
      </w:r>
    </w:p>
    <w:p>
      <w:pPr>
        <w:widowControl/>
        <w:adjustRightInd w:val="0"/>
        <w:snapToGrid w:val="0"/>
        <w:spacing w:line="578" w:lineRule="exact"/>
        <w:ind w:firstLine="640" w:firstLineChars="200"/>
        <w:contextualSpacing/>
        <w:jc w:val="left"/>
        <w:rPr>
          <w:rFonts w:eastAsia="方正仿宋_GBK"/>
          <w:kern w:val="0"/>
          <w:sz w:val="32"/>
          <w:szCs w:val="32"/>
          <w:highlight w:val="yellow"/>
          <w:shd w:val="clear" w:color="auto" w:fill="FFFFFF"/>
        </w:rPr>
      </w:pPr>
      <w:r>
        <w:rPr>
          <w:rFonts w:eastAsia="方正仿宋_GBK"/>
          <w:kern w:val="0"/>
          <w:sz w:val="32"/>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eastAsia="方正仿宋_GBK"/>
          <w:kern w:val="0"/>
          <w:sz w:val="32"/>
          <w:szCs w:val="32"/>
          <w:shd w:val="clear" w:color="auto" w:fill="FFFFFF"/>
        </w:rPr>
        <w:t>5</w:t>
      </w:r>
      <w:r>
        <w:rPr>
          <w:rFonts w:eastAsia="方正仿宋_GBK"/>
          <w:kern w:val="0"/>
          <w:sz w:val="32"/>
          <w:szCs w:val="32"/>
          <w:shd w:val="clear" w:color="auto" w:fill="FFFFFF"/>
          <w:lang w:val="zh-CN"/>
        </w:rPr>
        <w:t>分。</w:t>
      </w:r>
    </w:p>
    <w:p>
      <w:pPr>
        <w:widowControl/>
        <w:adjustRightInd w:val="0"/>
        <w:snapToGrid w:val="0"/>
        <w:spacing w:line="578" w:lineRule="exact"/>
        <w:ind w:firstLine="640" w:firstLineChars="200"/>
        <w:contextualSpacing/>
        <w:jc w:val="left"/>
        <w:rPr>
          <w:rFonts w:eastAsia="方正仿宋_GBK"/>
          <w:kern w:val="0"/>
          <w:sz w:val="32"/>
          <w:szCs w:val="32"/>
          <w:shd w:val="clear" w:color="auto" w:fill="FFFFFF"/>
          <w:lang w:val="zh-CN"/>
        </w:rPr>
      </w:pPr>
      <w:r>
        <w:rPr>
          <w:rFonts w:eastAsia="方正仿宋_GBK"/>
          <w:kern w:val="0"/>
          <w:sz w:val="32"/>
          <w:szCs w:val="32"/>
          <w:shd w:val="clear" w:color="auto" w:fill="FFFFFF"/>
          <w:lang w:val="zh-CN"/>
        </w:rPr>
        <w:t>2.在“目标实现”方面，我单位202</w:t>
      </w:r>
      <w:r>
        <w:rPr>
          <w:rFonts w:eastAsia="方正仿宋_GBK"/>
          <w:kern w:val="0"/>
          <w:sz w:val="32"/>
          <w:szCs w:val="32"/>
          <w:shd w:val="clear" w:color="auto" w:fill="FFFFFF"/>
        </w:rPr>
        <w:t>2</w:t>
      </w:r>
      <w:r>
        <w:rPr>
          <w:rFonts w:eastAsia="方正仿宋_GBK"/>
          <w:kern w:val="0"/>
          <w:sz w:val="32"/>
          <w:szCs w:val="32"/>
          <w:shd w:val="clear" w:color="auto" w:fill="FFFFFF"/>
          <w:lang w:val="zh-CN"/>
        </w:rPr>
        <w:t>年共</w:t>
      </w:r>
      <w:r>
        <w:rPr>
          <w:rFonts w:eastAsia="方正仿宋_GBK"/>
          <w:kern w:val="0"/>
          <w:sz w:val="32"/>
          <w:szCs w:val="32"/>
          <w:shd w:val="clear" w:color="auto" w:fill="FFFFFF"/>
        </w:rPr>
        <w:t>3</w:t>
      </w:r>
      <w:r>
        <w:rPr>
          <w:rFonts w:eastAsia="方正仿宋_GBK"/>
          <w:kern w:val="0"/>
          <w:sz w:val="32"/>
          <w:szCs w:val="32"/>
          <w:shd w:val="clear" w:color="auto" w:fill="FFFFFF"/>
          <w:lang w:val="zh-CN"/>
        </w:rPr>
        <w:t>个部门预算项目，均属于特定目标类项目。部门所有纳入绩效目标管理的部门预算项目中涉及数量指标共计</w:t>
      </w:r>
      <w:r>
        <w:rPr>
          <w:rFonts w:eastAsia="方正仿宋_GBK"/>
          <w:kern w:val="0"/>
          <w:sz w:val="32"/>
          <w:szCs w:val="32"/>
          <w:shd w:val="clear" w:color="auto" w:fill="FFFFFF"/>
        </w:rPr>
        <w:t>3</w:t>
      </w:r>
      <w:r>
        <w:rPr>
          <w:rFonts w:eastAsia="方正仿宋_GBK"/>
          <w:kern w:val="0"/>
          <w:sz w:val="32"/>
          <w:szCs w:val="32"/>
          <w:shd w:val="clear" w:color="auto" w:fill="FFFFFF"/>
          <w:lang w:val="zh-CN"/>
        </w:rPr>
        <w:t>个，已完成数量为</w:t>
      </w:r>
      <w:r>
        <w:rPr>
          <w:rFonts w:eastAsia="方正仿宋_GBK"/>
          <w:kern w:val="0"/>
          <w:sz w:val="32"/>
          <w:szCs w:val="32"/>
          <w:shd w:val="clear" w:color="auto" w:fill="FFFFFF"/>
        </w:rPr>
        <w:t>3</w:t>
      </w:r>
      <w:r>
        <w:rPr>
          <w:rFonts w:eastAsia="方正仿宋_GBK"/>
          <w:kern w:val="0"/>
          <w:sz w:val="32"/>
          <w:szCs w:val="32"/>
          <w:shd w:val="clear" w:color="auto" w:fill="FFFFFF"/>
          <w:lang w:val="zh-CN"/>
        </w:rPr>
        <w:t>个。该项指标分值为10分，自评得分</w:t>
      </w:r>
      <w:r>
        <w:rPr>
          <w:rFonts w:eastAsia="方正仿宋_GBK"/>
          <w:kern w:val="0"/>
          <w:sz w:val="32"/>
          <w:szCs w:val="32"/>
          <w:shd w:val="clear" w:color="auto" w:fill="FFFFFF"/>
        </w:rPr>
        <w:t>10</w:t>
      </w:r>
      <w:r>
        <w:rPr>
          <w:rFonts w:eastAsia="方正仿宋_GBK"/>
          <w:kern w:val="0"/>
          <w:sz w:val="32"/>
          <w:szCs w:val="32"/>
          <w:shd w:val="clear" w:color="auto" w:fill="FFFFFF"/>
          <w:lang w:val="zh-CN"/>
        </w:rPr>
        <w:t>分。</w:t>
      </w:r>
    </w:p>
    <w:p>
      <w:pPr>
        <w:widowControl/>
        <w:adjustRightInd w:val="0"/>
        <w:snapToGrid w:val="0"/>
        <w:spacing w:line="578" w:lineRule="exact"/>
        <w:ind w:firstLine="640" w:firstLineChars="200"/>
        <w:contextualSpacing/>
        <w:jc w:val="left"/>
        <w:rPr>
          <w:rFonts w:eastAsia="方正仿宋_GBK"/>
          <w:kern w:val="0"/>
          <w:sz w:val="32"/>
          <w:szCs w:val="32"/>
          <w:shd w:val="clear" w:color="auto" w:fill="FFFFFF"/>
        </w:rPr>
      </w:pPr>
      <w:r>
        <w:rPr>
          <w:rFonts w:eastAsia="方正仿宋_GBK"/>
          <w:kern w:val="0"/>
          <w:sz w:val="32"/>
          <w:szCs w:val="32"/>
          <w:shd w:val="clear" w:color="auto" w:fill="FFFFFF"/>
          <w:lang w:val="zh-CN"/>
        </w:rPr>
        <w:t>3.在“支出控制”方面，我单位202</w:t>
      </w:r>
      <w:r>
        <w:rPr>
          <w:rFonts w:eastAsia="方正仿宋_GBK"/>
          <w:kern w:val="0"/>
          <w:sz w:val="32"/>
          <w:szCs w:val="32"/>
          <w:shd w:val="clear" w:color="auto" w:fill="FFFFFF"/>
        </w:rPr>
        <w:t>2</w:t>
      </w:r>
      <w:r>
        <w:rPr>
          <w:rFonts w:eastAsia="方正仿宋_GBK"/>
          <w:kern w:val="0"/>
          <w:sz w:val="32"/>
          <w:szCs w:val="32"/>
          <w:shd w:val="clear" w:color="auto" w:fill="FFFFFF"/>
          <w:lang w:val="zh-CN"/>
        </w:rPr>
        <w:t>年日常公用经费、项目支出中“办公费、印刷费、水费、电费、物业管理费”年初预算额</w:t>
      </w:r>
      <w:r>
        <w:rPr>
          <w:rFonts w:eastAsia="方正仿宋_GBK"/>
          <w:kern w:val="0"/>
          <w:sz w:val="32"/>
          <w:szCs w:val="32"/>
          <w:shd w:val="clear" w:color="auto" w:fill="FFFFFF"/>
        </w:rPr>
        <w:t>69.56</w:t>
      </w:r>
      <w:r>
        <w:rPr>
          <w:rFonts w:eastAsia="方正仿宋_GBK"/>
          <w:kern w:val="0"/>
          <w:sz w:val="32"/>
          <w:szCs w:val="32"/>
          <w:shd w:val="clear" w:color="auto" w:fill="FFFFFF"/>
          <w:lang w:val="zh-CN"/>
        </w:rPr>
        <w:t>万元，年末决算数</w:t>
      </w:r>
      <w:r>
        <w:rPr>
          <w:rFonts w:eastAsia="方正仿宋_GBK"/>
          <w:kern w:val="0"/>
          <w:sz w:val="32"/>
          <w:szCs w:val="32"/>
          <w:shd w:val="clear" w:color="auto" w:fill="FFFFFF"/>
        </w:rPr>
        <w:t>69.56</w:t>
      </w:r>
      <w:r>
        <w:rPr>
          <w:rFonts w:eastAsia="方正仿宋_GBK"/>
          <w:kern w:val="0"/>
          <w:sz w:val="32"/>
          <w:szCs w:val="32"/>
          <w:shd w:val="clear" w:color="auto" w:fill="FFFFFF"/>
          <w:lang w:val="zh-CN"/>
        </w:rPr>
        <w:t>万元，偏差度</w:t>
      </w:r>
      <w:r>
        <w:rPr>
          <w:rFonts w:eastAsia="方正仿宋_GBK"/>
          <w:kern w:val="0"/>
          <w:sz w:val="32"/>
          <w:szCs w:val="32"/>
          <w:shd w:val="clear" w:color="auto" w:fill="FFFFFF"/>
        </w:rPr>
        <w:t>0</w:t>
      </w:r>
      <w:r>
        <w:rPr>
          <w:rFonts w:eastAsia="方正仿宋_GBK"/>
          <w:kern w:val="0"/>
          <w:sz w:val="32"/>
          <w:szCs w:val="32"/>
          <w:shd w:val="clear" w:color="auto" w:fill="FFFFFF"/>
          <w:lang w:val="zh-CN"/>
        </w:rPr>
        <w:t>%。该项指标分值为</w:t>
      </w:r>
      <w:r>
        <w:rPr>
          <w:rFonts w:eastAsia="方正仿宋_GBK"/>
          <w:kern w:val="0"/>
          <w:sz w:val="32"/>
          <w:szCs w:val="32"/>
          <w:shd w:val="clear" w:color="auto" w:fill="FFFFFF"/>
        </w:rPr>
        <w:t>2</w:t>
      </w:r>
      <w:r>
        <w:rPr>
          <w:rFonts w:eastAsia="方正仿宋_GBK"/>
          <w:kern w:val="0"/>
          <w:sz w:val="32"/>
          <w:szCs w:val="32"/>
          <w:shd w:val="clear" w:color="auto" w:fill="FFFFFF"/>
          <w:lang w:val="zh-CN"/>
        </w:rPr>
        <w:t>分，指标自评得分</w:t>
      </w:r>
      <w:r>
        <w:rPr>
          <w:rFonts w:eastAsia="方正仿宋_GBK"/>
          <w:kern w:val="0"/>
          <w:sz w:val="32"/>
          <w:szCs w:val="32"/>
          <w:shd w:val="clear" w:color="auto" w:fill="FFFFFF"/>
        </w:rPr>
        <w:t>2</w:t>
      </w:r>
      <w:r>
        <w:rPr>
          <w:rFonts w:eastAsia="方正仿宋_GBK"/>
          <w:kern w:val="0"/>
          <w:sz w:val="32"/>
          <w:szCs w:val="32"/>
          <w:shd w:val="clear" w:color="auto" w:fill="FFFFFF"/>
          <w:lang w:val="zh-CN"/>
        </w:rPr>
        <w:t>分。</w:t>
      </w:r>
    </w:p>
    <w:p>
      <w:pPr>
        <w:widowControl/>
        <w:adjustRightInd w:val="0"/>
        <w:snapToGrid w:val="0"/>
        <w:spacing w:line="578" w:lineRule="exact"/>
        <w:ind w:firstLine="640" w:firstLineChars="200"/>
        <w:contextualSpacing/>
        <w:jc w:val="left"/>
        <w:rPr>
          <w:rFonts w:eastAsia="方正仿宋_GBK"/>
          <w:kern w:val="0"/>
          <w:sz w:val="32"/>
          <w:szCs w:val="32"/>
          <w:shd w:val="clear" w:color="auto" w:fill="FFFFFF"/>
          <w:lang w:val="zh-CN"/>
        </w:rPr>
      </w:pPr>
      <w:r>
        <w:rPr>
          <w:rFonts w:eastAsia="方正仿宋_GBK"/>
          <w:kern w:val="0"/>
          <w:sz w:val="32"/>
          <w:szCs w:val="32"/>
          <w:shd w:val="clear" w:color="auto" w:fill="FFFFFF"/>
          <w:lang w:val="zh-CN"/>
        </w:rPr>
        <w:t>4.在“及时处置”方面，当部门绩效监控调整取消额</w:t>
      </w:r>
      <w:r>
        <w:rPr>
          <w:rFonts w:hint="eastAsia" w:eastAsia="方正仿宋_GBK"/>
          <w:kern w:val="0"/>
          <w:sz w:val="32"/>
          <w:szCs w:val="32"/>
          <w:shd w:val="clear" w:color="auto" w:fill="FFFFFF"/>
          <w:lang w:val="zh-CN"/>
        </w:rPr>
        <w:t>（</w:t>
      </w:r>
      <w:r>
        <w:rPr>
          <w:rFonts w:eastAsia="方正仿宋_GBK"/>
          <w:kern w:val="0"/>
          <w:sz w:val="32"/>
          <w:szCs w:val="32"/>
          <w:shd w:val="clear" w:color="auto" w:fill="FFFFFF"/>
        </w:rPr>
        <w:t>0</w:t>
      </w:r>
      <w:r>
        <w:rPr>
          <w:rFonts w:eastAsia="方正仿宋_GBK"/>
          <w:kern w:val="0"/>
          <w:sz w:val="32"/>
          <w:szCs w:val="32"/>
          <w:shd w:val="clear" w:color="auto" w:fill="FFFFFF"/>
          <w:lang w:val="zh-CN"/>
        </w:rPr>
        <w:t>万元</w:t>
      </w:r>
      <w:r>
        <w:rPr>
          <w:rFonts w:hint="eastAsia" w:eastAsia="方正仿宋_GBK"/>
          <w:kern w:val="0"/>
          <w:sz w:val="32"/>
          <w:szCs w:val="32"/>
          <w:shd w:val="clear" w:color="auto" w:fill="FFFFFF"/>
          <w:lang w:val="zh-CN"/>
        </w:rPr>
        <w:t>）</w:t>
      </w:r>
      <w:r>
        <w:rPr>
          <w:rFonts w:eastAsia="方正仿宋_GBK"/>
          <w:kern w:val="0"/>
          <w:sz w:val="32"/>
          <w:szCs w:val="32"/>
          <w:shd w:val="clear" w:color="auto" w:fill="FFFFFF"/>
          <w:lang w:val="zh-CN"/>
        </w:rPr>
        <w:t>和结余注销额</w:t>
      </w:r>
      <w:r>
        <w:rPr>
          <w:rFonts w:hint="eastAsia" w:eastAsia="方正仿宋_GBK"/>
          <w:kern w:val="0"/>
          <w:sz w:val="32"/>
          <w:szCs w:val="32"/>
          <w:shd w:val="clear" w:color="auto" w:fill="FFFFFF"/>
          <w:lang w:val="zh-CN"/>
        </w:rPr>
        <w:t>（</w:t>
      </w:r>
      <w:r>
        <w:rPr>
          <w:rFonts w:eastAsia="方正仿宋_GBK"/>
          <w:kern w:val="0"/>
          <w:sz w:val="32"/>
          <w:szCs w:val="32"/>
          <w:shd w:val="clear" w:color="auto" w:fill="FFFFFF"/>
        </w:rPr>
        <w:t>0</w:t>
      </w:r>
      <w:r>
        <w:rPr>
          <w:rFonts w:eastAsia="方正仿宋_GBK"/>
          <w:kern w:val="0"/>
          <w:sz w:val="32"/>
          <w:szCs w:val="32"/>
          <w:shd w:val="clear" w:color="auto" w:fill="FFFFFF"/>
          <w:lang w:val="zh-CN"/>
        </w:rPr>
        <w:t>万元</w:t>
      </w:r>
      <w:r>
        <w:rPr>
          <w:rFonts w:hint="eastAsia" w:eastAsia="方正仿宋_GBK"/>
          <w:kern w:val="0"/>
          <w:sz w:val="32"/>
          <w:szCs w:val="32"/>
          <w:shd w:val="clear" w:color="auto" w:fill="FFFFFF"/>
          <w:lang w:val="zh-CN"/>
        </w:rPr>
        <w:t>）</w:t>
      </w:r>
      <w:r>
        <w:rPr>
          <w:rFonts w:eastAsia="方正仿宋_GBK"/>
          <w:kern w:val="0"/>
          <w:sz w:val="32"/>
          <w:szCs w:val="32"/>
          <w:shd w:val="clear" w:color="auto" w:fill="FFFFFF"/>
          <w:lang w:val="zh-CN"/>
        </w:rPr>
        <w:t>均不为零时，该项指标分值为4分，指标自评得分4分。</w:t>
      </w:r>
    </w:p>
    <w:p>
      <w:pPr>
        <w:widowControl/>
        <w:adjustRightInd w:val="0"/>
        <w:snapToGrid w:val="0"/>
        <w:spacing w:line="578" w:lineRule="exact"/>
        <w:ind w:firstLine="640" w:firstLineChars="200"/>
        <w:contextualSpacing/>
        <w:jc w:val="left"/>
        <w:rPr>
          <w:rFonts w:eastAsia="方正仿宋_GBK"/>
          <w:kern w:val="0"/>
          <w:sz w:val="32"/>
          <w:szCs w:val="32"/>
          <w:shd w:val="clear" w:color="auto" w:fill="FFFFFF"/>
          <w:lang w:val="zh-CN"/>
        </w:rPr>
      </w:pPr>
      <w:r>
        <w:rPr>
          <w:rFonts w:eastAsia="方正仿宋_GBK"/>
          <w:kern w:val="0"/>
          <w:sz w:val="32"/>
          <w:szCs w:val="32"/>
          <w:shd w:val="clear" w:color="auto" w:fill="FFFFFF"/>
          <w:lang w:val="zh-CN"/>
        </w:rPr>
        <w:t>5.在“执行进度”方面，根据系统提取数据显示，我单位202</w:t>
      </w:r>
      <w:r>
        <w:rPr>
          <w:rFonts w:eastAsia="方正仿宋_GBK"/>
          <w:kern w:val="0"/>
          <w:sz w:val="32"/>
          <w:szCs w:val="32"/>
          <w:shd w:val="clear" w:color="auto" w:fill="FFFFFF"/>
        </w:rPr>
        <w:t>2</w:t>
      </w:r>
      <w:r>
        <w:rPr>
          <w:rFonts w:eastAsia="方正仿宋_GBK"/>
          <w:kern w:val="0"/>
          <w:sz w:val="32"/>
          <w:szCs w:val="32"/>
          <w:shd w:val="clear" w:color="auto" w:fill="FFFFFF"/>
          <w:lang w:val="zh-CN"/>
        </w:rPr>
        <w:t>年6月、9月、11月执行进度分别为</w:t>
      </w:r>
      <w:r>
        <w:rPr>
          <w:rFonts w:eastAsia="方正仿宋_GBK"/>
          <w:kern w:val="0"/>
          <w:sz w:val="32"/>
          <w:szCs w:val="32"/>
          <w:shd w:val="clear" w:color="auto" w:fill="FFFFFF"/>
        </w:rPr>
        <w:t>46</w:t>
      </w:r>
      <w:r>
        <w:rPr>
          <w:rFonts w:eastAsia="方正仿宋_GBK"/>
          <w:kern w:val="0"/>
          <w:sz w:val="32"/>
          <w:szCs w:val="32"/>
          <w:shd w:val="clear" w:color="auto" w:fill="FFFFFF"/>
          <w:lang w:val="zh-CN"/>
        </w:rPr>
        <w:t>%、</w:t>
      </w:r>
      <w:r>
        <w:rPr>
          <w:rFonts w:eastAsia="方正仿宋_GBK"/>
          <w:kern w:val="0"/>
          <w:sz w:val="32"/>
          <w:szCs w:val="32"/>
          <w:shd w:val="clear" w:color="auto" w:fill="FFFFFF"/>
        </w:rPr>
        <w:t>72</w:t>
      </w:r>
      <w:r>
        <w:rPr>
          <w:rFonts w:eastAsia="方正仿宋_GBK"/>
          <w:kern w:val="0"/>
          <w:sz w:val="32"/>
          <w:szCs w:val="32"/>
          <w:shd w:val="clear" w:color="auto" w:fill="FFFFFF"/>
          <w:lang w:val="zh-CN"/>
        </w:rPr>
        <w:t xml:space="preserve">%、 </w:t>
      </w:r>
      <w:r>
        <w:rPr>
          <w:rFonts w:eastAsia="方正仿宋_GBK"/>
          <w:kern w:val="0"/>
          <w:sz w:val="32"/>
          <w:szCs w:val="32"/>
          <w:shd w:val="clear" w:color="auto" w:fill="FFFFFF"/>
        </w:rPr>
        <w:t>80</w:t>
      </w:r>
      <w:r>
        <w:rPr>
          <w:rFonts w:eastAsia="方正仿宋_GBK"/>
          <w:kern w:val="0"/>
          <w:sz w:val="32"/>
          <w:szCs w:val="32"/>
          <w:shd w:val="clear" w:color="auto" w:fill="FFFFFF"/>
          <w:lang w:val="zh-CN"/>
        </w:rPr>
        <w:t>%</w:t>
      </w:r>
      <w:r>
        <w:rPr>
          <w:rFonts w:hint="eastAsia" w:eastAsia="方正仿宋_GBK"/>
          <w:kern w:val="0"/>
          <w:sz w:val="32"/>
          <w:szCs w:val="32"/>
          <w:shd w:val="clear" w:color="auto" w:fill="FFFFFF"/>
          <w:lang w:val="zh-CN"/>
        </w:rPr>
        <w:t>，</w:t>
      </w:r>
      <w:r>
        <w:rPr>
          <w:rFonts w:eastAsia="方正仿宋_GBK"/>
          <w:kern w:val="0"/>
          <w:sz w:val="32"/>
          <w:szCs w:val="32"/>
          <w:shd w:val="clear" w:color="auto" w:fill="FFFFFF"/>
          <w:lang w:val="zh-CN"/>
        </w:rPr>
        <w:t>该项指标分值为4分，按其实际进度占目标进度的比重计算</w:t>
      </w:r>
      <w:r>
        <w:rPr>
          <w:rFonts w:hint="eastAsia" w:eastAsia="方正仿宋_GBK"/>
          <w:kern w:val="0"/>
          <w:sz w:val="32"/>
          <w:szCs w:val="32"/>
          <w:shd w:val="clear" w:color="auto" w:fill="FFFFFF"/>
          <w:lang w:val="zh-CN"/>
        </w:rPr>
        <w:t>，</w:t>
      </w:r>
      <w:r>
        <w:rPr>
          <w:rFonts w:eastAsia="方正仿宋_GBK"/>
          <w:kern w:val="0"/>
          <w:sz w:val="32"/>
          <w:szCs w:val="32"/>
          <w:shd w:val="clear" w:color="auto" w:fill="FFFFFF"/>
          <w:lang w:val="zh-CN"/>
        </w:rPr>
        <w:t>得分</w:t>
      </w:r>
      <w:r>
        <w:rPr>
          <w:rFonts w:eastAsia="方正仿宋_GBK"/>
          <w:kern w:val="0"/>
          <w:sz w:val="32"/>
          <w:szCs w:val="32"/>
          <w:shd w:val="clear" w:color="auto" w:fill="FFFFFF"/>
        </w:rPr>
        <w:t>2</w:t>
      </w:r>
      <w:r>
        <w:rPr>
          <w:rFonts w:eastAsia="方正仿宋_GBK"/>
          <w:kern w:val="0"/>
          <w:sz w:val="32"/>
          <w:szCs w:val="32"/>
          <w:shd w:val="clear" w:color="auto" w:fill="FFFFFF"/>
          <w:lang w:val="zh-CN"/>
        </w:rPr>
        <w:t>分。</w:t>
      </w:r>
    </w:p>
    <w:p>
      <w:pPr>
        <w:widowControl/>
        <w:adjustRightInd w:val="0"/>
        <w:snapToGrid w:val="0"/>
        <w:spacing w:line="578" w:lineRule="exact"/>
        <w:ind w:firstLine="640" w:firstLineChars="200"/>
        <w:contextualSpacing/>
        <w:jc w:val="left"/>
        <w:rPr>
          <w:rFonts w:eastAsia="方正仿宋_GBK"/>
          <w:kern w:val="0"/>
          <w:sz w:val="32"/>
          <w:szCs w:val="32"/>
          <w:shd w:val="clear" w:color="auto" w:fill="FFFFFF"/>
          <w:lang w:val="zh-CN"/>
        </w:rPr>
      </w:pPr>
      <w:r>
        <w:rPr>
          <w:rFonts w:eastAsia="方正仿宋_GBK"/>
          <w:kern w:val="0"/>
          <w:sz w:val="32"/>
          <w:szCs w:val="32"/>
          <w:shd w:val="clear" w:color="auto" w:fill="FFFFFF"/>
          <w:lang w:val="zh-CN"/>
        </w:rPr>
        <w:t>6.在“预算完成”方面，部门预算项目年末预算执行进度</w:t>
      </w:r>
      <w:r>
        <w:rPr>
          <w:rFonts w:hint="eastAsia" w:eastAsia="方正仿宋_GBK"/>
          <w:kern w:val="0"/>
          <w:sz w:val="32"/>
          <w:szCs w:val="32"/>
          <w:shd w:val="clear" w:color="auto" w:fill="FFFFFF"/>
        </w:rPr>
        <w:t>达</w:t>
      </w:r>
      <w:r>
        <w:rPr>
          <w:rFonts w:eastAsia="方正仿宋_GBK"/>
          <w:kern w:val="0"/>
          <w:sz w:val="32"/>
          <w:szCs w:val="32"/>
          <w:shd w:val="clear" w:color="auto" w:fill="FFFFFF"/>
        </w:rPr>
        <w:t>100</w:t>
      </w:r>
      <w:r>
        <w:rPr>
          <w:rFonts w:eastAsia="方正仿宋_GBK"/>
          <w:kern w:val="0"/>
          <w:sz w:val="32"/>
          <w:szCs w:val="32"/>
          <w:shd w:val="clear" w:color="auto" w:fill="FFFFFF"/>
          <w:lang w:val="zh-CN"/>
        </w:rPr>
        <w:t>%。该项指标分值为5分，按照实际进度量化计算</w:t>
      </w:r>
      <w:r>
        <w:rPr>
          <w:rFonts w:hint="eastAsia" w:eastAsia="方正仿宋_GBK"/>
          <w:kern w:val="0"/>
          <w:sz w:val="32"/>
          <w:szCs w:val="32"/>
          <w:shd w:val="clear" w:color="auto" w:fill="FFFFFF"/>
          <w:lang w:val="zh-CN"/>
        </w:rPr>
        <w:t>，</w:t>
      </w:r>
      <w:r>
        <w:rPr>
          <w:rFonts w:eastAsia="方正仿宋_GBK"/>
          <w:kern w:val="0"/>
          <w:sz w:val="32"/>
          <w:szCs w:val="32"/>
          <w:shd w:val="clear" w:color="auto" w:fill="FFFFFF"/>
          <w:lang w:val="zh-CN"/>
        </w:rPr>
        <w:t>得分</w:t>
      </w:r>
      <w:r>
        <w:rPr>
          <w:rFonts w:eastAsia="方正仿宋_GBK"/>
          <w:kern w:val="0"/>
          <w:sz w:val="32"/>
          <w:szCs w:val="32"/>
          <w:shd w:val="clear" w:color="auto" w:fill="FFFFFF"/>
        </w:rPr>
        <w:t>2</w:t>
      </w:r>
      <w:r>
        <w:rPr>
          <w:rFonts w:eastAsia="方正仿宋_GBK"/>
          <w:kern w:val="0"/>
          <w:sz w:val="32"/>
          <w:szCs w:val="32"/>
          <w:shd w:val="clear" w:color="auto" w:fill="FFFFFF"/>
          <w:lang w:val="zh-CN"/>
        </w:rPr>
        <w:t>分。</w:t>
      </w:r>
    </w:p>
    <w:p>
      <w:pPr>
        <w:widowControl/>
        <w:adjustRightInd w:val="0"/>
        <w:snapToGrid w:val="0"/>
        <w:spacing w:line="578" w:lineRule="exact"/>
        <w:ind w:firstLine="640" w:firstLineChars="200"/>
        <w:contextualSpacing/>
        <w:jc w:val="left"/>
        <w:rPr>
          <w:rFonts w:eastAsia="方正仿宋_GBK"/>
          <w:kern w:val="0"/>
          <w:sz w:val="32"/>
          <w:szCs w:val="32"/>
          <w:shd w:val="clear" w:color="auto" w:fill="FFFFFF"/>
          <w:lang w:val="zh-CN"/>
        </w:rPr>
      </w:pPr>
      <w:r>
        <w:rPr>
          <w:rFonts w:eastAsia="方正仿宋_GBK"/>
          <w:kern w:val="0"/>
          <w:sz w:val="32"/>
          <w:szCs w:val="32"/>
          <w:shd w:val="clear" w:color="auto" w:fill="FFFFFF"/>
          <w:lang w:val="zh-CN"/>
        </w:rPr>
        <w:t>7.在“资金结余率”方面，我单位部门预算项目共</w:t>
      </w:r>
      <w:r>
        <w:rPr>
          <w:rFonts w:eastAsia="方正仿宋_GBK"/>
          <w:kern w:val="0"/>
          <w:sz w:val="32"/>
          <w:szCs w:val="32"/>
          <w:shd w:val="clear" w:color="auto" w:fill="FFFFFF"/>
        </w:rPr>
        <w:t>3</w:t>
      </w:r>
      <w:r>
        <w:rPr>
          <w:rFonts w:eastAsia="方正仿宋_GBK"/>
          <w:kern w:val="0"/>
          <w:sz w:val="32"/>
          <w:szCs w:val="32"/>
          <w:shd w:val="clear" w:color="auto" w:fill="FFFFFF"/>
          <w:lang w:val="zh-CN"/>
        </w:rPr>
        <w:t>项，资金</w:t>
      </w:r>
      <w:r>
        <w:rPr>
          <w:rFonts w:hint="eastAsia" w:eastAsia="方正仿宋_GBK"/>
          <w:kern w:val="0"/>
          <w:sz w:val="32"/>
          <w:szCs w:val="32"/>
          <w:shd w:val="clear" w:color="auto" w:fill="FFFFFF"/>
        </w:rPr>
        <w:t>结</w:t>
      </w:r>
      <w:r>
        <w:rPr>
          <w:rFonts w:eastAsia="方正仿宋_GBK"/>
          <w:kern w:val="0"/>
          <w:sz w:val="32"/>
          <w:szCs w:val="32"/>
          <w:shd w:val="clear" w:color="auto" w:fill="FFFFFF"/>
          <w:lang w:val="zh-CN"/>
        </w:rPr>
        <w:t>余率小于</w:t>
      </w:r>
      <w:r>
        <w:rPr>
          <w:rFonts w:eastAsia="方正仿宋_GBK"/>
          <w:kern w:val="0"/>
          <w:sz w:val="32"/>
          <w:szCs w:val="32"/>
          <w:shd w:val="clear" w:color="auto" w:fill="FFFFFF"/>
        </w:rPr>
        <w:t>0.1</w:t>
      </w:r>
      <w:r>
        <w:rPr>
          <w:rFonts w:eastAsia="方正仿宋_GBK"/>
          <w:kern w:val="0"/>
          <w:sz w:val="32"/>
          <w:szCs w:val="32"/>
          <w:shd w:val="clear" w:color="auto" w:fill="FFFFFF"/>
          <w:lang w:val="zh-CN"/>
        </w:rPr>
        <w:t>的项目数</w:t>
      </w:r>
      <w:r>
        <w:rPr>
          <w:rFonts w:eastAsia="方正仿宋_GBK"/>
          <w:kern w:val="0"/>
          <w:sz w:val="32"/>
          <w:szCs w:val="32"/>
          <w:shd w:val="clear" w:color="auto" w:fill="FFFFFF"/>
        </w:rPr>
        <w:t>0</w:t>
      </w:r>
      <w:r>
        <w:rPr>
          <w:rFonts w:eastAsia="方正仿宋_GBK"/>
          <w:kern w:val="0"/>
          <w:sz w:val="32"/>
          <w:szCs w:val="32"/>
          <w:shd w:val="clear" w:color="auto" w:fill="FFFFFF"/>
          <w:lang w:val="zh-CN"/>
        </w:rPr>
        <w:t>项。该项指标分值为8分，按照相应量化</w:t>
      </w:r>
      <w:r>
        <w:rPr>
          <w:rFonts w:hint="eastAsia" w:eastAsia="方正仿宋_GBK"/>
          <w:kern w:val="0"/>
          <w:sz w:val="32"/>
          <w:szCs w:val="32"/>
          <w:shd w:val="clear" w:color="auto" w:fill="FFFFFF"/>
          <w:lang w:val="zh-CN"/>
        </w:rPr>
        <w:t>方法</w:t>
      </w:r>
      <w:r>
        <w:rPr>
          <w:rFonts w:eastAsia="方正仿宋_GBK"/>
          <w:kern w:val="0"/>
          <w:sz w:val="32"/>
          <w:szCs w:val="32"/>
          <w:shd w:val="clear" w:color="auto" w:fill="FFFFFF"/>
          <w:lang w:val="zh-CN"/>
        </w:rPr>
        <w:t>计算</w:t>
      </w:r>
      <w:r>
        <w:rPr>
          <w:rFonts w:hint="eastAsia" w:eastAsia="方正仿宋_GBK"/>
          <w:kern w:val="0"/>
          <w:sz w:val="32"/>
          <w:szCs w:val="32"/>
          <w:shd w:val="clear" w:color="auto" w:fill="FFFFFF"/>
          <w:lang w:val="zh-CN"/>
        </w:rPr>
        <w:t>，</w:t>
      </w:r>
      <w:r>
        <w:rPr>
          <w:rFonts w:eastAsia="方正仿宋_GBK"/>
          <w:kern w:val="0"/>
          <w:sz w:val="32"/>
          <w:szCs w:val="32"/>
          <w:shd w:val="clear" w:color="auto" w:fill="FFFFFF"/>
          <w:lang w:val="zh-CN"/>
        </w:rPr>
        <w:t>得分</w:t>
      </w:r>
      <w:r>
        <w:rPr>
          <w:rFonts w:eastAsia="方正仿宋_GBK"/>
          <w:kern w:val="0"/>
          <w:sz w:val="32"/>
          <w:szCs w:val="32"/>
          <w:shd w:val="clear" w:color="auto" w:fill="FFFFFF"/>
        </w:rPr>
        <w:t>8</w:t>
      </w:r>
      <w:r>
        <w:rPr>
          <w:rFonts w:eastAsia="方正仿宋_GBK"/>
          <w:kern w:val="0"/>
          <w:sz w:val="32"/>
          <w:szCs w:val="32"/>
          <w:shd w:val="clear" w:color="auto" w:fill="FFFFFF"/>
          <w:lang w:val="zh-CN"/>
        </w:rPr>
        <w:t>分。</w:t>
      </w:r>
    </w:p>
    <w:p>
      <w:pPr>
        <w:spacing w:line="578" w:lineRule="exact"/>
        <w:ind w:firstLine="640" w:firstLineChars="200"/>
        <w:outlineLvl w:val="2"/>
        <w:rPr>
          <w:rFonts w:eastAsia="方正仿宋_GBK"/>
          <w:kern w:val="0"/>
          <w:sz w:val="32"/>
          <w:szCs w:val="32"/>
          <w:shd w:val="clear" w:color="auto" w:fill="FFFFFF"/>
        </w:rPr>
      </w:pPr>
      <w:r>
        <w:rPr>
          <w:rFonts w:eastAsia="方正仿宋_GBK"/>
          <w:kern w:val="0"/>
          <w:sz w:val="32"/>
          <w:szCs w:val="32"/>
          <w:shd w:val="clear" w:color="auto" w:fill="FFFFFF"/>
          <w:lang w:val="zh-CN"/>
        </w:rPr>
        <w:t>8.在违规记录上，我单位202</w:t>
      </w:r>
      <w:r>
        <w:rPr>
          <w:rFonts w:eastAsia="方正仿宋_GBK"/>
          <w:kern w:val="0"/>
          <w:sz w:val="32"/>
          <w:szCs w:val="32"/>
          <w:shd w:val="clear" w:color="auto" w:fill="FFFFFF"/>
        </w:rPr>
        <w:t>2</w:t>
      </w:r>
      <w:r>
        <w:rPr>
          <w:rFonts w:eastAsia="方正仿宋_GBK"/>
          <w:kern w:val="0"/>
          <w:sz w:val="32"/>
          <w:szCs w:val="32"/>
          <w:shd w:val="clear" w:color="auto" w:fill="FFFFFF"/>
          <w:lang w:val="zh-CN"/>
        </w:rPr>
        <w:t>年没有出现部门预算管理方面违纪违规问题。该项指标分值为2分，自评得分2分。</w:t>
      </w:r>
      <w:r>
        <w:rPr>
          <w:rFonts w:hint="eastAsia" w:eastAsia="方正仿宋_GBK"/>
          <w:kern w:val="0"/>
          <w:sz w:val="32"/>
          <w:szCs w:val="32"/>
          <w:shd w:val="clear" w:color="auto" w:fill="FFFFFF"/>
        </w:rPr>
        <w:t xml:space="preserve">    </w:t>
      </w:r>
    </w:p>
    <w:p>
      <w:pPr>
        <w:spacing w:line="578" w:lineRule="exact"/>
        <w:ind w:firstLine="640" w:firstLineChars="200"/>
        <w:outlineLvl w:val="2"/>
        <w:rPr>
          <w:rFonts w:hint="eastAsia" w:ascii="方正黑体_GBK" w:hAnsi="方正楷体_GBK" w:eastAsia="方正黑体_GBK" w:cs="方正楷体_GBK"/>
          <w:kern w:val="0"/>
          <w:sz w:val="32"/>
          <w:szCs w:val="32"/>
          <w:highlight w:val="yellow"/>
        </w:rPr>
      </w:pPr>
      <w:r>
        <w:rPr>
          <w:rFonts w:hint="eastAsia" w:ascii="方正黑体_GBK" w:hAnsi="黑体" w:eastAsia="方正黑体_GBK" w:cs="黑体"/>
          <w:kern w:val="0"/>
          <w:sz w:val="32"/>
          <w:szCs w:val="32"/>
          <w:shd w:val="clear" w:color="auto" w:fill="FFFFFF"/>
        </w:rPr>
        <w:t>四、</w:t>
      </w:r>
      <w:r>
        <w:rPr>
          <w:rFonts w:hint="eastAsia" w:ascii="方正黑体_GBK" w:hAnsi="黑体" w:eastAsia="方正黑体_GBK" w:cs="黑体"/>
          <w:kern w:val="0"/>
          <w:sz w:val="32"/>
          <w:szCs w:val="32"/>
        </w:rPr>
        <w:t>专项预算管理</w:t>
      </w:r>
    </w:p>
    <w:p>
      <w:pPr>
        <w:keepLines/>
        <w:tabs>
          <w:tab w:val="left" w:pos="676"/>
        </w:tabs>
        <w:spacing w:line="578" w:lineRule="exact"/>
        <w:ind w:right="1120" w:firstLine="640" w:firstLineChars="200"/>
        <w:rPr>
          <w:rFonts w:eastAsia="方正仿宋_GBK"/>
          <w:color w:val="000000"/>
          <w:sz w:val="32"/>
          <w:szCs w:val="32"/>
        </w:rPr>
      </w:pPr>
      <w:r>
        <w:rPr>
          <w:rFonts w:eastAsia="方正仿宋_GBK"/>
          <w:color w:val="000000"/>
          <w:sz w:val="32"/>
          <w:szCs w:val="32"/>
        </w:rPr>
        <w:t>1.专项</w:t>
      </w:r>
      <w:r>
        <w:rPr>
          <w:rFonts w:hint="eastAsia" w:eastAsia="方正仿宋_GBK"/>
          <w:color w:val="000000"/>
          <w:sz w:val="32"/>
          <w:szCs w:val="32"/>
          <w:lang w:val="en-US" w:eastAsia="zh-CN"/>
        </w:rPr>
        <w:t>预算的</w:t>
      </w:r>
      <w:r>
        <w:rPr>
          <w:rFonts w:eastAsia="方正仿宋_GBK"/>
          <w:color w:val="000000"/>
          <w:sz w:val="32"/>
          <w:szCs w:val="32"/>
        </w:rPr>
        <w:t>绩效</w:t>
      </w:r>
      <w:r>
        <w:rPr>
          <w:rFonts w:hint="eastAsia" w:eastAsia="方正仿宋_GBK"/>
          <w:color w:val="000000"/>
          <w:sz w:val="32"/>
          <w:szCs w:val="32"/>
          <w:lang w:val="en-US" w:eastAsia="zh-CN"/>
        </w:rPr>
        <w:t>评价</w:t>
      </w:r>
      <w:r>
        <w:rPr>
          <w:rFonts w:eastAsia="方正仿宋_GBK"/>
          <w:color w:val="000000"/>
          <w:sz w:val="32"/>
          <w:szCs w:val="32"/>
        </w:rPr>
        <w:t>情况</w:t>
      </w:r>
    </w:p>
    <w:p>
      <w:pPr>
        <w:spacing w:line="578" w:lineRule="exact"/>
        <w:ind w:firstLine="640" w:firstLineChars="200"/>
        <w:rPr>
          <w:rFonts w:eastAsia="方正仿宋_GBK"/>
          <w:bCs/>
          <w:kern w:val="0"/>
          <w:sz w:val="32"/>
          <w:szCs w:val="32"/>
        </w:rPr>
      </w:pPr>
      <w:r>
        <w:rPr>
          <w:rFonts w:eastAsia="方正仿宋_GBK"/>
          <w:bCs/>
          <w:kern w:val="0"/>
          <w:sz w:val="32"/>
          <w:szCs w:val="32"/>
        </w:rPr>
        <w:t>2022年度共有</w:t>
      </w:r>
      <w:r>
        <w:rPr>
          <w:rFonts w:hint="eastAsia" w:eastAsia="方正仿宋_GBK"/>
          <w:bCs/>
          <w:kern w:val="0"/>
          <w:sz w:val="32"/>
          <w:szCs w:val="32"/>
        </w:rPr>
        <w:t>1个年初预算</w:t>
      </w:r>
      <w:r>
        <w:rPr>
          <w:rFonts w:eastAsia="方正仿宋_GBK"/>
          <w:bCs/>
          <w:kern w:val="0"/>
          <w:sz w:val="32"/>
          <w:szCs w:val="32"/>
        </w:rPr>
        <w:t>项目，</w:t>
      </w:r>
      <w:r>
        <w:rPr>
          <w:rFonts w:hint="eastAsia" w:eastAsia="方正仿宋_GBK"/>
          <w:bCs/>
          <w:kern w:val="0"/>
          <w:sz w:val="32"/>
          <w:szCs w:val="32"/>
        </w:rPr>
        <w:t>1个追加项目，</w:t>
      </w:r>
      <w:r>
        <w:rPr>
          <w:rFonts w:eastAsia="方正仿宋_GBK"/>
          <w:bCs/>
          <w:kern w:val="0"/>
          <w:sz w:val="32"/>
          <w:szCs w:val="32"/>
        </w:rPr>
        <w:t>主要专项绩效预算情况为：</w:t>
      </w:r>
    </w:p>
    <w:p>
      <w:pPr>
        <w:spacing w:line="578" w:lineRule="exact"/>
        <w:ind w:firstLine="640" w:firstLineChars="200"/>
      </w:pPr>
      <w:r>
        <w:rPr>
          <w:rFonts w:hint="eastAsia" w:eastAsia="方正仿宋_GBK"/>
          <w:bCs/>
          <w:kern w:val="0"/>
          <w:sz w:val="32"/>
          <w:szCs w:val="32"/>
        </w:rPr>
        <w:t>（1）</w:t>
      </w:r>
      <w:r>
        <w:rPr>
          <w:rFonts w:eastAsia="方正仿宋_GBK"/>
          <w:bCs/>
          <w:kern w:val="0"/>
          <w:sz w:val="32"/>
          <w:szCs w:val="32"/>
        </w:rPr>
        <w:t>购买安保服务专项项目6.00万元，全年目标为2022年内计划发放学校物业管理服务费6.00万元，目的是维护学校正常教育教学秩序，保障学校及师生的人身、财产安全。2022年实际完成6.00万元工作任务，已完成100%；</w:t>
      </w:r>
    </w:p>
    <w:p>
      <w:pPr>
        <w:spacing w:line="578" w:lineRule="exact"/>
        <w:ind w:firstLine="640" w:firstLineChars="200"/>
      </w:pPr>
      <w:r>
        <w:rPr>
          <w:rFonts w:hint="eastAsia" w:eastAsia="方正仿宋_GBK"/>
          <w:bCs/>
          <w:kern w:val="0"/>
          <w:sz w:val="32"/>
          <w:szCs w:val="32"/>
        </w:rPr>
        <w:t>（2）幼儿经费专项</w:t>
      </w:r>
      <w:r>
        <w:rPr>
          <w:rFonts w:eastAsia="方正仿宋_GBK"/>
          <w:bCs/>
          <w:kern w:val="0"/>
          <w:sz w:val="32"/>
          <w:szCs w:val="32"/>
        </w:rPr>
        <w:t>项目</w:t>
      </w:r>
      <w:r>
        <w:rPr>
          <w:rFonts w:hint="eastAsia" w:eastAsia="方正仿宋_GBK"/>
          <w:bCs/>
          <w:kern w:val="0"/>
          <w:sz w:val="32"/>
          <w:szCs w:val="32"/>
        </w:rPr>
        <w:t>302.31</w:t>
      </w:r>
      <w:r>
        <w:rPr>
          <w:rFonts w:eastAsia="方正仿宋_GBK"/>
          <w:bCs/>
          <w:kern w:val="0"/>
          <w:sz w:val="32"/>
          <w:szCs w:val="32"/>
        </w:rPr>
        <w:t>万元，全年目标为2022年内计划发放</w:t>
      </w:r>
      <w:r>
        <w:rPr>
          <w:rFonts w:hint="eastAsia" w:eastAsia="方正仿宋_GBK"/>
          <w:bCs/>
          <w:kern w:val="0"/>
          <w:sz w:val="32"/>
          <w:szCs w:val="32"/>
        </w:rPr>
        <w:t>幼儿经</w:t>
      </w:r>
      <w:r>
        <w:rPr>
          <w:rFonts w:eastAsia="方正仿宋_GBK"/>
          <w:bCs/>
          <w:kern w:val="0"/>
          <w:sz w:val="32"/>
          <w:szCs w:val="32"/>
        </w:rPr>
        <w:t>费</w:t>
      </w:r>
      <w:r>
        <w:rPr>
          <w:rFonts w:hint="eastAsia" w:eastAsia="方正仿宋_GBK"/>
          <w:bCs/>
          <w:kern w:val="0"/>
          <w:sz w:val="32"/>
          <w:szCs w:val="32"/>
        </w:rPr>
        <w:t>302.31</w:t>
      </w:r>
      <w:r>
        <w:rPr>
          <w:rFonts w:eastAsia="方正仿宋_GBK"/>
          <w:bCs/>
          <w:kern w:val="0"/>
          <w:sz w:val="32"/>
          <w:szCs w:val="32"/>
        </w:rPr>
        <w:t>万元，目的是</w:t>
      </w:r>
      <w:r>
        <w:rPr>
          <w:rFonts w:hint="eastAsia" w:ascii="方正仿宋_GBK" w:hAnsi="方正仿宋_GBK" w:eastAsia="方正仿宋_GBK" w:cs="方正仿宋_GBK"/>
          <w:sz w:val="32"/>
          <w:szCs w:val="32"/>
        </w:rPr>
        <w:t>维持幼儿园保育教育和日常办公正常开展，保障临聘教职工工资待遇</w:t>
      </w:r>
      <w:r>
        <w:rPr>
          <w:rFonts w:eastAsia="方正仿宋_GBK"/>
          <w:bCs/>
          <w:kern w:val="0"/>
          <w:sz w:val="32"/>
          <w:szCs w:val="32"/>
        </w:rPr>
        <w:t>。2022年实际完成</w:t>
      </w:r>
      <w:r>
        <w:rPr>
          <w:rFonts w:hint="eastAsia" w:eastAsia="方正仿宋_GBK"/>
          <w:bCs/>
          <w:kern w:val="0"/>
          <w:sz w:val="32"/>
          <w:szCs w:val="32"/>
        </w:rPr>
        <w:t>302.31</w:t>
      </w:r>
      <w:r>
        <w:rPr>
          <w:rFonts w:eastAsia="方正仿宋_GBK"/>
          <w:bCs/>
          <w:kern w:val="0"/>
          <w:sz w:val="32"/>
          <w:szCs w:val="32"/>
        </w:rPr>
        <w:t>万元工作任务，已完成100%；</w:t>
      </w:r>
    </w:p>
    <w:p>
      <w:pPr>
        <w:spacing w:line="578" w:lineRule="exact"/>
        <w:ind w:firstLine="640" w:firstLineChars="200"/>
        <w:rPr>
          <w:rFonts w:eastAsia="方正仿宋_GBK"/>
          <w:bCs/>
          <w:kern w:val="0"/>
          <w:sz w:val="32"/>
          <w:szCs w:val="32"/>
        </w:rPr>
      </w:pPr>
      <w:r>
        <w:rPr>
          <w:rFonts w:eastAsia="方正仿宋_GBK"/>
          <w:bCs/>
          <w:kern w:val="0"/>
          <w:sz w:val="32"/>
          <w:szCs w:val="32"/>
        </w:rPr>
        <w:t>2.专项绩效的执行情况</w:t>
      </w:r>
    </w:p>
    <w:p>
      <w:pPr>
        <w:spacing w:line="578" w:lineRule="exact"/>
        <w:ind w:firstLine="640" w:firstLineChars="200"/>
        <w:rPr>
          <w:rFonts w:eastAsia="方正仿宋_GBK"/>
          <w:bCs/>
          <w:kern w:val="0"/>
          <w:sz w:val="32"/>
          <w:szCs w:val="32"/>
        </w:rPr>
      </w:pPr>
      <w:r>
        <w:rPr>
          <w:rFonts w:eastAsia="方正仿宋_GBK"/>
          <w:bCs/>
          <w:kern w:val="0"/>
          <w:sz w:val="32"/>
          <w:szCs w:val="32"/>
        </w:rPr>
        <w:t>绩效目标</w:t>
      </w:r>
      <w:r>
        <w:rPr>
          <w:rFonts w:hint="eastAsia" w:eastAsia="方正仿宋_GBK"/>
          <w:bCs/>
          <w:kern w:val="0"/>
          <w:sz w:val="32"/>
          <w:szCs w:val="32"/>
        </w:rPr>
        <w:t>年初预算</w:t>
      </w:r>
      <w:r>
        <w:rPr>
          <w:rFonts w:eastAsia="方正仿宋_GBK"/>
          <w:bCs/>
          <w:kern w:val="0"/>
          <w:sz w:val="32"/>
          <w:szCs w:val="32"/>
        </w:rPr>
        <w:t>项目</w:t>
      </w:r>
      <w:r>
        <w:rPr>
          <w:rFonts w:hint="eastAsia" w:eastAsia="方正仿宋_GBK"/>
          <w:bCs/>
          <w:kern w:val="0"/>
          <w:sz w:val="32"/>
          <w:szCs w:val="32"/>
          <w:lang w:val="en-US" w:eastAsia="zh-CN"/>
        </w:rPr>
        <w:t>数</w:t>
      </w:r>
      <w:r>
        <w:rPr>
          <w:rFonts w:hint="eastAsia" w:eastAsia="方正仿宋_GBK"/>
          <w:bCs/>
          <w:kern w:val="0"/>
          <w:sz w:val="32"/>
          <w:szCs w:val="32"/>
        </w:rPr>
        <w:t>1</w:t>
      </w:r>
      <w:r>
        <w:rPr>
          <w:rFonts w:eastAsia="方正仿宋_GBK"/>
          <w:bCs/>
          <w:kern w:val="0"/>
          <w:sz w:val="32"/>
          <w:szCs w:val="32"/>
        </w:rPr>
        <w:t>个，</w:t>
      </w:r>
      <w:r>
        <w:rPr>
          <w:rFonts w:hint="eastAsia" w:eastAsia="方正仿宋_GBK"/>
          <w:bCs/>
          <w:kern w:val="0"/>
          <w:sz w:val="32"/>
          <w:szCs w:val="32"/>
        </w:rPr>
        <w:t>追加项目</w:t>
      </w:r>
      <w:r>
        <w:rPr>
          <w:rFonts w:hint="eastAsia" w:eastAsia="方正仿宋_GBK"/>
          <w:bCs/>
          <w:kern w:val="0"/>
          <w:sz w:val="32"/>
          <w:szCs w:val="32"/>
          <w:lang w:val="en-US" w:eastAsia="zh-CN"/>
        </w:rPr>
        <w:t>数</w:t>
      </w:r>
      <w:r>
        <w:rPr>
          <w:rFonts w:hint="eastAsia" w:eastAsia="方正仿宋_GBK"/>
          <w:bCs/>
          <w:kern w:val="0"/>
          <w:sz w:val="32"/>
          <w:szCs w:val="32"/>
        </w:rPr>
        <w:t>1个，</w:t>
      </w:r>
      <w:r>
        <w:rPr>
          <w:rFonts w:eastAsia="方正仿宋_GBK"/>
          <w:bCs/>
          <w:kern w:val="0"/>
          <w:sz w:val="32"/>
          <w:szCs w:val="32"/>
        </w:rPr>
        <w:t>开展绩效评价项目</w:t>
      </w:r>
      <w:r>
        <w:rPr>
          <w:rFonts w:hint="eastAsia" w:eastAsia="方正仿宋_GBK"/>
          <w:bCs/>
          <w:kern w:val="0"/>
          <w:sz w:val="32"/>
          <w:szCs w:val="32"/>
          <w:lang w:val="en-US" w:eastAsia="zh-CN"/>
        </w:rPr>
        <w:t>数</w:t>
      </w:r>
      <w:r>
        <w:rPr>
          <w:rFonts w:hint="eastAsia" w:eastAsia="方正仿宋_GBK"/>
          <w:bCs/>
          <w:kern w:val="0"/>
          <w:sz w:val="32"/>
          <w:szCs w:val="32"/>
        </w:rPr>
        <w:t>2</w:t>
      </w:r>
      <w:r>
        <w:rPr>
          <w:rFonts w:eastAsia="方正仿宋_GBK"/>
          <w:bCs/>
          <w:kern w:val="0"/>
          <w:sz w:val="32"/>
          <w:szCs w:val="32"/>
        </w:rPr>
        <w:t>个，开展自评项目数</w:t>
      </w:r>
      <w:r>
        <w:rPr>
          <w:rFonts w:hint="eastAsia" w:eastAsia="方正仿宋_GBK"/>
          <w:bCs/>
          <w:kern w:val="0"/>
          <w:sz w:val="32"/>
          <w:szCs w:val="32"/>
        </w:rPr>
        <w:t>2</w:t>
      </w:r>
      <w:r>
        <w:rPr>
          <w:rFonts w:eastAsia="方正仿宋_GBK"/>
          <w:bCs/>
          <w:kern w:val="0"/>
          <w:sz w:val="32"/>
          <w:szCs w:val="32"/>
        </w:rPr>
        <w:t>个，完成绩效评价</w:t>
      </w:r>
      <w:r>
        <w:rPr>
          <w:rFonts w:hint="eastAsia" w:eastAsia="方正仿宋_GBK"/>
          <w:bCs/>
          <w:kern w:val="0"/>
          <w:sz w:val="32"/>
          <w:szCs w:val="32"/>
          <w:lang w:val="en-US" w:eastAsia="zh-CN"/>
        </w:rPr>
        <w:t>项目</w:t>
      </w:r>
      <w:r>
        <w:rPr>
          <w:rFonts w:hint="eastAsia" w:eastAsia="方正仿宋_GBK"/>
          <w:bCs/>
          <w:kern w:val="0"/>
          <w:sz w:val="32"/>
          <w:szCs w:val="32"/>
        </w:rPr>
        <w:t>2</w:t>
      </w:r>
      <w:r>
        <w:rPr>
          <w:rFonts w:eastAsia="方正仿宋_GBK"/>
          <w:bCs/>
          <w:kern w:val="0"/>
          <w:sz w:val="32"/>
          <w:szCs w:val="32"/>
        </w:rPr>
        <w:t>个；应填报绩效目标的项目数</w:t>
      </w:r>
      <w:r>
        <w:rPr>
          <w:rFonts w:hint="eastAsia" w:eastAsia="方正仿宋_GBK"/>
          <w:bCs/>
          <w:kern w:val="0"/>
          <w:sz w:val="32"/>
          <w:szCs w:val="32"/>
        </w:rPr>
        <w:t>2</w:t>
      </w:r>
      <w:r>
        <w:rPr>
          <w:rFonts w:eastAsia="方正仿宋_GBK"/>
          <w:bCs/>
          <w:kern w:val="0"/>
          <w:sz w:val="32"/>
          <w:szCs w:val="32"/>
        </w:rPr>
        <w:t>个</w:t>
      </w:r>
      <w:r>
        <w:rPr>
          <w:rFonts w:hint="eastAsia" w:eastAsia="方正仿宋_GBK"/>
          <w:bCs/>
          <w:kern w:val="0"/>
          <w:sz w:val="32"/>
          <w:szCs w:val="32"/>
        </w:rPr>
        <w:t>，</w:t>
      </w:r>
      <w:r>
        <w:rPr>
          <w:rFonts w:eastAsia="方正仿宋_GBK"/>
          <w:bCs/>
          <w:kern w:val="0"/>
          <w:sz w:val="32"/>
          <w:szCs w:val="32"/>
        </w:rPr>
        <w:t>应开展绩效监控的项目0个和应开展绩效自评项目</w:t>
      </w:r>
      <w:r>
        <w:rPr>
          <w:rFonts w:hint="eastAsia" w:eastAsia="方正仿宋_GBK"/>
          <w:bCs/>
          <w:kern w:val="0"/>
          <w:sz w:val="32"/>
          <w:szCs w:val="32"/>
        </w:rPr>
        <w:t>2</w:t>
      </w:r>
      <w:r>
        <w:rPr>
          <w:rFonts w:eastAsia="方正仿宋_GBK"/>
          <w:bCs/>
          <w:kern w:val="0"/>
          <w:sz w:val="32"/>
          <w:szCs w:val="32"/>
        </w:rPr>
        <w:t>个，应完成绩效工作数为</w:t>
      </w:r>
      <w:r>
        <w:rPr>
          <w:rFonts w:hint="eastAsia" w:eastAsia="方正仿宋_GBK"/>
          <w:bCs/>
          <w:kern w:val="0"/>
          <w:sz w:val="32"/>
          <w:szCs w:val="32"/>
        </w:rPr>
        <w:t>2</w:t>
      </w:r>
      <w:r>
        <w:rPr>
          <w:rFonts w:eastAsia="方正仿宋_GBK"/>
          <w:bCs/>
          <w:kern w:val="0"/>
          <w:sz w:val="32"/>
          <w:szCs w:val="32"/>
        </w:rPr>
        <w:t>个。项目执行</w:t>
      </w:r>
      <w:r>
        <w:rPr>
          <w:rFonts w:hint="eastAsia" w:eastAsia="方正仿宋_GBK"/>
          <w:bCs/>
          <w:kern w:val="0"/>
          <w:sz w:val="32"/>
          <w:szCs w:val="32"/>
          <w:lang w:val="en-US" w:eastAsia="zh-CN"/>
        </w:rPr>
        <w:t>率</w:t>
      </w:r>
      <w:r>
        <w:rPr>
          <w:rFonts w:eastAsia="方正仿宋_GBK"/>
          <w:bCs/>
          <w:kern w:val="0"/>
          <w:sz w:val="32"/>
          <w:szCs w:val="32"/>
        </w:rPr>
        <w:t>达100%以上的项目</w:t>
      </w:r>
      <w:r>
        <w:rPr>
          <w:rFonts w:hint="eastAsia" w:eastAsia="方正仿宋_GBK"/>
          <w:bCs/>
          <w:kern w:val="0"/>
          <w:sz w:val="32"/>
          <w:szCs w:val="32"/>
        </w:rPr>
        <w:t>2</w:t>
      </w:r>
      <w:r>
        <w:rPr>
          <w:rFonts w:eastAsia="方正仿宋_GBK"/>
          <w:bCs/>
          <w:kern w:val="0"/>
          <w:sz w:val="32"/>
          <w:szCs w:val="32"/>
        </w:rPr>
        <w:t>项，项目综合完成率为100%。</w:t>
      </w:r>
    </w:p>
    <w:p>
      <w:pPr>
        <w:spacing w:line="578" w:lineRule="exact"/>
        <w:ind w:firstLine="640" w:firstLineChars="200"/>
        <w:rPr>
          <w:rFonts w:eastAsia="方正仿宋_GBK"/>
          <w:bCs/>
          <w:kern w:val="0"/>
          <w:sz w:val="32"/>
          <w:szCs w:val="32"/>
        </w:rPr>
      </w:pPr>
      <w:r>
        <w:rPr>
          <w:rFonts w:eastAsia="方正仿宋_GBK"/>
          <w:bCs/>
          <w:kern w:val="0"/>
          <w:sz w:val="32"/>
          <w:szCs w:val="32"/>
        </w:rPr>
        <w:t>专项预算管理分值为40分，自评得分为40分。</w:t>
      </w:r>
    </w:p>
    <w:p>
      <w:pPr>
        <w:widowControl/>
        <w:adjustRightInd w:val="0"/>
        <w:snapToGrid w:val="0"/>
        <w:spacing w:line="578" w:lineRule="exact"/>
        <w:ind w:firstLine="640" w:firstLineChars="200"/>
        <w:contextualSpacing/>
        <w:jc w:val="left"/>
        <w:rPr>
          <w:rFonts w:hint="eastAsia" w:ascii="方正黑体_GBK" w:hAnsi="方正楷体_GBK" w:eastAsia="方正黑体_GBK" w:cs="方正楷体_GBK"/>
          <w:kern w:val="0"/>
          <w:sz w:val="32"/>
          <w:szCs w:val="32"/>
          <w:shd w:val="clear" w:color="auto" w:fill="FFFFFF"/>
          <w:lang w:val="zh-CN"/>
        </w:rPr>
      </w:pPr>
      <w:r>
        <w:rPr>
          <w:rFonts w:hint="eastAsia" w:ascii="方正黑体_GBK" w:hAnsi="方正楷体_GBK" w:eastAsia="方正黑体_GBK" w:cs="方正楷体_GBK"/>
          <w:kern w:val="0"/>
          <w:sz w:val="32"/>
          <w:szCs w:val="32"/>
          <w:shd w:val="clear" w:color="auto" w:fill="FFFFFF"/>
        </w:rPr>
        <w:t>五、</w:t>
      </w:r>
      <w:r>
        <w:rPr>
          <w:rFonts w:hint="eastAsia" w:ascii="方正黑体_GBK" w:hAnsi="方正楷体_GBK" w:eastAsia="方正黑体_GBK" w:cs="方正楷体_GBK"/>
          <w:kern w:val="0"/>
          <w:sz w:val="32"/>
          <w:szCs w:val="32"/>
          <w:shd w:val="clear" w:color="auto" w:fill="FFFFFF"/>
          <w:lang w:val="en-US" w:eastAsia="zh-CN"/>
        </w:rPr>
        <w:t>绩效</w:t>
      </w:r>
      <w:r>
        <w:rPr>
          <w:rFonts w:hint="eastAsia" w:ascii="方正黑体_GBK" w:hAnsi="方正楷体_GBK" w:eastAsia="方正黑体_GBK" w:cs="方正楷体_GBK"/>
          <w:kern w:val="0"/>
          <w:sz w:val="32"/>
          <w:szCs w:val="32"/>
          <w:shd w:val="clear" w:color="auto" w:fill="FFFFFF"/>
          <w:lang w:val="zh-CN"/>
        </w:rPr>
        <w:t>结果</w:t>
      </w:r>
      <w:r>
        <w:rPr>
          <w:rFonts w:hint="eastAsia" w:ascii="方正黑体_GBK" w:hAnsi="方正楷体_GBK" w:eastAsia="方正黑体_GBK" w:cs="方正楷体_GBK"/>
          <w:kern w:val="0"/>
          <w:sz w:val="32"/>
          <w:szCs w:val="32"/>
          <w:shd w:val="clear" w:color="auto" w:fill="FFFFFF"/>
          <w:lang w:val="en-US" w:eastAsia="zh-CN"/>
        </w:rPr>
        <w:t>的</w:t>
      </w:r>
      <w:r>
        <w:rPr>
          <w:rFonts w:hint="eastAsia" w:ascii="方正黑体_GBK" w:hAnsi="方正楷体_GBK" w:eastAsia="方正黑体_GBK" w:cs="方正楷体_GBK"/>
          <w:kern w:val="0"/>
          <w:sz w:val="32"/>
          <w:szCs w:val="32"/>
          <w:shd w:val="clear" w:color="auto" w:fill="FFFFFF"/>
        </w:rPr>
        <w:t>运</w:t>
      </w:r>
      <w:r>
        <w:rPr>
          <w:rFonts w:hint="eastAsia" w:ascii="方正黑体_GBK" w:hAnsi="方正楷体_GBK" w:eastAsia="方正黑体_GBK" w:cs="方正楷体_GBK"/>
          <w:kern w:val="0"/>
          <w:sz w:val="32"/>
          <w:szCs w:val="32"/>
          <w:shd w:val="clear" w:color="auto" w:fill="FFFFFF"/>
          <w:lang w:val="zh-CN"/>
        </w:rPr>
        <w:t>用情况</w:t>
      </w:r>
    </w:p>
    <w:p>
      <w:pPr>
        <w:widowControl/>
        <w:adjustRightInd w:val="0"/>
        <w:snapToGrid w:val="0"/>
        <w:spacing w:line="578" w:lineRule="exact"/>
        <w:ind w:firstLine="640" w:firstLineChars="200"/>
        <w:contextualSpacing/>
        <w:jc w:val="left"/>
        <w:rPr>
          <w:rFonts w:eastAsia="方正仿宋_GBK"/>
          <w:kern w:val="0"/>
          <w:sz w:val="32"/>
          <w:szCs w:val="32"/>
          <w:shd w:val="clear" w:color="auto" w:fill="FFFFFF"/>
          <w:lang w:val="zh-CN"/>
        </w:rPr>
      </w:pPr>
      <w:r>
        <w:rPr>
          <w:rFonts w:eastAsia="方正仿宋_GBK"/>
          <w:kern w:val="0"/>
          <w:sz w:val="32"/>
          <w:szCs w:val="32"/>
          <w:shd w:val="clear" w:color="auto" w:fill="FFFFFF"/>
          <w:lang w:val="zh-CN"/>
        </w:rPr>
        <w:t>1.在“预算挂钩”方面，我</w:t>
      </w:r>
      <w:r>
        <w:rPr>
          <w:rFonts w:eastAsia="方正仿宋_GBK"/>
          <w:kern w:val="0"/>
          <w:sz w:val="32"/>
          <w:szCs w:val="32"/>
          <w:shd w:val="clear" w:color="auto" w:fill="FFFFFF"/>
        </w:rPr>
        <w:t>单位</w:t>
      </w:r>
      <w:r>
        <w:rPr>
          <w:rFonts w:eastAsia="方正仿宋_GBK"/>
          <w:kern w:val="0"/>
          <w:sz w:val="32"/>
          <w:szCs w:val="32"/>
          <w:shd w:val="clear" w:color="auto" w:fill="FFFFFF"/>
          <w:lang w:val="zh-CN"/>
        </w:rPr>
        <w:t>已出台全面实施预算绩效管理工作方案，细化考核内容，加强各业务</w:t>
      </w:r>
      <w:r>
        <w:rPr>
          <w:rFonts w:eastAsia="方正仿宋_GBK"/>
          <w:kern w:val="0"/>
          <w:sz w:val="32"/>
          <w:szCs w:val="32"/>
          <w:shd w:val="clear" w:color="auto" w:fill="FFFFFF"/>
        </w:rPr>
        <w:t>股</w:t>
      </w:r>
      <w:r>
        <w:rPr>
          <w:rFonts w:eastAsia="方正仿宋_GBK"/>
          <w:kern w:val="0"/>
          <w:sz w:val="32"/>
          <w:szCs w:val="32"/>
          <w:shd w:val="clear" w:color="auto" w:fill="FFFFFF"/>
          <w:lang w:val="zh-CN"/>
        </w:rPr>
        <w:t>室与绩效管理工作的联系，明确考核及绩效结果与专项预算安排挂钩举措，推动绩效管理工作更好的实施。该项指标分值为4分，自评得分</w:t>
      </w:r>
      <w:r>
        <w:rPr>
          <w:rFonts w:eastAsia="方正仿宋_GBK"/>
          <w:kern w:val="0"/>
          <w:sz w:val="32"/>
          <w:szCs w:val="32"/>
          <w:shd w:val="clear" w:color="auto" w:fill="FFFFFF"/>
        </w:rPr>
        <w:t>4</w:t>
      </w:r>
      <w:r>
        <w:rPr>
          <w:rFonts w:eastAsia="方正仿宋_GBK"/>
          <w:kern w:val="0"/>
          <w:sz w:val="32"/>
          <w:szCs w:val="32"/>
          <w:shd w:val="clear" w:color="auto" w:fill="FFFFFF"/>
          <w:lang w:val="zh-CN"/>
        </w:rPr>
        <w:t>分。</w:t>
      </w:r>
    </w:p>
    <w:p>
      <w:pPr>
        <w:widowControl/>
        <w:adjustRightInd w:val="0"/>
        <w:snapToGrid w:val="0"/>
        <w:spacing w:line="578" w:lineRule="exact"/>
        <w:ind w:firstLine="640" w:firstLineChars="200"/>
        <w:contextualSpacing/>
        <w:jc w:val="left"/>
        <w:rPr>
          <w:rFonts w:eastAsia="方正仿宋_GBK"/>
          <w:kern w:val="0"/>
          <w:sz w:val="32"/>
          <w:szCs w:val="32"/>
          <w:shd w:val="clear" w:color="auto" w:fill="FFFFFF"/>
          <w:lang w:val="zh-CN"/>
        </w:rPr>
      </w:pPr>
      <w:r>
        <w:rPr>
          <w:rFonts w:eastAsia="方正仿宋_GBK"/>
          <w:kern w:val="0"/>
          <w:sz w:val="32"/>
          <w:szCs w:val="32"/>
          <w:shd w:val="clear" w:color="auto" w:fill="FFFFFF"/>
          <w:lang w:val="zh-CN"/>
        </w:rPr>
        <w:t>2.在“自评公开”方面，我</w:t>
      </w:r>
      <w:r>
        <w:rPr>
          <w:rFonts w:eastAsia="方正仿宋_GBK"/>
          <w:kern w:val="0"/>
          <w:sz w:val="32"/>
          <w:szCs w:val="32"/>
          <w:shd w:val="clear" w:color="auto" w:fill="FFFFFF"/>
        </w:rPr>
        <w:t>单位</w:t>
      </w:r>
      <w:r>
        <w:rPr>
          <w:rFonts w:eastAsia="方正仿宋_GBK"/>
          <w:kern w:val="0"/>
          <w:sz w:val="32"/>
          <w:szCs w:val="32"/>
          <w:shd w:val="clear" w:color="auto" w:fill="FFFFFF"/>
          <w:lang w:val="zh-CN"/>
        </w:rPr>
        <w:t>严格按照预决算编制要求编制绩效目标，填列绩效目标完成情况，开展绩效自评工作，并按要求将相关绩效信息随部门预算决</w:t>
      </w:r>
      <w:r>
        <w:rPr>
          <w:rFonts w:hint="eastAsia" w:eastAsia="方正仿宋_GBK"/>
          <w:kern w:val="0"/>
          <w:sz w:val="32"/>
          <w:szCs w:val="32"/>
          <w:shd w:val="clear" w:color="auto" w:fill="FFFFFF"/>
          <w:lang w:val="en-US" w:eastAsia="zh-CN"/>
        </w:rPr>
        <w:t>议</w:t>
      </w:r>
      <w:r>
        <w:rPr>
          <w:rFonts w:eastAsia="方正仿宋_GBK"/>
          <w:kern w:val="0"/>
          <w:sz w:val="32"/>
          <w:szCs w:val="32"/>
          <w:shd w:val="clear" w:color="auto" w:fill="FFFFFF"/>
          <w:lang w:val="zh-CN"/>
        </w:rPr>
        <w:t>并在厅门户网站公开。该项指标分值为2分，自评得分</w:t>
      </w:r>
      <w:r>
        <w:rPr>
          <w:rFonts w:eastAsia="方正仿宋_GBK"/>
          <w:kern w:val="0"/>
          <w:sz w:val="32"/>
          <w:szCs w:val="32"/>
          <w:shd w:val="clear" w:color="auto" w:fill="FFFFFF"/>
        </w:rPr>
        <w:t>2</w:t>
      </w:r>
      <w:r>
        <w:rPr>
          <w:rFonts w:eastAsia="方正仿宋_GBK"/>
          <w:kern w:val="0"/>
          <w:sz w:val="32"/>
          <w:szCs w:val="32"/>
          <w:shd w:val="clear" w:color="auto" w:fill="FFFFFF"/>
          <w:lang w:val="zh-CN"/>
        </w:rPr>
        <w:t>分。</w:t>
      </w:r>
    </w:p>
    <w:p>
      <w:pPr>
        <w:widowControl/>
        <w:adjustRightInd w:val="0"/>
        <w:snapToGrid w:val="0"/>
        <w:spacing w:line="578" w:lineRule="exact"/>
        <w:ind w:firstLine="640" w:firstLineChars="200"/>
        <w:contextualSpacing/>
        <w:jc w:val="left"/>
        <w:rPr>
          <w:rFonts w:eastAsia="方正仿宋_GBK"/>
          <w:kern w:val="0"/>
          <w:sz w:val="32"/>
          <w:szCs w:val="32"/>
          <w:shd w:val="clear" w:color="auto" w:fill="FFFFFF"/>
          <w:lang w:val="zh-CN"/>
        </w:rPr>
      </w:pPr>
      <w:r>
        <w:rPr>
          <w:rFonts w:eastAsia="方正仿宋_GBK"/>
          <w:kern w:val="0"/>
          <w:sz w:val="32"/>
          <w:szCs w:val="32"/>
          <w:shd w:val="clear" w:color="auto" w:fill="FFFFFF"/>
          <w:lang w:val="zh-CN"/>
        </w:rPr>
        <w:t>3.在“问题整改”方面，结合部门预算项目实际情况，</w:t>
      </w:r>
      <w:r>
        <w:rPr>
          <w:rFonts w:hint="eastAsia" w:eastAsia="方正仿宋_GBK"/>
          <w:kern w:val="0"/>
          <w:sz w:val="32"/>
          <w:szCs w:val="32"/>
          <w:shd w:val="clear" w:color="auto" w:fill="FFFFFF"/>
          <w:lang w:val="en-US" w:eastAsia="zh-CN"/>
        </w:rPr>
        <w:t>确保</w:t>
      </w:r>
      <w:r>
        <w:rPr>
          <w:rFonts w:eastAsia="方正仿宋_GBK"/>
          <w:kern w:val="0"/>
          <w:sz w:val="32"/>
          <w:szCs w:val="32"/>
          <w:shd w:val="clear" w:color="auto" w:fill="FFFFFF"/>
          <w:lang w:val="zh-CN"/>
        </w:rPr>
        <w:t>绩效目标设置要素完整</w:t>
      </w:r>
      <w:r>
        <w:rPr>
          <w:rFonts w:hint="eastAsia" w:eastAsia="方正仿宋_GBK"/>
          <w:kern w:val="0"/>
          <w:sz w:val="32"/>
          <w:szCs w:val="32"/>
          <w:shd w:val="clear" w:color="auto" w:fill="FFFFFF"/>
          <w:lang w:val="zh-CN"/>
        </w:rPr>
        <w:t>，</w:t>
      </w:r>
      <w:r>
        <w:rPr>
          <w:rFonts w:hint="eastAsia" w:eastAsia="方正仿宋_GBK"/>
          <w:kern w:val="0"/>
          <w:sz w:val="32"/>
          <w:szCs w:val="32"/>
          <w:shd w:val="clear" w:color="auto" w:fill="FFFFFF"/>
          <w:lang w:val="en-US" w:eastAsia="zh-CN"/>
        </w:rPr>
        <w:t>并</w:t>
      </w:r>
      <w:r>
        <w:rPr>
          <w:rFonts w:eastAsia="方正仿宋_GBK"/>
          <w:kern w:val="0"/>
          <w:sz w:val="32"/>
          <w:szCs w:val="32"/>
          <w:shd w:val="clear" w:color="auto" w:fill="FFFFFF"/>
          <w:lang w:val="zh-CN"/>
        </w:rPr>
        <w:t>基本做到细化量化</w:t>
      </w:r>
      <w:r>
        <w:rPr>
          <w:rFonts w:hint="eastAsia" w:eastAsia="方正仿宋_GBK"/>
          <w:kern w:val="0"/>
          <w:sz w:val="32"/>
          <w:szCs w:val="32"/>
          <w:shd w:val="clear" w:color="auto" w:fill="FFFFFF"/>
          <w:lang w:val="zh-CN"/>
        </w:rPr>
        <w:t>；</w:t>
      </w:r>
      <w:r>
        <w:rPr>
          <w:rFonts w:eastAsia="方正仿宋_GBK"/>
          <w:kern w:val="0"/>
          <w:sz w:val="32"/>
          <w:szCs w:val="32"/>
          <w:shd w:val="clear" w:color="auto" w:fill="FFFFFF"/>
          <w:lang w:val="zh-CN"/>
        </w:rPr>
        <w:t>对发现执行进度偏低的项目，要求各业务</w:t>
      </w:r>
      <w:r>
        <w:rPr>
          <w:rFonts w:eastAsia="方正仿宋_GBK"/>
          <w:kern w:val="0"/>
          <w:sz w:val="32"/>
          <w:szCs w:val="32"/>
          <w:shd w:val="clear" w:color="auto" w:fill="FFFFFF"/>
        </w:rPr>
        <w:t>股</w:t>
      </w:r>
      <w:r>
        <w:rPr>
          <w:rFonts w:eastAsia="方正仿宋_GBK"/>
          <w:kern w:val="0"/>
          <w:sz w:val="32"/>
          <w:szCs w:val="32"/>
          <w:shd w:val="clear" w:color="auto" w:fill="FFFFFF"/>
          <w:lang w:val="zh-CN"/>
        </w:rPr>
        <w:t>室加快预算执行进度</w:t>
      </w:r>
      <w:r>
        <w:rPr>
          <w:rFonts w:hint="eastAsia" w:eastAsia="方正仿宋_GBK"/>
          <w:kern w:val="0"/>
          <w:sz w:val="32"/>
          <w:szCs w:val="32"/>
          <w:shd w:val="clear" w:color="auto" w:fill="FFFFFF"/>
          <w:lang w:val="zh-CN"/>
        </w:rPr>
        <w:t>；</w:t>
      </w:r>
      <w:r>
        <w:rPr>
          <w:rFonts w:eastAsia="方正仿宋_GBK"/>
          <w:kern w:val="0"/>
          <w:sz w:val="32"/>
          <w:szCs w:val="32"/>
          <w:shd w:val="clear" w:color="auto" w:fill="FFFFFF"/>
          <w:lang w:val="zh-CN"/>
        </w:rPr>
        <w:t>针对我</w:t>
      </w:r>
      <w:r>
        <w:rPr>
          <w:rFonts w:eastAsia="方正仿宋_GBK"/>
          <w:kern w:val="0"/>
          <w:sz w:val="32"/>
          <w:szCs w:val="32"/>
          <w:shd w:val="clear" w:color="auto" w:fill="FFFFFF"/>
        </w:rPr>
        <w:t>单位</w:t>
      </w:r>
      <w:r>
        <w:rPr>
          <w:rFonts w:eastAsia="方正仿宋_GBK"/>
          <w:kern w:val="0"/>
          <w:sz w:val="32"/>
          <w:szCs w:val="32"/>
          <w:shd w:val="clear" w:color="auto" w:fill="FFFFFF"/>
          <w:lang w:val="zh-CN"/>
        </w:rPr>
        <w:t>原内部考核办法</w:t>
      </w:r>
      <w:r>
        <w:rPr>
          <w:rFonts w:hint="eastAsia" w:eastAsia="方正仿宋_GBK"/>
          <w:kern w:val="0"/>
          <w:sz w:val="32"/>
          <w:szCs w:val="32"/>
          <w:shd w:val="clear" w:color="auto" w:fill="FFFFFF"/>
          <w:lang w:val="en-US" w:eastAsia="zh-CN"/>
        </w:rPr>
        <w:t>中</w:t>
      </w:r>
      <w:r>
        <w:rPr>
          <w:rFonts w:eastAsia="方正仿宋_GBK"/>
          <w:kern w:val="0"/>
          <w:sz w:val="32"/>
          <w:szCs w:val="32"/>
          <w:shd w:val="clear" w:color="auto" w:fill="FFFFFF"/>
          <w:lang w:val="zh-CN"/>
        </w:rPr>
        <w:t>有关预算绩效考核的内容不够完善且难以量化考核的情况，及时完善了相关考核办法，细化</w:t>
      </w:r>
      <w:r>
        <w:rPr>
          <w:rFonts w:hint="eastAsia" w:eastAsia="方正仿宋_GBK"/>
          <w:kern w:val="0"/>
          <w:sz w:val="32"/>
          <w:szCs w:val="32"/>
          <w:shd w:val="clear" w:color="auto" w:fill="FFFFFF"/>
          <w:lang w:val="en-US" w:eastAsia="zh-CN"/>
        </w:rPr>
        <w:t>了</w:t>
      </w:r>
      <w:r>
        <w:rPr>
          <w:rFonts w:eastAsia="方正仿宋_GBK"/>
          <w:kern w:val="0"/>
          <w:sz w:val="32"/>
          <w:szCs w:val="32"/>
          <w:shd w:val="clear" w:color="auto" w:fill="FFFFFF"/>
          <w:lang w:val="zh-CN"/>
        </w:rPr>
        <w:t>考核指标。该项指标分值为2分，自评得分</w:t>
      </w:r>
      <w:r>
        <w:rPr>
          <w:rFonts w:eastAsia="方正仿宋_GBK"/>
          <w:kern w:val="0"/>
          <w:sz w:val="32"/>
          <w:szCs w:val="32"/>
          <w:shd w:val="clear" w:color="auto" w:fill="FFFFFF"/>
        </w:rPr>
        <w:t>2</w:t>
      </w:r>
      <w:r>
        <w:rPr>
          <w:rFonts w:eastAsia="方正仿宋_GBK"/>
          <w:kern w:val="0"/>
          <w:sz w:val="32"/>
          <w:szCs w:val="32"/>
          <w:shd w:val="clear" w:color="auto" w:fill="FFFFFF"/>
          <w:lang w:val="zh-CN"/>
        </w:rPr>
        <w:t>分。</w:t>
      </w:r>
    </w:p>
    <w:p>
      <w:pPr>
        <w:widowControl/>
        <w:adjustRightInd w:val="0"/>
        <w:snapToGrid w:val="0"/>
        <w:spacing w:line="578" w:lineRule="exact"/>
        <w:ind w:firstLine="640" w:firstLineChars="200"/>
        <w:contextualSpacing/>
        <w:jc w:val="left"/>
        <w:rPr>
          <w:rFonts w:eastAsia="方正仿宋_GBK"/>
          <w:kern w:val="0"/>
          <w:sz w:val="32"/>
          <w:szCs w:val="32"/>
          <w:shd w:val="clear" w:color="auto" w:fill="FFFFFF"/>
          <w:lang w:val="zh-CN"/>
        </w:rPr>
      </w:pPr>
      <w:r>
        <w:rPr>
          <w:rFonts w:eastAsia="方正仿宋_GBK"/>
          <w:kern w:val="0"/>
          <w:sz w:val="32"/>
          <w:szCs w:val="32"/>
          <w:shd w:val="clear" w:color="auto" w:fill="FFFFFF"/>
          <w:lang w:val="zh-CN"/>
        </w:rPr>
        <w:t>4.在应用</w:t>
      </w:r>
      <w:r>
        <w:rPr>
          <w:rFonts w:hint="eastAsia" w:eastAsia="方正仿宋_GBK"/>
          <w:kern w:val="0"/>
          <w:sz w:val="32"/>
          <w:szCs w:val="32"/>
          <w:shd w:val="clear" w:color="auto" w:fill="FFFFFF"/>
          <w:lang w:val="en-US" w:eastAsia="zh-CN"/>
        </w:rPr>
        <w:t>绩效</w:t>
      </w:r>
      <w:r>
        <w:rPr>
          <w:rFonts w:eastAsia="方正仿宋_GBK"/>
          <w:kern w:val="0"/>
          <w:sz w:val="32"/>
          <w:szCs w:val="32"/>
          <w:shd w:val="clear" w:color="auto" w:fill="FFFFFF"/>
          <w:lang w:val="zh-CN"/>
        </w:rPr>
        <w:t>反馈上，我</w:t>
      </w:r>
      <w:r>
        <w:rPr>
          <w:rFonts w:eastAsia="方正仿宋_GBK"/>
          <w:kern w:val="0"/>
          <w:sz w:val="32"/>
          <w:szCs w:val="32"/>
          <w:shd w:val="clear" w:color="auto" w:fill="FFFFFF"/>
        </w:rPr>
        <w:t>单位</w:t>
      </w:r>
      <w:r>
        <w:rPr>
          <w:rFonts w:eastAsia="方正仿宋_GBK"/>
          <w:kern w:val="0"/>
          <w:sz w:val="32"/>
          <w:szCs w:val="32"/>
          <w:shd w:val="clear" w:color="auto" w:fill="FFFFFF"/>
          <w:lang w:val="zh-CN"/>
        </w:rPr>
        <w:t>已按要求在规定时间内将预算绩效结果</w:t>
      </w:r>
      <w:r>
        <w:rPr>
          <w:rFonts w:hint="eastAsia" w:eastAsia="方正仿宋_GBK"/>
          <w:kern w:val="0"/>
          <w:sz w:val="32"/>
          <w:szCs w:val="32"/>
          <w:shd w:val="clear" w:color="auto" w:fill="FFFFFF"/>
          <w:lang w:val="zh-CN"/>
        </w:rPr>
        <w:t>、</w:t>
      </w:r>
      <w:r>
        <w:rPr>
          <w:rFonts w:eastAsia="方正仿宋_GBK"/>
          <w:kern w:val="0"/>
          <w:sz w:val="32"/>
          <w:szCs w:val="32"/>
          <w:shd w:val="clear" w:color="auto" w:fill="FFFFFF"/>
          <w:lang w:val="zh-CN"/>
        </w:rPr>
        <w:t>应用</w:t>
      </w:r>
      <w:r>
        <w:rPr>
          <w:rFonts w:hint="eastAsia" w:eastAsia="方正仿宋_GBK"/>
          <w:kern w:val="0"/>
          <w:sz w:val="32"/>
          <w:szCs w:val="32"/>
          <w:shd w:val="clear" w:color="auto" w:fill="FFFFFF"/>
          <w:lang w:val="en-US" w:eastAsia="zh-CN"/>
        </w:rPr>
        <w:t>绩效</w:t>
      </w:r>
      <w:r>
        <w:rPr>
          <w:rFonts w:eastAsia="方正仿宋_GBK"/>
          <w:kern w:val="0"/>
          <w:sz w:val="32"/>
          <w:szCs w:val="32"/>
          <w:shd w:val="clear" w:color="auto" w:fill="FFFFFF"/>
          <w:lang w:val="zh-CN"/>
        </w:rPr>
        <w:t>结果向财政</w:t>
      </w:r>
      <w:r>
        <w:rPr>
          <w:rFonts w:hint="eastAsia" w:eastAsia="方正仿宋_GBK"/>
          <w:kern w:val="0"/>
          <w:sz w:val="32"/>
          <w:szCs w:val="32"/>
          <w:shd w:val="clear" w:color="auto" w:fill="FFFFFF"/>
          <w:lang w:val="en-US" w:eastAsia="zh-CN"/>
        </w:rPr>
        <w:t>局</w:t>
      </w:r>
      <w:r>
        <w:rPr>
          <w:rFonts w:eastAsia="方正仿宋_GBK"/>
          <w:kern w:val="0"/>
          <w:sz w:val="32"/>
          <w:szCs w:val="32"/>
          <w:shd w:val="clear" w:color="auto" w:fill="FFFFFF"/>
          <w:lang w:val="zh-CN"/>
        </w:rPr>
        <w:t>反馈。该项指标分值为</w:t>
      </w:r>
      <w:r>
        <w:rPr>
          <w:rFonts w:eastAsia="方正仿宋_GBK"/>
          <w:kern w:val="0"/>
          <w:sz w:val="32"/>
          <w:szCs w:val="32"/>
          <w:shd w:val="clear" w:color="auto" w:fill="FFFFFF"/>
        </w:rPr>
        <w:t>2</w:t>
      </w:r>
      <w:r>
        <w:rPr>
          <w:rFonts w:eastAsia="方正仿宋_GBK"/>
          <w:kern w:val="0"/>
          <w:sz w:val="32"/>
          <w:szCs w:val="32"/>
          <w:shd w:val="clear" w:color="auto" w:fill="FFFFFF"/>
          <w:lang w:val="zh-CN"/>
        </w:rPr>
        <w:t>分，自评得分</w:t>
      </w:r>
      <w:r>
        <w:rPr>
          <w:rFonts w:eastAsia="方正仿宋_GBK"/>
          <w:kern w:val="0"/>
          <w:sz w:val="32"/>
          <w:szCs w:val="32"/>
          <w:shd w:val="clear" w:color="auto" w:fill="FFFFFF"/>
        </w:rPr>
        <w:t>2</w:t>
      </w:r>
      <w:r>
        <w:rPr>
          <w:rFonts w:eastAsia="方正仿宋_GBK"/>
          <w:kern w:val="0"/>
          <w:sz w:val="32"/>
          <w:szCs w:val="32"/>
          <w:shd w:val="clear" w:color="auto" w:fill="FFFFFF"/>
          <w:lang w:val="zh-CN"/>
        </w:rPr>
        <w:t>分。</w:t>
      </w:r>
    </w:p>
    <w:p>
      <w:pPr>
        <w:widowControl/>
        <w:adjustRightInd w:val="0"/>
        <w:snapToGrid w:val="0"/>
        <w:spacing w:line="578" w:lineRule="exact"/>
        <w:ind w:firstLine="640" w:firstLineChars="200"/>
        <w:contextualSpacing/>
        <w:jc w:val="left"/>
        <w:rPr>
          <w:rFonts w:hint="eastAsia" w:ascii="方正黑体_GBK" w:hAnsi="方正楷体_GBK" w:eastAsia="方正黑体_GBK" w:cs="方正楷体_GBK"/>
          <w:kern w:val="0"/>
          <w:sz w:val="32"/>
          <w:szCs w:val="32"/>
          <w:shd w:val="clear" w:color="auto" w:fill="FFFFFF"/>
          <w:lang w:val="zh-CN"/>
        </w:rPr>
      </w:pPr>
      <w:r>
        <w:rPr>
          <w:rFonts w:hint="eastAsia" w:ascii="方正黑体_GBK" w:hAnsi="方正楷体_GBK" w:eastAsia="方正黑体_GBK" w:cs="方正楷体_GBK"/>
          <w:kern w:val="0"/>
          <w:sz w:val="32"/>
          <w:szCs w:val="32"/>
          <w:shd w:val="clear" w:color="auto" w:fill="FFFFFF"/>
        </w:rPr>
        <w:t>六、</w:t>
      </w:r>
      <w:r>
        <w:rPr>
          <w:rFonts w:hint="eastAsia" w:ascii="方正黑体_GBK" w:hAnsi="方正楷体_GBK" w:eastAsia="方正黑体_GBK" w:cs="方正楷体_GBK"/>
          <w:kern w:val="0"/>
          <w:sz w:val="32"/>
          <w:szCs w:val="32"/>
          <w:shd w:val="clear" w:color="auto" w:fill="FFFFFF"/>
          <w:lang w:val="zh-CN"/>
        </w:rPr>
        <w:t>自评质量情况</w:t>
      </w:r>
    </w:p>
    <w:p>
      <w:pPr>
        <w:widowControl/>
        <w:adjustRightInd w:val="0"/>
        <w:snapToGrid w:val="0"/>
        <w:spacing w:line="578" w:lineRule="exact"/>
        <w:ind w:firstLine="640" w:firstLineChars="200"/>
        <w:contextualSpacing/>
        <w:jc w:val="left"/>
        <w:rPr>
          <w:rFonts w:eastAsia="方正仿宋_GBK"/>
          <w:kern w:val="0"/>
          <w:sz w:val="32"/>
          <w:szCs w:val="32"/>
          <w:shd w:val="clear" w:color="auto" w:fill="FFFFFF"/>
        </w:rPr>
      </w:pPr>
      <w:r>
        <w:rPr>
          <w:rFonts w:eastAsia="方正仿宋_GBK"/>
          <w:kern w:val="0"/>
          <w:sz w:val="32"/>
          <w:szCs w:val="32"/>
          <w:shd w:val="clear" w:color="auto" w:fill="FFFFFF"/>
        </w:rPr>
        <w:t>我单位</w:t>
      </w:r>
      <w:r>
        <w:rPr>
          <w:rFonts w:eastAsia="方正仿宋_GBK"/>
          <w:kern w:val="0"/>
          <w:sz w:val="32"/>
          <w:szCs w:val="32"/>
          <w:shd w:val="clear" w:color="auto" w:fill="FFFFFF"/>
          <w:lang w:val="zh-CN"/>
        </w:rPr>
        <w:t>整体支出自评准确率较高，</w:t>
      </w:r>
      <w:r>
        <w:rPr>
          <w:rFonts w:eastAsia="方正仿宋_GBK"/>
          <w:kern w:val="0"/>
          <w:sz w:val="32"/>
          <w:szCs w:val="32"/>
          <w:shd w:val="clear" w:color="auto" w:fill="FFFFFF"/>
        </w:rPr>
        <w:t>且全面开展自评</w:t>
      </w:r>
      <w:r>
        <w:rPr>
          <w:rFonts w:eastAsia="方正仿宋_GBK"/>
          <w:kern w:val="0"/>
          <w:sz w:val="32"/>
          <w:szCs w:val="32"/>
          <w:shd w:val="clear" w:color="auto" w:fill="FFFFFF"/>
          <w:lang w:val="zh-CN"/>
        </w:rPr>
        <w:t>。</w:t>
      </w:r>
      <w:r>
        <w:rPr>
          <w:rFonts w:eastAsia="方正仿宋_GBK"/>
          <w:kern w:val="0"/>
          <w:sz w:val="32"/>
          <w:szCs w:val="32"/>
          <w:shd w:val="clear" w:color="auto" w:fill="FFFFFF"/>
        </w:rPr>
        <w:t>由主管部门、财政部门考评，自评质量分值为10分，单位自评</w:t>
      </w:r>
      <w:r>
        <w:rPr>
          <w:rFonts w:hint="eastAsia" w:eastAsia="方正仿宋_GBK"/>
          <w:kern w:val="0"/>
          <w:sz w:val="32"/>
          <w:szCs w:val="32"/>
          <w:shd w:val="clear" w:color="auto" w:fill="FFFFFF"/>
          <w:lang w:val="en-US" w:eastAsia="zh-CN"/>
        </w:rPr>
        <w:t>的</w:t>
      </w:r>
      <w:r>
        <w:rPr>
          <w:rFonts w:eastAsia="方正仿宋_GBK"/>
          <w:kern w:val="0"/>
          <w:sz w:val="32"/>
          <w:szCs w:val="32"/>
          <w:shd w:val="clear" w:color="auto" w:fill="FFFFFF"/>
        </w:rPr>
        <w:t>实际总分为90分。</w:t>
      </w:r>
    </w:p>
    <w:p>
      <w:pPr>
        <w:widowControl/>
        <w:adjustRightInd w:val="0"/>
        <w:snapToGrid w:val="0"/>
        <w:spacing w:line="578" w:lineRule="exact"/>
        <w:ind w:firstLine="640" w:firstLineChars="200"/>
        <w:contextualSpacing/>
        <w:jc w:val="left"/>
        <w:rPr>
          <w:rFonts w:eastAsia="方正仿宋_GBK"/>
          <w:kern w:val="0"/>
          <w:sz w:val="32"/>
          <w:szCs w:val="32"/>
          <w:shd w:val="clear" w:color="auto" w:fill="FFFFFF"/>
        </w:rPr>
      </w:pPr>
      <w:r>
        <w:rPr>
          <w:rFonts w:eastAsia="方正仿宋_GBK"/>
          <w:kern w:val="0"/>
          <w:sz w:val="32"/>
          <w:szCs w:val="32"/>
          <w:shd w:val="clear" w:color="auto" w:fill="FFFFFF"/>
          <w:lang w:val="zh-CN"/>
        </w:rPr>
        <w:t>202</w:t>
      </w:r>
      <w:r>
        <w:rPr>
          <w:rFonts w:eastAsia="方正仿宋_GBK"/>
          <w:kern w:val="0"/>
          <w:sz w:val="32"/>
          <w:szCs w:val="32"/>
          <w:shd w:val="clear" w:color="auto" w:fill="FFFFFF"/>
        </w:rPr>
        <w:t>2</w:t>
      </w:r>
      <w:r>
        <w:rPr>
          <w:rFonts w:eastAsia="方正仿宋_GBK"/>
          <w:kern w:val="0"/>
          <w:sz w:val="32"/>
          <w:szCs w:val="32"/>
          <w:shd w:val="clear" w:color="auto" w:fill="FFFFFF"/>
          <w:lang w:val="zh-CN"/>
        </w:rPr>
        <w:t>年</w:t>
      </w:r>
      <w:r>
        <w:rPr>
          <w:rFonts w:eastAsia="方正仿宋_GBK"/>
          <w:kern w:val="0"/>
          <w:sz w:val="32"/>
          <w:szCs w:val="32"/>
          <w:shd w:val="clear" w:color="auto" w:fill="FFFFFF"/>
        </w:rPr>
        <w:t>我单位</w:t>
      </w:r>
      <w:r>
        <w:rPr>
          <w:rFonts w:eastAsia="方正仿宋_GBK"/>
          <w:kern w:val="0"/>
          <w:sz w:val="32"/>
          <w:szCs w:val="32"/>
          <w:shd w:val="clear" w:color="auto" w:fill="FFFFFF"/>
          <w:lang w:val="zh-CN"/>
        </w:rPr>
        <w:t>整体支出绩效自评得分</w:t>
      </w:r>
      <w:r>
        <w:rPr>
          <w:rFonts w:eastAsia="方正仿宋_GBK"/>
          <w:kern w:val="0"/>
          <w:sz w:val="32"/>
          <w:szCs w:val="32"/>
          <w:shd w:val="clear" w:color="auto" w:fill="FFFFFF"/>
        </w:rPr>
        <w:t>实际为8</w:t>
      </w:r>
      <w:r>
        <w:rPr>
          <w:rFonts w:hint="eastAsia" w:eastAsia="方正仿宋_GBK"/>
          <w:kern w:val="0"/>
          <w:sz w:val="32"/>
          <w:szCs w:val="32"/>
          <w:shd w:val="clear" w:color="auto" w:fill="FFFFFF"/>
        </w:rPr>
        <w:t>6</w:t>
      </w:r>
      <w:r>
        <w:rPr>
          <w:rFonts w:eastAsia="方正仿宋_GBK"/>
          <w:kern w:val="0"/>
          <w:sz w:val="32"/>
          <w:szCs w:val="32"/>
          <w:shd w:val="clear" w:color="auto" w:fill="FFFFFF"/>
          <w:lang w:val="zh-CN"/>
        </w:rPr>
        <w:t>分。</w:t>
      </w:r>
    </w:p>
    <w:p>
      <w:pPr>
        <w:widowControl/>
        <w:adjustRightInd w:val="0"/>
        <w:snapToGrid w:val="0"/>
        <w:spacing w:line="578" w:lineRule="exact"/>
        <w:ind w:firstLine="640" w:firstLineChars="200"/>
        <w:contextualSpacing/>
        <w:jc w:val="left"/>
        <w:rPr>
          <w:rFonts w:hint="eastAsia" w:ascii="方正黑体_GBK" w:eastAsia="方正黑体_GBK"/>
          <w:kern w:val="0"/>
          <w:sz w:val="32"/>
          <w:szCs w:val="32"/>
          <w:shd w:val="clear" w:color="auto" w:fill="FFFFFF"/>
        </w:rPr>
      </w:pPr>
      <w:r>
        <w:rPr>
          <w:rFonts w:hint="eastAsia" w:ascii="方正黑体_GBK" w:hAnsi="方正黑体" w:eastAsia="方正黑体_GBK" w:cs="方正黑体"/>
          <w:color w:val="000000" w:themeColor="text1"/>
          <w:kern w:val="0"/>
          <w:sz w:val="32"/>
          <w:szCs w:val="32"/>
          <w:shd w:val="clear" w:color="auto" w:fill="FFFFFF"/>
        </w:rPr>
        <w:t>七、评价结论及建议</w:t>
      </w:r>
    </w:p>
    <w:p>
      <w:pPr>
        <w:widowControl/>
        <w:adjustRightInd w:val="0"/>
        <w:snapToGrid w:val="0"/>
        <w:spacing w:line="578" w:lineRule="exact"/>
        <w:ind w:firstLine="640" w:firstLineChars="200"/>
        <w:contextualSpacing/>
        <w:jc w:val="left"/>
        <w:rPr>
          <w:rFonts w:ascii="方正楷体_GBK" w:hAnsi="方正楷体_GBK" w:eastAsia="方正楷体_GBK" w:cs="方正楷体_GBK"/>
          <w:kern w:val="0"/>
          <w:sz w:val="32"/>
          <w:szCs w:val="32"/>
          <w:shd w:val="clear" w:color="auto" w:fill="FFFFFF"/>
          <w:lang w:val="zh-CN"/>
        </w:rPr>
      </w:pPr>
      <w:r>
        <w:rPr>
          <w:rFonts w:hint="eastAsia" w:ascii="方正楷体_GBK" w:hAnsi="方正楷体_GBK" w:eastAsia="方正楷体_GBK" w:cs="方正楷体_GBK"/>
          <w:kern w:val="0"/>
          <w:sz w:val="32"/>
          <w:szCs w:val="32"/>
          <w:shd w:val="clear" w:color="auto" w:fill="FFFFFF"/>
          <w:lang w:val="zh-CN"/>
        </w:rPr>
        <w:t>（</w:t>
      </w:r>
      <w:r>
        <w:rPr>
          <w:rFonts w:hint="eastAsia" w:ascii="方正楷体_GBK" w:hAnsi="方正楷体_GBK" w:eastAsia="方正楷体_GBK" w:cs="方正楷体_GBK"/>
          <w:kern w:val="0"/>
          <w:sz w:val="32"/>
          <w:szCs w:val="32"/>
          <w:shd w:val="clear" w:color="auto" w:fill="FFFFFF"/>
          <w:lang w:val="en-US" w:eastAsia="zh-CN"/>
        </w:rPr>
        <w:t>一</w:t>
      </w:r>
      <w:r>
        <w:rPr>
          <w:rFonts w:hint="eastAsia" w:ascii="方正楷体_GBK" w:hAnsi="方正楷体_GBK" w:eastAsia="方正楷体_GBK" w:cs="方正楷体_GBK"/>
          <w:kern w:val="0"/>
          <w:sz w:val="32"/>
          <w:szCs w:val="32"/>
          <w:shd w:val="clear" w:color="auto" w:fill="FFFFFF"/>
          <w:lang w:val="zh-CN"/>
        </w:rPr>
        <w:t>）评价结论</w:t>
      </w:r>
    </w:p>
    <w:p>
      <w:pPr>
        <w:widowControl/>
        <w:adjustRightInd w:val="0"/>
        <w:snapToGrid w:val="0"/>
        <w:spacing w:line="578" w:lineRule="exact"/>
        <w:ind w:firstLine="640" w:firstLineChars="200"/>
        <w:contextualSpacing/>
        <w:jc w:val="left"/>
        <w:rPr>
          <w:rFonts w:eastAsia="方正仿宋_GBK"/>
          <w:kern w:val="0"/>
          <w:sz w:val="32"/>
          <w:szCs w:val="32"/>
          <w:shd w:val="clear" w:color="auto" w:fill="FFFFFF"/>
          <w:lang w:val="zh-CN"/>
        </w:rPr>
      </w:pPr>
      <w:r>
        <w:rPr>
          <w:rFonts w:eastAsia="方正仿宋_GBK"/>
          <w:kern w:val="0"/>
          <w:sz w:val="32"/>
          <w:szCs w:val="32"/>
          <w:shd w:val="clear" w:color="auto" w:fill="FFFFFF"/>
          <w:lang w:val="zh-CN"/>
        </w:rPr>
        <w:t>按照202</w:t>
      </w:r>
      <w:r>
        <w:rPr>
          <w:rFonts w:eastAsia="方正仿宋_GBK"/>
          <w:kern w:val="0"/>
          <w:sz w:val="32"/>
          <w:szCs w:val="32"/>
          <w:shd w:val="clear" w:color="auto" w:fill="FFFFFF"/>
        </w:rPr>
        <w:t>2</w:t>
      </w:r>
      <w:r>
        <w:rPr>
          <w:rFonts w:eastAsia="方正仿宋_GBK"/>
          <w:kern w:val="0"/>
          <w:sz w:val="32"/>
          <w:szCs w:val="32"/>
          <w:shd w:val="clear" w:color="auto" w:fill="FFFFFF"/>
          <w:lang w:val="zh-CN"/>
        </w:rPr>
        <w:t>年度</w:t>
      </w:r>
      <w:r>
        <w:rPr>
          <w:rFonts w:eastAsia="方正仿宋_GBK"/>
          <w:kern w:val="0"/>
          <w:sz w:val="32"/>
          <w:szCs w:val="32"/>
          <w:shd w:val="clear" w:color="auto" w:fill="FFFFFF"/>
        </w:rPr>
        <w:t>区</w:t>
      </w:r>
      <w:r>
        <w:rPr>
          <w:rFonts w:eastAsia="方正仿宋_GBK"/>
          <w:kern w:val="0"/>
          <w:sz w:val="32"/>
          <w:szCs w:val="32"/>
          <w:shd w:val="clear" w:color="auto" w:fill="FFFFFF"/>
          <w:lang w:val="zh-CN"/>
        </w:rPr>
        <w:t>级部门整体支出绩效评价指标体系，绩效评价总分</w:t>
      </w:r>
      <w:r>
        <w:rPr>
          <w:rFonts w:eastAsia="方正仿宋_GBK"/>
          <w:kern w:val="0"/>
          <w:sz w:val="32"/>
          <w:szCs w:val="32"/>
          <w:shd w:val="clear" w:color="auto" w:fill="FFFFFF"/>
        </w:rPr>
        <w:t>90</w:t>
      </w:r>
      <w:r>
        <w:rPr>
          <w:rFonts w:eastAsia="方正仿宋_GBK"/>
          <w:kern w:val="0"/>
          <w:sz w:val="32"/>
          <w:szCs w:val="32"/>
          <w:shd w:val="clear" w:color="auto" w:fill="FFFFFF"/>
          <w:lang w:val="zh-CN"/>
        </w:rPr>
        <w:t>分，我</w:t>
      </w:r>
      <w:r>
        <w:rPr>
          <w:rFonts w:eastAsia="方正仿宋_GBK"/>
          <w:kern w:val="0"/>
          <w:sz w:val="32"/>
          <w:szCs w:val="32"/>
          <w:shd w:val="clear" w:color="auto" w:fill="FFFFFF"/>
        </w:rPr>
        <w:t>单位</w:t>
      </w:r>
      <w:r>
        <w:rPr>
          <w:rFonts w:eastAsia="方正仿宋_GBK"/>
          <w:kern w:val="0"/>
          <w:sz w:val="32"/>
          <w:szCs w:val="32"/>
          <w:shd w:val="clear" w:color="auto" w:fill="FFFFFF"/>
          <w:lang w:val="zh-CN"/>
        </w:rPr>
        <w:t>得分</w:t>
      </w:r>
      <w:r>
        <w:rPr>
          <w:rFonts w:eastAsia="方正仿宋_GBK"/>
          <w:kern w:val="0"/>
          <w:sz w:val="32"/>
          <w:szCs w:val="32"/>
          <w:shd w:val="clear" w:color="auto" w:fill="FFFFFF"/>
        </w:rPr>
        <w:t>8</w:t>
      </w:r>
      <w:r>
        <w:rPr>
          <w:rFonts w:hint="eastAsia" w:eastAsia="方正仿宋_GBK"/>
          <w:kern w:val="0"/>
          <w:sz w:val="32"/>
          <w:szCs w:val="32"/>
          <w:shd w:val="clear" w:color="auto" w:fill="FFFFFF"/>
        </w:rPr>
        <w:t>6</w:t>
      </w:r>
      <w:r>
        <w:rPr>
          <w:rFonts w:eastAsia="方正仿宋_GBK"/>
          <w:kern w:val="0"/>
          <w:sz w:val="32"/>
          <w:szCs w:val="32"/>
          <w:shd w:val="clear" w:color="auto" w:fill="FFFFFF"/>
          <w:lang w:val="zh-CN"/>
        </w:rPr>
        <w:t>分（</w:t>
      </w:r>
      <w:r>
        <w:rPr>
          <w:rFonts w:eastAsia="方正仿宋_GBK"/>
          <w:kern w:val="0"/>
          <w:sz w:val="32"/>
          <w:szCs w:val="32"/>
          <w:shd w:val="clear" w:color="auto" w:fill="FFFFFF"/>
        </w:rPr>
        <w:t>详见《2023年整体支出绩效评价指标体系表》）。</w:t>
      </w:r>
      <w:r>
        <w:rPr>
          <w:rFonts w:eastAsia="方正仿宋_GBK"/>
          <w:kern w:val="0"/>
          <w:sz w:val="32"/>
          <w:szCs w:val="32"/>
          <w:shd w:val="clear" w:color="auto" w:fill="FFFFFF"/>
          <w:lang w:val="zh-CN"/>
        </w:rPr>
        <w:t>基本完成了年度预算绩效管理目标，扣分项主要涉及预算调整金额偏大和个别时间节点</w:t>
      </w:r>
      <w:r>
        <w:rPr>
          <w:rFonts w:hint="eastAsia" w:eastAsia="方正仿宋_GBK"/>
          <w:kern w:val="0"/>
          <w:sz w:val="32"/>
          <w:szCs w:val="32"/>
          <w:shd w:val="clear" w:color="auto" w:fill="FFFFFF"/>
          <w:lang w:val="zh-CN"/>
        </w:rPr>
        <w:t>，</w:t>
      </w:r>
      <w:r>
        <w:rPr>
          <w:rFonts w:eastAsia="方正仿宋_GBK"/>
          <w:kern w:val="0"/>
          <w:sz w:val="32"/>
          <w:szCs w:val="32"/>
          <w:shd w:val="clear" w:color="auto" w:fill="FFFFFF"/>
          <w:lang w:val="zh-CN"/>
        </w:rPr>
        <w:t>预算执行进度不高。</w:t>
      </w:r>
    </w:p>
    <w:p>
      <w:pPr>
        <w:widowControl/>
        <w:adjustRightInd w:val="0"/>
        <w:snapToGrid w:val="0"/>
        <w:spacing w:line="578" w:lineRule="exact"/>
        <w:ind w:firstLine="640" w:firstLineChars="200"/>
        <w:contextualSpacing/>
        <w:jc w:val="left"/>
        <w:rPr>
          <w:rFonts w:ascii="方正楷体_GBK" w:hAnsi="方正楷体_GBK" w:eastAsia="方正楷体_GBK" w:cs="方正楷体_GBK"/>
          <w:kern w:val="0"/>
          <w:sz w:val="32"/>
          <w:szCs w:val="32"/>
          <w:shd w:val="clear" w:color="auto" w:fill="FFFFFF"/>
          <w:lang w:val="zh-CN"/>
        </w:rPr>
      </w:pPr>
      <w:r>
        <w:rPr>
          <w:rFonts w:hint="eastAsia" w:ascii="方正楷体_GBK" w:hAnsi="方正楷体_GBK" w:eastAsia="方正楷体_GBK" w:cs="方正楷体_GBK"/>
          <w:kern w:val="0"/>
          <w:sz w:val="32"/>
          <w:szCs w:val="32"/>
          <w:shd w:val="clear" w:color="auto" w:fill="FFFFFF"/>
          <w:lang w:val="zh-CN"/>
        </w:rPr>
        <w:t>（</w:t>
      </w:r>
      <w:r>
        <w:rPr>
          <w:rFonts w:hint="eastAsia" w:ascii="方正楷体_GBK" w:hAnsi="方正楷体_GBK" w:eastAsia="方正楷体_GBK" w:cs="方正楷体_GBK"/>
          <w:kern w:val="0"/>
          <w:sz w:val="32"/>
          <w:szCs w:val="32"/>
          <w:shd w:val="clear" w:color="auto" w:fill="FFFFFF"/>
          <w:lang w:val="en-US" w:eastAsia="zh-CN"/>
        </w:rPr>
        <w:t>二</w:t>
      </w:r>
      <w:r>
        <w:rPr>
          <w:rFonts w:hint="eastAsia" w:ascii="方正楷体_GBK" w:hAnsi="方正楷体_GBK" w:eastAsia="方正楷体_GBK" w:cs="方正楷体_GBK"/>
          <w:kern w:val="0"/>
          <w:sz w:val="32"/>
          <w:szCs w:val="32"/>
          <w:shd w:val="clear" w:color="auto" w:fill="FFFFFF"/>
          <w:lang w:val="zh-CN"/>
        </w:rPr>
        <w:t>）存在问题</w:t>
      </w:r>
    </w:p>
    <w:p>
      <w:pPr>
        <w:widowControl/>
        <w:adjustRightInd w:val="0"/>
        <w:snapToGrid w:val="0"/>
        <w:spacing w:line="578" w:lineRule="exact"/>
        <w:ind w:firstLine="640" w:firstLineChars="200"/>
        <w:contextualSpacing/>
        <w:jc w:val="left"/>
        <w:rPr>
          <w:rFonts w:eastAsia="方正仿宋_GBK"/>
          <w:kern w:val="0"/>
          <w:sz w:val="32"/>
          <w:szCs w:val="32"/>
          <w:shd w:val="clear" w:color="auto" w:fill="FFFFFF"/>
          <w:lang w:val="zh-CN"/>
        </w:rPr>
      </w:pPr>
      <w:r>
        <w:rPr>
          <w:rFonts w:eastAsia="方正仿宋_GBK"/>
          <w:kern w:val="0"/>
          <w:sz w:val="32"/>
          <w:szCs w:val="32"/>
          <w:shd w:val="clear" w:color="auto" w:fill="FFFFFF"/>
          <w:lang w:val="zh-CN"/>
        </w:rPr>
        <w:t>一是绩效管理意识还有待加强</w:t>
      </w:r>
      <w:r>
        <w:rPr>
          <w:rFonts w:hint="eastAsia" w:eastAsia="方正仿宋_GBK"/>
          <w:kern w:val="0"/>
          <w:sz w:val="32"/>
          <w:szCs w:val="32"/>
          <w:shd w:val="clear" w:color="auto" w:fill="FFFFFF"/>
          <w:lang w:val="zh-CN"/>
        </w:rPr>
        <w:t>。</w:t>
      </w:r>
      <w:r>
        <w:rPr>
          <w:rFonts w:eastAsia="方正仿宋_GBK"/>
          <w:kern w:val="0"/>
          <w:sz w:val="32"/>
          <w:szCs w:val="32"/>
          <w:shd w:val="clear" w:color="auto" w:fill="FFFFFF"/>
          <w:lang w:val="zh-CN"/>
        </w:rPr>
        <w:t>绩效管理目标细化量化方式较为单一，前期对预算项目定位、功能、实施内容梳理不够深入，项目资金绩效目标设置不够合理。</w:t>
      </w:r>
    </w:p>
    <w:p>
      <w:pPr>
        <w:widowControl/>
        <w:adjustRightInd w:val="0"/>
        <w:snapToGrid w:val="0"/>
        <w:spacing w:line="578" w:lineRule="exact"/>
        <w:ind w:firstLine="640" w:firstLineChars="200"/>
        <w:contextualSpacing/>
        <w:jc w:val="left"/>
        <w:rPr>
          <w:rFonts w:eastAsia="方正仿宋_GBK"/>
          <w:sz w:val="32"/>
          <w:szCs w:val="32"/>
          <w:lang w:val="zh-CN"/>
        </w:rPr>
      </w:pPr>
      <w:r>
        <w:rPr>
          <w:rFonts w:eastAsia="方正仿宋_GBK"/>
          <w:kern w:val="0"/>
          <w:sz w:val="32"/>
          <w:szCs w:val="32"/>
          <w:shd w:val="clear" w:color="auto" w:fill="FFFFFF"/>
          <w:lang w:val="zh-CN"/>
        </w:rPr>
        <w:t>二是预算执行力度不强，预算执行进度偏慢。</w:t>
      </w:r>
    </w:p>
    <w:p>
      <w:pPr>
        <w:widowControl/>
        <w:adjustRightInd w:val="0"/>
        <w:snapToGrid w:val="0"/>
        <w:spacing w:line="578" w:lineRule="exact"/>
        <w:ind w:firstLine="640" w:firstLineChars="200"/>
        <w:contextualSpacing/>
        <w:jc w:val="left"/>
        <w:rPr>
          <w:rFonts w:ascii="方正楷体_GBK" w:hAnsi="方正楷体_GBK" w:eastAsia="方正楷体_GBK" w:cs="方正楷体_GBK"/>
          <w:kern w:val="0"/>
          <w:sz w:val="32"/>
          <w:szCs w:val="32"/>
          <w:shd w:val="clear" w:color="auto" w:fill="FFFFFF"/>
          <w:lang w:val="zh-CN"/>
        </w:rPr>
      </w:pPr>
      <w:r>
        <w:rPr>
          <w:rFonts w:hint="eastAsia" w:ascii="方正楷体_GBK" w:hAnsi="方正楷体_GBK" w:eastAsia="方正楷体_GBK" w:cs="方正楷体_GBK"/>
          <w:kern w:val="0"/>
          <w:sz w:val="32"/>
          <w:szCs w:val="32"/>
          <w:shd w:val="clear" w:color="auto" w:fill="FFFFFF"/>
          <w:lang w:val="zh-CN"/>
        </w:rPr>
        <w:t>（</w:t>
      </w:r>
      <w:r>
        <w:rPr>
          <w:rFonts w:hint="eastAsia" w:ascii="方正楷体_GBK" w:hAnsi="方正楷体_GBK" w:eastAsia="方正楷体_GBK" w:cs="方正楷体_GBK"/>
          <w:kern w:val="0"/>
          <w:sz w:val="32"/>
          <w:szCs w:val="32"/>
          <w:shd w:val="clear" w:color="auto" w:fill="FFFFFF"/>
          <w:lang w:val="en-US" w:eastAsia="zh-CN"/>
        </w:rPr>
        <w:t>三</w:t>
      </w:r>
      <w:r>
        <w:rPr>
          <w:rFonts w:hint="eastAsia" w:ascii="方正楷体_GBK" w:hAnsi="方正楷体_GBK" w:eastAsia="方正楷体_GBK" w:cs="方正楷体_GBK"/>
          <w:kern w:val="0"/>
          <w:sz w:val="32"/>
          <w:szCs w:val="32"/>
          <w:shd w:val="clear" w:color="auto" w:fill="FFFFFF"/>
          <w:lang w:val="zh-CN"/>
        </w:rPr>
        <w:t>）改进措施</w:t>
      </w:r>
    </w:p>
    <w:p>
      <w:pPr>
        <w:widowControl/>
        <w:adjustRightInd w:val="0"/>
        <w:snapToGrid w:val="0"/>
        <w:spacing w:line="578" w:lineRule="exact"/>
        <w:ind w:firstLine="640" w:firstLineChars="200"/>
        <w:contextualSpacing/>
        <w:jc w:val="both"/>
        <w:rPr>
          <w:rFonts w:hint="eastAsia" w:eastAsia="方正仿宋_GBK"/>
          <w:kern w:val="0"/>
          <w:sz w:val="32"/>
          <w:szCs w:val="32"/>
          <w:shd w:val="clear" w:color="auto" w:fill="FFFFFF"/>
          <w:lang w:val="zh-CN"/>
        </w:rPr>
      </w:pPr>
      <w:r>
        <w:rPr>
          <w:rFonts w:eastAsia="方正仿宋_GBK"/>
          <w:kern w:val="0"/>
          <w:sz w:val="32"/>
          <w:szCs w:val="32"/>
          <w:shd w:val="clear" w:color="auto" w:fill="FFFFFF"/>
          <w:lang w:val="zh-CN"/>
        </w:rPr>
        <w:t>202</w:t>
      </w:r>
      <w:r>
        <w:rPr>
          <w:rFonts w:eastAsia="方正仿宋_GBK"/>
          <w:kern w:val="0"/>
          <w:sz w:val="32"/>
          <w:szCs w:val="32"/>
          <w:shd w:val="clear" w:color="auto" w:fill="FFFFFF"/>
        </w:rPr>
        <w:t>3</w:t>
      </w:r>
      <w:r>
        <w:rPr>
          <w:rFonts w:eastAsia="方正仿宋_GBK"/>
          <w:kern w:val="0"/>
          <w:sz w:val="32"/>
          <w:szCs w:val="32"/>
          <w:shd w:val="clear" w:color="auto" w:fill="FFFFFF"/>
          <w:lang w:val="zh-CN"/>
        </w:rPr>
        <w:t>年，我</w:t>
      </w:r>
      <w:r>
        <w:rPr>
          <w:rFonts w:eastAsia="方正仿宋_GBK"/>
          <w:kern w:val="0"/>
          <w:sz w:val="32"/>
          <w:szCs w:val="32"/>
          <w:shd w:val="clear" w:color="auto" w:fill="FFFFFF"/>
        </w:rPr>
        <w:t>单位</w:t>
      </w:r>
      <w:r>
        <w:rPr>
          <w:rFonts w:eastAsia="方正仿宋_GBK"/>
          <w:kern w:val="0"/>
          <w:sz w:val="32"/>
          <w:szCs w:val="32"/>
          <w:shd w:val="clear" w:color="auto" w:fill="FFFFFF"/>
          <w:lang w:val="zh-CN"/>
        </w:rPr>
        <w:t>将采取以下措施，提升预算绩效工</w:t>
      </w:r>
      <w:r>
        <w:rPr>
          <w:rFonts w:hint="eastAsia" w:eastAsia="方正仿宋_GBK"/>
          <w:kern w:val="0"/>
          <w:sz w:val="32"/>
          <w:szCs w:val="32"/>
          <w:shd w:val="clear" w:color="auto" w:fill="FFFFFF"/>
          <w:lang w:val="en-US" w:eastAsia="zh-CN"/>
        </w:rPr>
        <w:t>作</w:t>
      </w:r>
      <w:r>
        <w:rPr>
          <w:rFonts w:eastAsia="方正仿宋_GBK"/>
          <w:kern w:val="0"/>
          <w:sz w:val="32"/>
          <w:szCs w:val="32"/>
          <w:shd w:val="clear" w:color="auto" w:fill="FFFFFF"/>
          <w:lang w:val="zh-CN"/>
        </w:rPr>
        <w:t>水平</w:t>
      </w:r>
      <w:r>
        <w:rPr>
          <w:rFonts w:hint="eastAsia" w:eastAsia="方正仿宋_GBK"/>
          <w:kern w:val="0"/>
          <w:sz w:val="32"/>
          <w:szCs w:val="32"/>
          <w:shd w:val="clear" w:color="auto" w:fill="FFFFFF"/>
          <w:lang w:val="zh-CN"/>
        </w:rPr>
        <w:t>。</w:t>
      </w:r>
    </w:p>
    <w:p>
      <w:pPr>
        <w:widowControl/>
        <w:adjustRightInd w:val="0"/>
        <w:snapToGrid w:val="0"/>
        <w:spacing w:line="578" w:lineRule="exact"/>
        <w:ind w:firstLine="640" w:firstLineChars="200"/>
        <w:contextualSpacing/>
        <w:jc w:val="both"/>
        <w:rPr>
          <w:rFonts w:eastAsia="方正仿宋_GBK"/>
          <w:kern w:val="0"/>
          <w:sz w:val="32"/>
          <w:szCs w:val="32"/>
          <w:shd w:val="clear" w:color="auto" w:fill="FFFFFF"/>
          <w:lang w:val="zh-CN"/>
        </w:rPr>
      </w:pPr>
      <w:r>
        <w:rPr>
          <w:rFonts w:eastAsia="方正仿宋_GBK"/>
          <w:kern w:val="0"/>
          <w:sz w:val="32"/>
          <w:szCs w:val="32"/>
          <w:shd w:val="clear" w:color="auto" w:fill="FFFFFF"/>
          <w:lang w:val="zh-CN"/>
        </w:rPr>
        <w:t>一是进一步加强队伍能力建设。强化业务培训，提高预</w:t>
      </w:r>
      <w:r>
        <w:rPr>
          <w:rFonts w:hint="eastAsia" w:eastAsia="方正仿宋_GBK"/>
          <w:kern w:val="0"/>
          <w:sz w:val="32"/>
          <w:szCs w:val="32"/>
          <w:shd w:val="clear" w:color="auto" w:fill="FFFFFF"/>
          <w:lang w:val="en-US" w:eastAsia="zh-CN"/>
        </w:rPr>
        <w:t>算</w:t>
      </w:r>
      <w:r>
        <w:rPr>
          <w:rFonts w:eastAsia="方正仿宋_GBK"/>
          <w:kern w:val="0"/>
          <w:sz w:val="32"/>
          <w:szCs w:val="32"/>
          <w:shd w:val="clear" w:color="auto" w:fill="FFFFFF"/>
          <w:lang w:val="zh-CN"/>
        </w:rPr>
        <w:t>编制的科学化和精细化程度。在财政部门的指导下，定期</w:t>
      </w:r>
      <w:r>
        <w:rPr>
          <w:rFonts w:hint="eastAsia" w:eastAsia="方正仿宋_GBK"/>
          <w:kern w:val="0"/>
          <w:sz w:val="32"/>
          <w:szCs w:val="32"/>
          <w:shd w:val="clear" w:color="auto" w:fill="FFFFFF"/>
          <w:lang w:val="en-US" w:eastAsia="zh-CN"/>
        </w:rPr>
        <w:t>组</w:t>
      </w:r>
      <w:r>
        <w:rPr>
          <w:rFonts w:eastAsia="方正仿宋_GBK"/>
          <w:kern w:val="0"/>
          <w:sz w:val="32"/>
          <w:szCs w:val="32"/>
          <w:shd w:val="clear" w:color="auto" w:fill="FFFFFF"/>
          <w:lang w:val="zh-CN"/>
        </w:rPr>
        <w:t>织开展预算编制培训工作，增强财务人员预算精细化管理意识，提高预算精细化管理的能力。</w:t>
      </w:r>
    </w:p>
    <w:p>
      <w:pPr>
        <w:widowControl/>
        <w:adjustRightInd w:val="0"/>
        <w:snapToGrid w:val="0"/>
        <w:spacing w:line="578" w:lineRule="exact"/>
        <w:ind w:firstLine="640" w:firstLineChars="200"/>
        <w:contextualSpacing/>
        <w:jc w:val="left"/>
        <w:rPr>
          <w:rFonts w:eastAsia="方正仿宋_GBK"/>
          <w:kern w:val="0"/>
          <w:sz w:val="32"/>
          <w:szCs w:val="32"/>
          <w:shd w:val="clear" w:color="auto" w:fill="FFFFFF"/>
          <w:lang w:val="zh-CN"/>
        </w:rPr>
      </w:pPr>
      <w:r>
        <w:rPr>
          <w:rFonts w:eastAsia="方正仿宋_GBK"/>
          <w:kern w:val="0"/>
          <w:sz w:val="32"/>
          <w:szCs w:val="32"/>
          <w:shd w:val="clear" w:color="auto" w:fill="FFFFFF"/>
          <w:lang w:val="zh-CN"/>
        </w:rPr>
        <w:t>二是继续加强预算统筹调控</w:t>
      </w:r>
      <w:r>
        <w:rPr>
          <w:rFonts w:hint="eastAsia" w:eastAsia="方正仿宋_GBK"/>
          <w:kern w:val="0"/>
          <w:sz w:val="32"/>
          <w:szCs w:val="32"/>
          <w:shd w:val="clear" w:color="auto" w:fill="FFFFFF"/>
          <w:lang w:val="zh-CN"/>
        </w:rPr>
        <w:t>。</w:t>
      </w:r>
      <w:r>
        <w:rPr>
          <w:rFonts w:eastAsia="方正仿宋_GBK"/>
          <w:kern w:val="0"/>
          <w:sz w:val="32"/>
          <w:szCs w:val="32"/>
          <w:shd w:val="clear" w:color="auto" w:fill="FFFFFF"/>
          <w:lang w:val="zh-CN"/>
        </w:rPr>
        <w:t>把握工作重点，加强沟通协调，按照“统筹兼顾、突出重点、厉行节约、讲求效益”的原则统筹预算，保障单位正常运转和履行各项职能开支需要，力争202</w:t>
      </w:r>
      <w:r>
        <w:rPr>
          <w:rFonts w:eastAsia="方正仿宋_GBK"/>
          <w:kern w:val="0"/>
          <w:sz w:val="32"/>
          <w:szCs w:val="32"/>
          <w:shd w:val="clear" w:color="auto" w:fill="FFFFFF"/>
        </w:rPr>
        <w:t>3</w:t>
      </w:r>
      <w:r>
        <w:rPr>
          <w:rFonts w:eastAsia="方正仿宋_GBK"/>
          <w:kern w:val="0"/>
          <w:sz w:val="32"/>
          <w:szCs w:val="32"/>
          <w:shd w:val="clear" w:color="auto" w:fill="FFFFFF"/>
          <w:lang w:val="zh-CN"/>
        </w:rPr>
        <w:t>年预算执行进度在202</w:t>
      </w:r>
      <w:r>
        <w:rPr>
          <w:rFonts w:eastAsia="方正仿宋_GBK"/>
          <w:kern w:val="0"/>
          <w:sz w:val="32"/>
          <w:szCs w:val="32"/>
          <w:shd w:val="clear" w:color="auto" w:fill="FFFFFF"/>
        </w:rPr>
        <w:t>2</w:t>
      </w:r>
      <w:r>
        <w:rPr>
          <w:rFonts w:eastAsia="方正仿宋_GBK"/>
          <w:kern w:val="0"/>
          <w:sz w:val="32"/>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w:t>
      </w:r>
      <w:r>
        <w:rPr>
          <w:rFonts w:hint="eastAsia" w:eastAsia="方正仿宋_GBK"/>
          <w:kern w:val="0"/>
          <w:sz w:val="32"/>
          <w:szCs w:val="32"/>
          <w:shd w:val="clear" w:color="auto" w:fill="FFFFFF"/>
          <w:lang w:val="en-US" w:eastAsia="zh-CN"/>
        </w:rPr>
        <w:t>树</w:t>
      </w:r>
      <w:r>
        <w:rPr>
          <w:rFonts w:eastAsia="方正仿宋_GBK"/>
          <w:kern w:val="0"/>
          <w:sz w:val="32"/>
          <w:szCs w:val="32"/>
          <w:shd w:val="clear" w:color="auto" w:fill="FFFFFF"/>
          <w:lang w:val="zh-CN"/>
        </w:rPr>
        <w:t>立资金绩效意识，使资金绩效观念深入人心，充分发挥预算资金管理使用</w:t>
      </w:r>
      <w:r>
        <w:rPr>
          <w:rFonts w:hint="eastAsia" w:eastAsia="方正仿宋_GBK"/>
          <w:kern w:val="0"/>
          <w:sz w:val="32"/>
          <w:szCs w:val="32"/>
          <w:shd w:val="clear" w:color="auto" w:fill="FFFFFF"/>
          <w:lang w:val="en-US" w:eastAsia="zh-CN"/>
        </w:rPr>
        <w:t>效果</w:t>
      </w:r>
      <w:r>
        <w:rPr>
          <w:rFonts w:eastAsia="方正仿宋_GBK"/>
          <w:kern w:val="0"/>
          <w:sz w:val="32"/>
          <w:szCs w:val="32"/>
          <w:shd w:val="clear" w:color="auto" w:fill="FFFFFF"/>
          <w:lang w:val="zh-CN"/>
        </w:rPr>
        <w:t>。</w:t>
      </w:r>
    </w:p>
    <w:p>
      <w:pPr>
        <w:widowControl/>
        <w:adjustRightInd w:val="0"/>
        <w:snapToGrid w:val="0"/>
        <w:spacing w:line="578" w:lineRule="exact"/>
        <w:ind w:firstLine="640" w:firstLineChars="200"/>
        <w:contextualSpacing/>
        <w:jc w:val="left"/>
        <w:rPr>
          <w:rFonts w:hint="eastAsia" w:eastAsia="方正仿宋_GBK"/>
          <w:kern w:val="0"/>
          <w:sz w:val="32"/>
          <w:szCs w:val="32"/>
          <w:shd w:val="clear" w:color="auto" w:fill="FFFFFF"/>
          <w:lang w:val="zh-CN"/>
        </w:rPr>
      </w:pPr>
      <w:r>
        <w:rPr>
          <w:rFonts w:eastAsia="方正仿宋_GBK"/>
          <w:kern w:val="0"/>
          <w:sz w:val="32"/>
          <w:szCs w:val="32"/>
          <w:shd w:val="clear" w:color="auto" w:fill="FFFFFF"/>
          <w:lang w:val="zh-CN"/>
        </w:rPr>
        <w:t>三是提高预算绩效管理工作意识，按照预算绩效管理工作方案要求，明确职责分工，压实主体责任，强化各具体项目承办</w:t>
      </w:r>
      <w:r>
        <w:rPr>
          <w:rFonts w:eastAsia="方正仿宋_GBK"/>
          <w:kern w:val="0"/>
          <w:sz w:val="32"/>
          <w:szCs w:val="32"/>
          <w:shd w:val="clear" w:color="auto" w:fill="FFFFFF"/>
        </w:rPr>
        <w:t>股</w:t>
      </w:r>
      <w:r>
        <w:rPr>
          <w:rFonts w:eastAsia="方正仿宋_GBK"/>
          <w:kern w:val="0"/>
          <w:sz w:val="32"/>
          <w:szCs w:val="32"/>
          <w:shd w:val="clear" w:color="auto" w:fill="FFFFFF"/>
          <w:lang w:val="zh-CN"/>
        </w:rPr>
        <w:t>室的资金绩效管理意识，加强对项目需求的论证，合理测算预算资金，提高预算编制的准确性和科学性，确保预算具有较强的指引性、调控性和操作性</w:t>
      </w:r>
      <w:r>
        <w:rPr>
          <w:rFonts w:hint="eastAsia" w:eastAsia="方正仿宋_GBK"/>
          <w:kern w:val="0"/>
          <w:sz w:val="32"/>
          <w:szCs w:val="32"/>
          <w:shd w:val="clear" w:color="auto" w:fill="FFFFFF"/>
          <w:lang w:val="zh-CN"/>
        </w:rPr>
        <w:t>。</w:t>
      </w:r>
    </w:p>
    <w:p>
      <w:pPr>
        <w:widowControl/>
        <w:adjustRightInd w:val="0"/>
        <w:snapToGrid w:val="0"/>
        <w:spacing w:line="578" w:lineRule="exact"/>
        <w:ind w:firstLine="640" w:firstLineChars="200"/>
        <w:contextualSpacing/>
        <w:jc w:val="left"/>
        <w:rPr>
          <w:rFonts w:eastAsia="方正仿宋_GBK"/>
          <w:kern w:val="0"/>
          <w:sz w:val="32"/>
          <w:szCs w:val="32"/>
          <w:shd w:val="clear" w:color="auto" w:fill="FFFFFF"/>
          <w:lang w:val="zh-CN"/>
        </w:rPr>
      </w:pPr>
      <w:r>
        <w:rPr>
          <w:rFonts w:hint="eastAsia" w:eastAsia="方正仿宋_GBK"/>
          <w:kern w:val="0"/>
          <w:sz w:val="32"/>
          <w:szCs w:val="32"/>
          <w:shd w:val="clear" w:color="auto" w:fill="FFFFFF"/>
          <w:lang w:val="en-US" w:eastAsia="zh-CN"/>
        </w:rPr>
        <w:t>四</w:t>
      </w:r>
      <w:r>
        <w:rPr>
          <w:rFonts w:eastAsia="方正仿宋_GBK"/>
          <w:kern w:val="0"/>
          <w:sz w:val="32"/>
          <w:szCs w:val="32"/>
          <w:shd w:val="clear" w:color="auto" w:fill="FFFFFF"/>
          <w:lang w:val="zh-CN"/>
        </w:rPr>
        <w:t>是统筹安排政府采购项目，科学规划，提前介入，充分考虑各种影响项目进度的因素，提前做好预案，保证在预算资金下达后能尽快进入采购程序，提高政府采购的执行进度和项目的实施效率。</w:t>
      </w:r>
    </w:p>
    <w:p>
      <w:pPr>
        <w:rPr>
          <w:lang w:val="zh-CN"/>
        </w:rPr>
      </w:pPr>
    </w:p>
    <w:p>
      <w:pPr>
        <w:widowControl/>
        <w:adjustRightInd w:val="0"/>
        <w:snapToGrid w:val="0"/>
        <w:spacing w:line="560" w:lineRule="exact"/>
        <w:ind w:firstLine="640" w:firstLineChars="200"/>
        <w:contextualSpacing/>
        <w:jc w:val="left"/>
        <w:rPr>
          <w:rFonts w:eastAsia="仿宋_GB2312"/>
          <w:sz w:val="32"/>
          <w:szCs w:val="32"/>
          <w:lang w:val="zh-CN"/>
        </w:rPr>
        <w:sectPr>
          <w:pgSz w:w="11906" w:h="16838"/>
          <w:pgMar w:top="1701" w:right="1474" w:bottom="1134" w:left="1587" w:header="851" w:footer="992" w:gutter="0"/>
          <w:cols w:space="0" w:num="1"/>
          <w:titlePg/>
          <w:docGrid w:type="lines" w:linePitch="312" w:charSpace="0"/>
        </w:sectPr>
      </w:pPr>
    </w:p>
    <w:tbl>
      <w:tblPr>
        <w:tblStyle w:val="15"/>
        <w:tblpPr w:leftFromText="180" w:rightFromText="180" w:vertAnchor="text" w:horzAnchor="page" w:tblpX="1615" w:tblpY="281"/>
        <w:tblOverlap w:val="never"/>
        <w:tblW w:w="4992" w:type="pct"/>
        <w:tblInd w:w="0" w:type="dxa"/>
        <w:tblLayout w:type="autofit"/>
        <w:tblCellMar>
          <w:top w:w="0" w:type="dxa"/>
          <w:left w:w="108" w:type="dxa"/>
          <w:bottom w:w="0" w:type="dxa"/>
          <w:right w:w="108" w:type="dxa"/>
        </w:tblCellMar>
      </w:tblPr>
      <w:tblGrid>
        <w:gridCol w:w="904"/>
        <w:gridCol w:w="762"/>
        <w:gridCol w:w="648"/>
        <w:gridCol w:w="559"/>
        <w:gridCol w:w="534"/>
        <w:gridCol w:w="2135"/>
        <w:gridCol w:w="5091"/>
        <w:gridCol w:w="657"/>
        <w:gridCol w:w="657"/>
        <w:gridCol w:w="657"/>
        <w:gridCol w:w="657"/>
        <w:gridCol w:w="710"/>
      </w:tblGrid>
      <w:tr>
        <w:tblPrEx>
          <w:tblCellMar>
            <w:top w:w="0" w:type="dxa"/>
            <w:left w:w="108" w:type="dxa"/>
            <w:bottom w:w="0" w:type="dxa"/>
            <w:right w:w="108" w:type="dxa"/>
          </w:tblCellMar>
        </w:tblPrEx>
        <w:trPr>
          <w:trHeight w:val="659" w:hRule="atLeast"/>
        </w:trPr>
        <w:tc>
          <w:tcPr>
            <w:tcW w:w="5000" w:type="pct"/>
            <w:gridSpan w:val="12"/>
            <w:tcBorders>
              <w:top w:val="nil"/>
              <w:left w:val="nil"/>
              <w:bottom w:val="single" w:color="000000" w:sz="4" w:space="0"/>
              <w:right w:val="nil"/>
            </w:tcBorders>
            <w:shd w:val="clear" w:color="auto" w:fill="auto"/>
            <w:vAlign w:val="center"/>
          </w:tcPr>
          <w:p>
            <w:pPr>
              <w:widowControl/>
              <w:jc w:val="center"/>
              <w:textAlignment w:val="center"/>
              <w:rPr>
                <w:rFonts w:hint="default" w:ascii="Times New Roman" w:hAnsi="Times New Roman" w:cs="Times New Roman"/>
                <w:b/>
                <w:bCs/>
                <w:color w:val="000000"/>
                <w:szCs w:val="32"/>
              </w:rPr>
            </w:pPr>
            <w:r>
              <w:rPr>
                <w:rFonts w:hint="default" w:ascii="Times New Roman" w:hAnsi="Times New Roman" w:cs="Times New Roman"/>
                <w:b/>
                <w:bCs/>
                <w:color w:val="000000"/>
                <w:kern w:val="0"/>
                <w:sz w:val="30"/>
                <w:szCs w:val="30"/>
                <w:lang w:eastAsia="zh-CN" w:bidi="ar"/>
              </w:rPr>
              <w:t>达川区</w:t>
            </w:r>
            <w:r>
              <w:rPr>
                <w:rFonts w:hint="eastAsia" w:cs="Times New Roman"/>
                <w:b/>
                <w:bCs/>
                <w:color w:val="000000"/>
                <w:kern w:val="0"/>
                <w:sz w:val="30"/>
                <w:szCs w:val="30"/>
                <w:lang w:val="en-US" w:eastAsia="zh-CN" w:bidi="ar"/>
              </w:rPr>
              <w:t>实验</w:t>
            </w:r>
            <w:r>
              <w:rPr>
                <w:rFonts w:hint="default" w:ascii="Times New Roman" w:hAnsi="Times New Roman" w:cs="Times New Roman"/>
                <w:b/>
                <w:bCs/>
                <w:color w:val="000000"/>
                <w:kern w:val="0"/>
                <w:sz w:val="30"/>
                <w:szCs w:val="30"/>
                <w:lang w:eastAsia="zh-CN" w:bidi="ar"/>
              </w:rPr>
              <w:t>幼儿园</w:t>
            </w:r>
            <w:r>
              <w:rPr>
                <w:rFonts w:hint="default" w:ascii="Times New Roman" w:hAnsi="Times New Roman" w:cs="Times New Roman"/>
                <w:b/>
                <w:bCs/>
                <w:color w:val="000000"/>
                <w:kern w:val="0"/>
                <w:sz w:val="30"/>
                <w:szCs w:val="30"/>
                <w:lang w:bidi="ar"/>
              </w:rPr>
              <w:t>2023年整体支出绩效评价</w:t>
            </w:r>
          </w:p>
        </w:tc>
      </w:tr>
      <w:tr>
        <w:tblPrEx>
          <w:tblCellMar>
            <w:top w:w="0" w:type="dxa"/>
            <w:left w:w="108" w:type="dxa"/>
            <w:bottom w:w="0" w:type="dxa"/>
            <w:right w:w="108" w:type="dxa"/>
          </w:tblCellMar>
        </w:tblPrEx>
        <w:trPr>
          <w:trHeight w:val="362" w:hRule="atLeast"/>
        </w:trPr>
        <w:tc>
          <w:tcPr>
            <w:tcW w:w="8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绩效指标</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分值</w:t>
            </w:r>
          </w:p>
        </w:tc>
        <w:tc>
          <w:tcPr>
            <w:tcW w:w="1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评价得分</w:t>
            </w:r>
          </w:p>
        </w:tc>
        <w:tc>
          <w:tcPr>
            <w:tcW w:w="7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指标解释</w:t>
            </w:r>
          </w:p>
        </w:tc>
        <w:tc>
          <w:tcPr>
            <w:tcW w:w="18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计分标准</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评价方式</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评价属性</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备注</w:t>
            </w:r>
          </w:p>
        </w:tc>
      </w:tr>
      <w:tr>
        <w:tblPrEx>
          <w:tblCellMar>
            <w:top w:w="0" w:type="dxa"/>
            <w:left w:w="108" w:type="dxa"/>
            <w:bottom w:w="0" w:type="dxa"/>
            <w:right w:w="108" w:type="dxa"/>
          </w:tblCellMar>
        </w:tblPrEx>
        <w:trPr>
          <w:trHeight w:val="1003"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一级指标</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二级指标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三级指标</w:t>
            </w: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b/>
                <w:bCs/>
                <w:color w:val="000000"/>
                <w:sz w:val="18"/>
                <w:szCs w:val="18"/>
              </w:rPr>
            </w:pPr>
          </w:p>
        </w:tc>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b/>
                <w:bCs/>
                <w:color w:val="000000"/>
                <w:sz w:val="18"/>
                <w:szCs w:val="18"/>
              </w:rPr>
            </w:pPr>
          </w:p>
        </w:tc>
        <w:tc>
          <w:tcPr>
            <w:tcW w:w="7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b/>
                <w:bCs/>
                <w:color w:val="000000"/>
                <w:sz w:val="18"/>
                <w:szCs w:val="18"/>
              </w:rPr>
            </w:pPr>
          </w:p>
        </w:tc>
        <w:tc>
          <w:tcPr>
            <w:tcW w:w="1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整体评价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样本评价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定性评价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定量评价</w:t>
            </w: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b/>
                <w:bCs/>
                <w:color w:val="000000"/>
                <w:sz w:val="18"/>
                <w:szCs w:val="18"/>
              </w:rPr>
            </w:pPr>
          </w:p>
        </w:tc>
      </w:tr>
      <w:tr>
        <w:tblPrEx>
          <w:tblCellMar>
            <w:top w:w="0" w:type="dxa"/>
            <w:left w:w="108" w:type="dxa"/>
            <w:bottom w:w="0" w:type="dxa"/>
            <w:right w:w="108" w:type="dxa"/>
          </w:tblCellMar>
        </w:tblPrEx>
        <w:trPr>
          <w:trHeight w:val="362" w:hRule="atLeast"/>
        </w:trPr>
        <w:tc>
          <w:tcPr>
            <w:tcW w:w="8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得分合计</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lang w:val="en-US" w:eastAsia="zh-CN"/>
              </w:rPr>
            </w:pPr>
            <w:r>
              <w:rPr>
                <w:rFonts w:hint="default" w:ascii="Times New Roman" w:hAnsi="Times New Roman" w:cs="Times New Roman"/>
                <w:b/>
                <w:bCs/>
                <w:color w:val="000000"/>
                <w:sz w:val="18"/>
                <w:szCs w:val="18"/>
                <w:lang w:val="en-US" w:eastAsia="zh-CN"/>
              </w:rPr>
              <w:t>100</w:t>
            </w:r>
          </w:p>
        </w:tc>
        <w:tc>
          <w:tcPr>
            <w:tcW w:w="2777" w:type="pct"/>
            <w:gridSpan w:val="3"/>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rFonts w:hint="eastAsia" w:ascii="Times New Roman" w:hAnsi="Times New Roman" w:eastAsia="宋体" w:cs="Times New Roman"/>
                <w:b/>
                <w:bCs/>
                <w:color w:val="000000"/>
                <w:sz w:val="18"/>
                <w:szCs w:val="18"/>
                <w:lang w:val="en-US" w:eastAsia="zh-CN"/>
              </w:rPr>
            </w:pPr>
            <w:r>
              <w:rPr>
                <w:rFonts w:hint="default" w:ascii="Times New Roman" w:hAnsi="Times New Roman" w:cs="Times New Roman"/>
                <w:b/>
                <w:bCs/>
                <w:color w:val="000000"/>
                <w:sz w:val="18"/>
                <w:szCs w:val="18"/>
              </w:rPr>
              <w:t>8</w:t>
            </w:r>
            <w:r>
              <w:rPr>
                <w:rFonts w:hint="eastAsia" w:cs="Times New Roman"/>
                <w:b/>
                <w:bCs/>
                <w:color w:val="000000"/>
                <w:sz w:val="18"/>
                <w:szCs w:val="18"/>
                <w:lang w:val="en-US" w:eastAsia="zh-CN"/>
              </w:rPr>
              <w:t>6</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b/>
                <w:bCs/>
                <w:color w:val="000000"/>
                <w:sz w:val="18"/>
                <w:szCs w:val="18"/>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b/>
                <w:bCs/>
                <w:color w:val="000000"/>
                <w:sz w:val="18"/>
                <w:szCs w:val="18"/>
              </w:rPr>
            </w:pPr>
          </w:p>
        </w:tc>
      </w:tr>
      <w:tr>
        <w:tblPrEx>
          <w:tblCellMar>
            <w:top w:w="0" w:type="dxa"/>
            <w:left w:w="108" w:type="dxa"/>
            <w:bottom w:w="0" w:type="dxa"/>
            <w:right w:w="108" w:type="dxa"/>
          </w:tblCellMar>
        </w:tblPrEx>
        <w:trPr>
          <w:trHeight w:val="1999" w:hRule="atLeast"/>
        </w:trPr>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eastAsia="宋体" w:cs="Times New Roman"/>
                <w:i w:val="0"/>
                <w:iCs w:val="0"/>
                <w:caps w:val="0"/>
                <w:color w:val="000000"/>
                <w:spacing w:val="0"/>
                <w:sz w:val="19"/>
                <w:szCs w:val="19"/>
                <w:shd w:val="clear" w:fill="FFFFFF"/>
              </w:rPr>
              <w:t>专项预算项目绩效管理得分为40分</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eastAsia="宋体" w:cs="Times New Roman"/>
                <w:i w:val="0"/>
                <w:iCs w:val="0"/>
                <w:caps w:val="0"/>
                <w:color w:val="000000"/>
                <w:spacing w:val="0"/>
                <w:sz w:val="19"/>
                <w:szCs w:val="19"/>
                <w:shd w:val="clear" w:fill="FFFFFF"/>
              </w:rPr>
              <w:t>目标管理得分（15分）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目标制定</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评价部门绩效目标是否要素完整、细化量化并集体决策。</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微软雅黑" w:cs="Times New Roman"/>
                <w:i w:val="0"/>
                <w:iCs w:val="0"/>
                <w:caps w:val="0"/>
                <w:color w:val="000000"/>
                <w:spacing w:val="0"/>
                <w:sz w:val="19"/>
                <w:szCs w:val="19"/>
              </w:rPr>
              <w:t>1.</w:t>
            </w:r>
            <w:r>
              <w:rPr>
                <w:rFonts w:hint="default" w:ascii="Times New Roman" w:hAnsi="Times New Roman" w:eastAsia="宋体" w:cs="Times New Roman"/>
                <w:i w:val="0"/>
                <w:iCs w:val="0"/>
                <w:caps w:val="0"/>
                <w:color w:val="000000"/>
                <w:spacing w:val="0"/>
                <w:sz w:val="19"/>
                <w:szCs w:val="19"/>
              </w:rPr>
              <w:t>绩效目标编制要素完整的得</w:t>
            </w:r>
            <w:r>
              <w:rPr>
                <w:rFonts w:hint="default" w:ascii="Times New Roman" w:hAnsi="Times New Roman" w:eastAsia="微软雅黑" w:cs="Times New Roman"/>
                <w:i w:val="0"/>
                <w:iCs w:val="0"/>
                <w:caps w:val="0"/>
                <w:color w:val="000000"/>
                <w:spacing w:val="0"/>
                <w:sz w:val="19"/>
                <w:szCs w:val="19"/>
              </w:rPr>
              <w:t>2</w:t>
            </w:r>
            <w:r>
              <w:rPr>
                <w:rFonts w:hint="default" w:ascii="Times New Roman" w:hAnsi="Times New Roman" w:eastAsia="宋体" w:cs="Times New Roman"/>
                <w:i w:val="0"/>
                <w:iCs w:val="0"/>
                <w:caps w:val="0"/>
                <w:color w:val="000000"/>
                <w:spacing w:val="0"/>
                <w:sz w:val="19"/>
                <w:szCs w:val="19"/>
              </w:rPr>
              <w:t>分。</w:t>
            </w:r>
            <w:r>
              <w:rPr>
                <w:rFonts w:hint="default" w:ascii="Times New Roman" w:hAnsi="Times New Roman" w:eastAsia="微软雅黑" w:cs="Times New Roman"/>
                <w:i w:val="0"/>
                <w:iCs w:val="0"/>
                <w:caps w:val="0"/>
                <w:color w:val="000000"/>
                <w:spacing w:val="0"/>
                <w:sz w:val="19"/>
                <w:szCs w:val="19"/>
              </w:rPr>
              <w:t>2.</w:t>
            </w:r>
            <w:r>
              <w:rPr>
                <w:rFonts w:hint="default" w:ascii="Times New Roman" w:hAnsi="Times New Roman" w:eastAsia="宋体" w:cs="Times New Roman"/>
                <w:i w:val="0"/>
                <w:iCs w:val="0"/>
                <w:caps w:val="0"/>
                <w:color w:val="000000"/>
                <w:spacing w:val="0"/>
                <w:sz w:val="19"/>
                <w:szCs w:val="19"/>
              </w:rPr>
              <w:t>绩效指标细化量化的得</w:t>
            </w:r>
            <w:r>
              <w:rPr>
                <w:rFonts w:hint="default" w:ascii="Times New Roman" w:hAnsi="Times New Roman" w:eastAsia="微软雅黑" w:cs="Times New Roman"/>
                <w:i w:val="0"/>
                <w:iCs w:val="0"/>
                <w:caps w:val="0"/>
                <w:color w:val="000000"/>
                <w:spacing w:val="0"/>
                <w:sz w:val="19"/>
                <w:szCs w:val="19"/>
              </w:rPr>
              <w:t>2</w:t>
            </w:r>
            <w:r>
              <w:rPr>
                <w:rFonts w:hint="default" w:ascii="Times New Roman" w:hAnsi="Times New Roman" w:eastAsia="宋体" w:cs="Times New Roman"/>
                <w:i w:val="0"/>
                <w:iCs w:val="0"/>
                <w:caps w:val="0"/>
                <w:color w:val="000000"/>
                <w:spacing w:val="0"/>
                <w:sz w:val="19"/>
                <w:szCs w:val="19"/>
              </w:rPr>
              <w:t>分。</w:t>
            </w:r>
            <w:r>
              <w:rPr>
                <w:rFonts w:hint="default" w:ascii="Times New Roman" w:hAnsi="Times New Roman" w:eastAsia="微软雅黑" w:cs="Times New Roman"/>
                <w:i w:val="0"/>
                <w:iCs w:val="0"/>
                <w:caps w:val="0"/>
                <w:color w:val="000000"/>
                <w:spacing w:val="0"/>
                <w:sz w:val="19"/>
                <w:szCs w:val="19"/>
              </w:rPr>
              <w:t> 3.</w:t>
            </w:r>
            <w:r>
              <w:rPr>
                <w:rFonts w:hint="default" w:ascii="Times New Roman" w:hAnsi="Times New Roman" w:eastAsia="宋体" w:cs="Times New Roman"/>
                <w:i w:val="0"/>
                <w:iCs w:val="0"/>
                <w:caps w:val="0"/>
                <w:color w:val="000000"/>
                <w:spacing w:val="0"/>
                <w:sz w:val="19"/>
                <w:szCs w:val="19"/>
              </w:rPr>
              <w:t>评价部门绩效目标纳入部门党组（委）会（办公会）集体决策范围的，得</w:t>
            </w:r>
            <w:r>
              <w:rPr>
                <w:rFonts w:hint="default" w:ascii="Times New Roman" w:hAnsi="Times New Roman" w:eastAsia="微软雅黑" w:cs="Times New Roman"/>
                <w:i w:val="0"/>
                <w:iCs w:val="0"/>
                <w:caps w:val="0"/>
                <w:color w:val="000000"/>
                <w:spacing w:val="0"/>
                <w:sz w:val="19"/>
                <w:szCs w:val="19"/>
              </w:rPr>
              <w:t>1</w:t>
            </w:r>
            <w:r>
              <w:rPr>
                <w:rFonts w:hint="default" w:ascii="Times New Roman" w:hAnsi="Times New Roman" w:eastAsia="宋体" w:cs="Times New Roman"/>
                <w:i w:val="0"/>
                <w:iCs w:val="0"/>
                <w:caps w:val="0"/>
                <w:color w:val="000000"/>
                <w:spacing w:val="0"/>
                <w:sz w:val="19"/>
                <w:szCs w:val="19"/>
              </w:rPr>
              <w:t>分，否则不得分。  </w:t>
            </w:r>
            <w:r>
              <w:rPr>
                <w:rFonts w:hint="default" w:ascii="Times New Roman" w:hAnsi="Times New Roman" w:eastAsia="微软雅黑" w:cs="Times New Roman"/>
                <w:i w:val="0"/>
                <w:iCs w:val="0"/>
                <w:caps w:val="0"/>
                <w:color w:val="000000"/>
                <w:spacing w:val="0"/>
                <w:sz w:val="19"/>
                <w:szCs w:val="19"/>
              </w:rPr>
              <w:t>4.有</w:t>
            </w:r>
            <w:r>
              <w:rPr>
                <w:rFonts w:hint="default" w:ascii="Times New Roman" w:hAnsi="Times New Roman" w:eastAsia="宋体" w:cs="Times New Roman"/>
                <w:i w:val="0"/>
                <w:iCs w:val="0"/>
                <w:caps w:val="0"/>
                <w:color w:val="000000"/>
                <w:spacing w:val="0"/>
                <w:sz w:val="19"/>
                <w:szCs w:val="19"/>
              </w:rPr>
              <w:t>项目绩效目标的部门（单位），根据项目绩效目标编制质量打分，无项目绩效目标的部门，根据部门整体支出绩效目标打分</w:t>
            </w:r>
            <w:r>
              <w:rPr>
                <w:rFonts w:hint="default" w:ascii="Times New Roman" w:hAnsi="Times New Roman" w:cs="Times New Roman"/>
                <w:color w:val="000000"/>
                <w:kern w:val="0"/>
                <w:sz w:val="20"/>
                <w:szCs w:val="20"/>
                <w:lang w:bidi="ar"/>
              </w:rPr>
              <w:t xml:space="preserve">。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2981"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目标实现</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评价部门绩效目标实际实现程度与预期目标的偏离度。</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Times New Roman" w:hAnsi="Times New Roman" w:eastAsia="微软雅黑" w:cs="Times New Roman"/>
                <w:sz w:val="20"/>
                <w:szCs w:val="20"/>
                <w:lang w:eastAsia="zh-CN"/>
              </w:rPr>
            </w:pPr>
            <w:r>
              <w:rPr>
                <w:rFonts w:hint="default" w:ascii="Times New Roman" w:hAnsi="Times New Roman" w:eastAsia="宋体" w:cs="Times New Roman"/>
                <w:i w:val="0"/>
                <w:iCs w:val="0"/>
                <w:caps w:val="0"/>
                <w:color w:val="000000"/>
                <w:spacing w:val="0"/>
                <w:sz w:val="19"/>
                <w:szCs w:val="19"/>
              </w:rPr>
              <w:t>以项目完成数量为核心，评价项目实际完成情况与预期绩效目标偏离度，单项数量指标实际完成未达到预期指标或超过预期指标</w:t>
            </w:r>
            <w:r>
              <w:rPr>
                <w:rFonts w:hint="default" w:ascii="Times New Roman" w:hAnsi="Times New Roman" w:eastAsia="微软雅黑" w:cs="Times New Roman"/>
                <w:i w:val="0"/>
                <w:iCs w:val="0"/>
                <w:caps w:val="0"/>
                <w:color w:val="000000"/>
                <w:spacing w:val="0"/>
                <w:sz w:val="19"/>
                <w:szCs w:val="19"/>
              </w:rPr>
              <w:t>30%</w:t>
            </w:r>
            <w:r>
              <w:rPr>
                <w:rFonts w:hint="default" w:ascii="Times New Roman" w:hAnsi="Times New Roman" w:eastAsia="宋体" w:cs="Times New Roman"/>
                <w:i w:val="0"/>
                <w:iCs w:val="0"/>
                <w:caps w:val="0"/>
                <w:color w:val="000000"/>
                <w:spacing w:val="0"/>
                <w:sz w:val="19"/>
                <w:szCs w:val="19"/>
              </w:rPr>
              <w:t>以上的，均不计分。该项指标得分</w:t>
            </w:r>
            <w:r>
              <w:rPr>
                <w:rFonts w:hint="default" w:ascii="Times New Roman" w:hAnsi="Times New Roman" w:eastAsia="微软雅黑" w:cs="Times New Roman"/>
                <w:i w:val="0"/>
                <w:iCs w:val="0"/>
                <w:caps w:val="0"/>
                <w:color w:val="000000"/>
                <w:spacing w:val="0"/>
                <w:sz w:val="19"/>
                <w:szCs w:val="19"/>
              </w:rPr>
              <w:t>=</w:t>
            </w:r>
            <w:r>
              <w:rPr>
                <w:rFonts w:hint="default" w:ascii="Times New Roman" w:hAnsi="Times New Roman" w:eastAsia="宋体" w:cs="Times New Roman"/>
                <w:i w:val="0"/>
                <w:iCs w:val="0"/>
                <w:caps w:val="0"/>
                <w:color w:val="000000"/>
                <w:spacing w:val="0"/>
                <w:sz w:val="19"/>
                <w:szCs w:val="19"/>
              </w:rPr>
              <w:t>达到预期值的数量指标个数</w:t>
            </w:r>
            <w:r>
              <w:rPr>
                <w:rFonts w:hint="default" w:ascii="Times New Roman" w:hAnsi="Times New Roman" w:eastAsia="微软雅黑" w:cs="Times New Roman"/>
                <w:i w:val="0"/>
                <w:iCs w:val="0"/>
                <w:caps w:val="0"/>
                <w:color w:val="000000"/>
                <w:spacing w:val="0"/>
                <w:sz w:val="19"/>
                <w:szCs w:val="19"/>
              </w:rPr>
              <w:t>/</w:t>
            </w:r>
            <w:r>
              <w:rPr>
                <w:rFonts w:hint="default" w:ascii="Times New Roman" w:hAnsi="Times New Roman" w:eastAsia="宋体" w:cs="Times New Roman"/>
                <w:i w:val="0"/>
                <w:iCs w:val="0"/>
                <w:caps w:val="0"/>
                <w:color w:val="000000"/>
                <w:spacing w:val="0"/>
                <w:sz w:val="19"/>
                <w:szCs w:val="19"/>
              </w:rPr>
              <w:t>全部数量指标个数（即评价选取的项目绩效目标包含的所有数量指标）</w:t>
            </w:r>
            <w:r>
              <w:rPr>
                <w:rFonts w:hint="default" w:ascii="Times New Roman" w:hAnsi="Times New Roman" w:eastAsia="微软雅黑" w:cs="Times New Roman"/>
                <w:i w:val="0"/>
                <w:iCs w:val="0"/>
                <w:caps w:val="0"/>
                <w:color w:val="000000"/>
                <w:spacing w:val="0"/>
                <w:sz w:val="19"/>
                <w:szCs w:val="19"/>
              </w:rPr>
              <w:t>*10</w:t>
            </w:r>
            <w:r>
              <w:rPr>
                <w:rFonts w:hint="eastAsia" w:eastAsia="微软雅黑" w:cs="Times New Roman"/>
                <w:i w:val="0"/>
                <w:iCs w:val="0"/>
                <w:caps w:val="0"/>
                <w:color w:val="000000"/>
                <w:spacing w:val="0"/>
                <w:sz w:val="19"/>
                <w:szCs w:val="19"/>
                <w:lang w:eastAsia="zh-CN"/>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aps w:val="0"/>
                <w:color w:val="000000"/>
                <w:spacing w:val="0"/>
                <w:sz w:val="19"/>
                <w:szCs w:val="19"/>
              </w:rPr>
              <w:t>部门</w:t>
            </w:r>
            <w:r>
              <w:rPr>
                <w:rFonts w:hint="default" w:ascii="Times New Roman" w:hAnsi="Times New Roman" w:eastAsia="宋体" w:cs="Times New Roman"/>
                <w:i w:val="0"/>
                <w:iCs w:val="0"/>
                <w:caps w:val="0"/>
                <w:color w:val="000000"/>
                <w:spacing w:val="0"/>
                <w:sz w:val="16"/>
                <w:szCs w:val="16"/>
              </w:rPr>
              <w:t>自评范围为部门所有纳入绩效目标管理的部门预算项目</w:t>
            </w:r>
          </w:p>
        </w:tc>
      </w:tr>
      <w:tr>
        <w:tblPrEx>
          <w:tblCellMar>
            <w:top w:w="0" w:type="dxa"/>
            <w:left w:w="108" w:type="dxa"/>
            <w:bottom w:w="0" w:type="dxa"/>
            <w:right w:w="108" w:type="dxa"/>
          </w:tblCellMar>
        </w:tblPrEx>
        <w:trPr>
          <w:trHeight w:val="1344"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 xml:space="preserve">                                                                             动态调整</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10分</w:t>
            </w:r>
            <w:r>
              <w:rPr>
                <w:rFonts w:hint="default" w:ascii="Times New Roman" w:hAnsi="Times New Roman" w:cs="Times New Roman"/>
                <w:color w:val="000000"/>
                <w:kern w:val="0"/>
                <w:sz w:val="20"/>
                <w:szCs w:val="20"/>
                <w:lang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支出控制</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lang w:val="en-US" w:eastAsia="zh-CN"/>
              </w:rPr>
            </w:pPr>
            <w:r>
              <w:rPr>
                <w:rFonts w:hint="eastAsia" w:cs="Times New Roman"/>
                <w:color w:val="000000"/>
                <w:sz w:val="20"/>
                <w:szCs w:val="20"/>
                <w:lang w:val="en-US" w:eastAsia="zh-CN"/>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部门公用经费及非定额公用支出控制情况。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计算部门日常公用经费、项目支出中</w:t>
            </w:r>
            <w:r>
              <w:rPr>
                <w:rFonts w:hint="default" w:ascii="Times New Roman" w:hAnsi="Times New Roman" w:eastAsia="微软雅黑" w:cs="Times New Roman"/>
                <w:i w:val="0"/>
                <w:iCs w:val="0"/>
                <w:caps w:val="0"/>
                <w:color w:val="000000"/>
                <w:spacing w:val="0"/>
                <w:sz w:val="19"/>
                <w:szCs w:val="19"/>
              </w:rPr>
              <w:t>“</w:t>
            </w:r>
            <w:r>
              <w:rPr>
                <w:rFonts w:hint="default" w:ascii="Times New Roman" w:hAnsi="Times New Roman" w:eastAsia="宋体" w:cs="Times New Roman"/>
                <w:i w:val="0"/>
                <w:iCs w:val="0"/>
                <w:caps w:val="0"/>
                <w:color w:val="000000"/>
                <w:spacing w:val="0"/>
                <w:sz w:val="19"/>
                <w:szCs w:val="19"/>
              </w:rPr>
              <w:t>办公费、印刷费、水费、电费、物业管理费</w:t>
            </w:r>
            <w:r>
              <w:rPr>
                <w:rFonts w:hint="default" w:ascii="Times New Roman" w:hAnsi="Times New Roman" w:eastAsia="微软雅黑" w:cs="Times New Roman"/>
                <w:i w:val="0"/>
                <w:iCs w:val="0"/>
                <w:caps w:val="0"/>
                <w:color w:val="000000"/>
                <w:spacing w:val="0"/>
                <w:sz w:val="19"/>
                <w:szCs w:val="19"/>
              </w:rPr>
              <w:t>”</w:t>
            </w:r>
            <w:r>
              <w:rPr>
                <w:rFonts w:hint="default" w:ascii="Times New Roman" w:hAnsi="Times New Roman" w:eastAsia="宋体" w:cs="Times New Roman"/>
                <w:i w:val="0"/>
                <w:iCs w:val="0"/>
                <w:caps w:val="0"/>
                <w:color w:val="000000"/>
                <w:spacing w:val="0"/>
                <w:sz w:val="19"/>
                <w:szCs w:val="19"/>
              </w:rPr>
              <w:t>等科目年初预算数与决算数偏差程度。</w:t>
            </w:r>
            <w:r>
              <w:rPr>
                <w:rFonts w:hint="default" w:ascii="Times New Roman" w:hAnsi="Times New Roman" w:cs="Times New Roman"/>
                <w:color w:val="000000"/>
                <w:kern w:val="0"/>
                <w:sz w:val="20"/>
                <w:szCs w:val="20"/>
                <w:lang w:bidi="ar"/>
              </w:rPr>
              <w:t xml:space="preserve">                                                          </w:t>
            </w:r>
            <w:r>
              <w:rPr>
                <w:rFonts w:hint="default" w:ascii="Times New Roman" w:hAnsi="Times New Roman" w:eastAsia="宋体" w:cs="Times New Roman"/>
                <w:i w:val="0"/>
                <w:iCs w:val="0"/>
                <w:caps w:val="0"/>
                <w:color w:val="000000"/>
                <w:spacing w:val="0"/>
                <w:sz w:val="19"/>
                <w:szCs w:val="19"/>
              </w:rPr>
              <w:t>预决算偏差程度在</w:t>
            </w:r>
            <w:r>
              <w:rPr>
                <w:rFonts w:hint="default" w:ascii="Times New Roman" w:hAnsi="Times New Roman" w:eastAsia="微软雅黑" w:cs="Times New Roman"/>
                <w:i w:val="0"/>
                <w:iCs w:val="0"/>
                <w:caps w:val="0"/>
                <w:color w:val="000000"/>
                <w:spacing w:val="0"/>
                <w:sz w:val="19"/>
                <w:szCs w:val="19"/>
              </w:rPr>
              <w:t>10%</w:t>
            </w:r>
            <w:r>
              <w:rPr>
                <w:rFonts w:hint="default" w:ascii="Times New Roman" w:hAnsi="Times New Roman" w:eastAsia="宋体" w:cs="Times New Roman"/>
                <w:i w:val="0"/>
                <w:iCs w:val="0"/>
                <w:caps w:val="0"/>
                <w:color w:val="000000"/>
                <w:spacing w:val="0"/>
                <w:sz w:val="19"/>
                <w:szCs w:val="19"/>
              </w:rPr>
              <w:t>以内的，得</w:t>
            </w:r>
            <w:r>
              <w:rPr>
                <w:rFonts w:hint="default" w:ascii="Times New Roman" w:hAnsi="Times New Roman" w:eastAsia="微软雅黑" w:cs="Times New Roman"/>
                <w:i w:val="0"/>
                <w:iCs w:val="0"/>
                <w:caps w:val="0"/>
                <w:color w:val="000000"/>
                <w:spacing w:val="0"/>
                <w:sz w:val="19"/>
                <w:szCs w:val="19"/>
              </w:rPr>
              <w:t>2</w:t>
            </w:r>
            <w:r>
              <w:rPr>
                <w:rFonts w:hint="default" w:ascii="Times New Roman" w:hAnsi="Times New Roman" w:eastAsia="宋体" w:cs="Times New Roman"/>
                <w:i w:val="0"/>
                <w:iCs w:val="0"/>
                <w:caps w:val="0"/>
                <w:color w:val="000000"/>
                <w:spacing w:val="0"/>
                <w:sz w:val="19"/>
                <w:szCs w:val="19"/>
              </w:rPr>
              <w:t>分。偏差度在</w:t>
            </w:r>
            <w:r>
              <w:rPr>
                <w:rFonts w:hint="default" w:ascii="Times New Roman" w:hAnsi="Times New Roman" w:eastAsia="微软雅黑" w:cs="Times New Roman"/>
                <w:i w:val="0"/>
                <w:iCs w:val="0"/>
                <w:caps w:val="0"/>
                <w:color w:val="000000"/>
                <w:spacing w:val="0"/>
                <w:sz w:val="19"/>
                <w:szCs w:val="19"/>
              </w:rPr>
              <w:t>10%-20%</w:t>
            </w:r>
            <w:r>
              <w:rPr>
                <w:rFonts w:hint="default" w:ascii="Times New Roman" w:hAnsi="Times New Roman" w:eastAsia="宋体" w:cs="Times New Roman"/>
                <w:i w:val="0"/>
                <w:iCs w:val="0"/>
                <w:caps w:val="0"/>
                <w:color w:val="000000"/>
                <w:spacing w:val="0"/>
                <w:sz w:val="19"/>
                <w:szCs w:val="19"/>
              </w:rPr>
              <w:t>之间的，得</w:t>
            </w:r>
            <w:r>
              <w:rPr>
                <w:rFonts w:hint="default" w:ascii="Times New Roman" w:hAnsi="Times New Roman" w:eastAsia="微软雅黑" w:cs="Times New Roman"/>
                <w:i w:val="0"/>
                <w:iCs w:val="0"/>
                <w:caps w:val="0"/>
                <w:color w:val="000000"/>
                <w:spacing w:val="0"/>
                <w:sz w:val="19"/>
                <w:szCs w:val="19"/>
              </w:rPr>
              <w:t>1</w:t>
            </w:r>
            <w:r>
              <w:rPr>
                <w:rFonts w:hint="default" w:ascii="Times New Roman" w:hAnsi="Times New Roman" w:eastAsia="宋体" w:cs="Times New Roman"/>
                <w:i w:val="0"/>
                <w:iCs w:val="0"/>
                <w:caps w:val="0"/>
                <w:color w:val="000000"/>
                <w:spacing w:val="0"/>
                <w:sz w:val="19"/>
                <w:szCs w:val="19"/>
              </w:rPr>
              <w:t>分，偏差度超过</w:t>
            </w:r>
            <w:r>
              <w:rPr>
                <w:rFonts w:hint="default" w:ascii="Times New Roman" w:hAnsi="Times New Roman" w:eastAsia="微软雅黑" w:cs="Times New Roman"/>
                <w:i w:val="0"/>
                <w:iCs w:val="0"/>
                <w:caps w:val="0"/>
                <w:color w:val="000000"/>
                <w:spacing w:val="0"/>
                <w:sz w:val="19"/>
                <w:szCs w:val="19"/>
              </w:rPr>
              <w:t>20%</w:t>
            </w:r>
            <w:r>
              <w:rPr>
                <w:rFonts w:hint="default" w:ascii="Times New Roman" w:hAnsi="Times New Roman" w:eastAsia="宋体" w:cs="Times New Roman"/>
                <w:i w:val="0"/>
                <w:iCs w:val="0"/>
                <w:caps w:val="0"/>
                <w:color w:val="000000"/>
                <w:spacing w:val="0"/>
                <w:sz w:val="19"/>
                <w:szCs w:val="19"/>
              </w:rPr>
              <w:t>的，不得分。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232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及时处置</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评价部门开展绩效运行监控后，将绩效监控结果应用到预算调整的情况。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微软雅黑" w:cs="Times New Roman"/>
                <w:i w:val="0"/>
                <w:iCs w:val="0"/>
                <w:caps w:val="0"/>
                <w:color w:val="000000"/>
                <w:spacing w:val="0"/>
                <w:sz w:val="19"/>
                <w:szCs w:val="19"/>
              </w:rPr>
              <w:t>1.</w:t>
            </w:r>
            <w:r>
              <w:rPr>
                <w:rFonts w:hint="default" w:ascii="Times New Roman" w:hAnsi="Times New Roman" w:eastAsia="宋体" w:cs="Times New Roman"/>
                <w:i w:val="0"/>
                <w:iCs w:val="0"/>
                <w:caps w:val="0"/>
                <w:color w:val="000000"/>
                <w:spacing w:val="0"/>
                <w:sz w:val="19"/>
                <w:szCs w:val="19"/>
              </w:rPr>
              <w:t>当部门绩效监控调整取消额和结余注销额均不为零时，指标得分</w:t>
            </w:r>
            <w:r>
              <w:rPr>
                <w:rFonts w:hint="default" w:ascii="Times New Roman" w:hAnsi="Times New Roman" w:eastAsia="微软雅黑" w:cs="Times New Roman"/>
                <w:i w:val="0"/>
                <w:iCs w:val="0"/>
                <w:caps w:val="0"/>
                <w:color w:val="000000"/>
                <w:spacing w:val="0"/>
                <w:sz w:val="19"/>
                <w:szCs w:val="19"/>
              </w:rPr>
              <w:t>=</w:t>
            </w:r>
            <w:r>
              <w:rPr>
                <w:rFonts w:hint="default" w:ascii="Times New Roman" w:hAnsi="Times New Roman" w:eastAsia="宋体" w:cs="Times New Roman"/>
                <w:i w:val="0"/>
                <w:iCs w:val="0"/>
                <w:caps w:val="0"/>
                <w:color w:val="000000"/>
                <w:spacing w:val="0"/>
                <w:sz w:val="19"/>
                <w:szCs w:val="19"/>
              </w:rPr>
              <w:t>部门项目支出绩效监控调整取消额</w:t>
            </w:r>
            <w:r>
              <w:rPr>
                <w:rFonts w:hint="default" w:ascii="Times New Roman" w:hAnsi="Times New Roman" w:eastAsia="微软雅黑" w:cs="Times New Roman"/>
                <w:i w:val="0"/>
                <w:iCs w:val="0"/>
                <w:caps w:val="0"/>
                <w:color w:val="000000"/>
                <w:spacing w:val="0"/>
                <w:sz w:val="19"/>
                <w:szCs w:val="19"/>
              </w:rPr>
              <w:t>÷</w:t>
            </w:r>
            <w:r>
              <w:rPr>
                <w:rFonts w:hint="default" w:ascii="Times New Roman" w:hAnsi="Times New Roman" w:eastAsia="宋体" w:cs="Times New Roman"/>
                <w:i w:val="0"/>
                <w:iCs w:val="0"/>
                <w:caps w:val="0"/>
                <w:color w:val="000000"/>
                <w:spacing w:val="0"/>
                <w:sz w:val="19"/>
                <w:szCs w:val="19"/>
              </w:rPr>
              <w:t>（部门绩效监控调整取消额</w:t>
            </w:r>
            <w:r>
              <w:rPr>
                <w:rFonts w:hint="default" w:ascii="Times New Roman" w:hAnsi="Times New Roman" w:eastAsia="微软雅黑" w:cs="Times New Roman"/>
                <w:i w:val="0"/>
                <w:iCs w:val="0"/>
                <w:caps w:val="0"/>
                <w:color w:val="000000"/>
                <w:spacing w:val="0"/>
                <w:sz w:val="19"/>
                <w:szCs w:val="19"/>
              </w:rPr>
              <w:t>+</w:t>
            </w:r>
            <w:r>
              <w:rPr>
                <w:rFonts w:hint="default" w:ascii="Times New Roman" w:hAnsi="Times New Roman" w:eastAsia="宋体" w:cs="Times New Roman"/>
                <w:i w:val="0"/>
                <w:iCs w:val="0"/>
                <w:caps w:val="0"/>
                <w:color w:val="000000"/>
                <w:spacing w:val="0"/>
                <w:sz w:val="19"/>
                <w:szCs w:val="19"/>
              </w:rPr>
              <w:t>预算结余注销额）</w:t>
            </w:r>
            <w:r>
              <w:rPr>
                <w:rFonts w:hint="default" w:ascii="Times New Roman" w:hAnsi="Times New Roman" w:eastAsia="微软雅黑" w:cs="Times New Roman"/>
                <w:i w:val="0"/>
                <w:iCs w:val="0"/>
                <w:caps w:val="0"/>
                <w:color w:val="000000"/>
                <w:spacing w:val="0"/>
                <w:sz w:val="19"/>
                <w:szCs w:val="19"/>
              </w:rPr>
              <w:t>*4</w:t>
            </w:r>
            <w:r>
              <w:rPr>
                <w:rFonts w:hint="default" w:ascii="Times New Roman" w:hAnsi="Times New Roman" w:eastAsia="宋体" w:cs="Times New Roman"/>
                <w:i w:val="0"/>
                <w:iCs w:val="0"/>
                <w:caps w:val="0"/>
                <w:color w:val="000000"/>
                <w:spacing w:val="0"/>
                <w:sz w:val="19"/>
                <w:szCs w:val="19"/>
              </w:rPr>
              <w:t>.  </w:t>
            </w:r>
            <w:r>
              <w:rPr>
                <w:rFonts w:hint="default" w:ascii="Times New Roman" w:hAnsi="Times New Roman" w:eastAsia="微软雅黑" w:cs="Times New Roman"/>
                <w:i w:val="0"/>
                <w:iCs w:val="0"/>
                <w:caps w:val="0"/>
                <w:color w:val="000000"/>
                <w:spacing w:val="0"/>
                <w:sz w:val="19"/>
                <w:szCs w:val="19"/>
              </w:rPr>
              <w:t>2.</w:t>
            </w:r>
            <w:r>
              <w:rPr>
                <w:rFonts w:hint="default" w:ascii="Times New Roman" w:hAnsi="Times New Roman" w:eastAsia="宋体" w:cs="Times New Roman"/>
                <w:i w:val="0"/>
                <w:iCs w:val="0"/>
                <w:caps w:val="0"/>
                <w:color w:val="000000"/>
                <w:spacing w:val="0"/>
                <w:sz w:val="19"/>
                <w:szCs w:val="19"/>
              </w:rPr>
              <w:t>当部门绩效监控调整取消额为零，结余注销额不为零时，指标得分</w:t>
            </w:r>
            <w:r>
              <w:rPr>
                <w:rFonts w:hint="default" w:ascii="Times New Roman" w:hAnsi="Times New Roman" w:eastAsia="微软雅黑" w:cs="Times New Roman"/>
                <w:i w:val="0"/>
                <w:iCs w:val="0"/>
                <w:caps w:val="0"/>
                <w:color w:val="000000"/>
                <w:spacing w:val="0"/>
                <w:sz w:val="19"/>
                <w:szCs w:val="19"/>
              </w:rPr>
              <w:t>=</w:t>
            </w:r>
            <w:r>
              <w:rPr>
                <w:rFonts w:hint="default" w:ascii="Times New Roman" w:hAnsi="Times New Roman" w:eastAsia="宋体" w:cs="Times New Roman"/>
                <w:i w:val="0"/>
                <w:iCs w:val="0"/>
                <w:caps w:val="0"/>
                <w:color w:val="000000"/>
                <w:spacing w:val="0"/>
                <w:sz w:val="19"/>
                <w:szCs w:val="19"/>
              </w:rPr>
              <w:t>（</w:t>
            </w:r>
            <w:r>
              <w:rPr>
                <w:rFonts w:hint="default" w:ascii="Times New Roman" w:hAnsi="Times New Roman" w:eastAsia="微软雅黑" w:cs="Times New Roman"/>
                <w:i w:val="0"/>
                <w:iCs w:val="0"/>
                <w:caps w:val="0"/>
                <w:color w:val="000000"/>
                <w:spacing w:val="0"/>
                <w:sz w:val="19"/>
                <w:szCs w:val="19"/>
              </w:rPr>
              <w:t>1-10*</w:t>
            </w:r>
            <w:r>
              <w:rPr>
                <w:rFonts w:hint="default" w:ascii="Times New Roman" w:hAnsi="Times New Roman" w:eastAsia="宋体" w:cs="Times New Roman"/>
                <w:i w:val="0"/>
                <w:iCs w:val="0"/>
                <w:caps w:val="0"/>
                <w:color w:val="000000"/>
                <w:spacing w:val="0"/>
                <w:sz w:val="19"/>
                <w:szCs w:val="19"/>
              </w:rPr>
              <w:t>结余注销额</w:t>
            </w:r>
            <w:r>
              <w:rPr>
                <w:rFonts w:hint="default" w:ascii="Times New Roman" w:hAnsi="Times New Roman" w:eastAsia="微软雅黑" w:cs="Times New Roman"/>
                <w:i w:val="0"/>
                <w:iCs w:val="0"/>
                <w:caps w:val="0"/>
                <w:color w:val="000000"/>
                <w:spacing w:val="0"/>
                <w:sz w:val="19"/>
                <w:szCs w:val="19"/>
              </w:rPr>
              <w:t>/</w:t>
            </w:r>
            <w:r>
              <w:rPr>
                <w:rFonts w:hint="default" w:ascii="Times New Roman" w:hAnsi="Times New Roman" w:eastAsia="宋体" w:cs="Times New Roman"/>
                <w:i w:val="0"/>
                <w:iCs w:val="0"/>
                <w:caps w:val="0"/>
                <w:color w:val="000000"/>
                <w:spacing w:val="0"/>
                <w:sz w:val="19"/>
                <w:szCs w:val="19"/>
              </w:rPr>
              <w:t>年度预算总额）</w:t>
            </w:r>
            <w:r>
              <w:rPr>
                <w:rFonts w:hint="default" w:ascii="Times New Roman" w:hAnsi="Times New Roman" w:eastAsia="微软雅黑" w:cs="Times New Roman"/>
                <w:i w:val="0"/>
                <w:iCs w:val="0"/>
                <w:caps w:val="0"/>
                <w:color w:val="000000"/>
                <w:spacing w:val="0"/>
                <w:sz w:val="19"/>
                <w:szCs w:val="19"/>
              </w:rPr>
              <w:t>*4</w:t>
            </w:r>
            <w:r>
              <w:rPr>
                <w:rFonts w:hint="default" w:ascii="Times New Roman" w:hAnsi="Times New Roman" w:eastAsia="宋体" w:cs="Times New Roman"/>
                <w:i w:val="0"/>
                <w:iCs w:val="0"/>
                <w:caps w:val="0"/>
                <w:color w:val="000000"/>
                <w:spacing w:val="0"/>
                <w:sz w:val="19"/>
                <w:szCs w:val="19"/>
              </w:rPr>
              <w:t>，结余注销额超过部门年度预算总额</w:t>
            </w:r>
            <w:r>
              <w:rPr>
                <w:rFonts w:hint="default" w:ascii="Times New Roman" w:hAnsi="Times New Roman" w:eastAsia="微软雅黑" w:cs="Times New Roman"/>
                <w:i w:val="0"/>
                <w:iCs w:val="0"/>
                <w:caps w:val="0"/>
                <w:color w:val="000000"/>
                <w:spacing w:val="0"/>
                <w:sz w:val="19"/>
                <w:szCs w:val="19"/>
              </w:rPr>
              <w:t>10%</w:t>
            </w:r>
            <w:r>
              <w:rPr>
                <w:rFonts w:hint="default" w:ascii="Times New Roman" w:hAnsi="Times New Roman" w:eastAsia="宋体" w:cs="Times New Roman"/>
                <w:i w:val="0"/>
                <w:iCs w:val="0"/>
                <w:caps w:val="0"/>
                <w:color w:val="000000"/>
                <w:spacing w:val="0"/>
                <w:sz w:val="19"/>
                <w:szCs w:val="19"/>
              </w:rPr>
              <w:t>的，指标不得分。  </w:t>
            </w:r>
            <w:r>
              <w:rPr>
                <w:rFonts w:hint="default" w:ascii="Times New Roman" w:hAnsi="Times New Roman" w:eastAsia="微软雅黑" w:cs="Times New Roman"/>
                <w:i w:val="0"/>
                <w:iCs w:val="0"/>
                <w:caps w:val="0"/>
                <w:color w:val="000000"/>
                <w:spacing w:val="0"/>
                <w:sz w:val="19"/>
                <w:szCs w:val="19"/>
              </w:rPr>
              <w:t>3.</w:t>
            </w:r>
            <w:r>
              <w:rPr>
                <w:rFonts w:hint="default" w:ascii="Times New Roman" w:hAnsi="Times New Roman" w:eastAsia="宋体" w:cs="Times New Roman"/>
                <w:i w:val="0"/>
                <w:iCs w:val="0"/>
                <w:caps w:val="0"/>
                <w:color w:val="000000"/>
                <w:spacing w:val="0"/>
                <w:sz w:val="19"/>
                <w:szCs w:val="19"/>
              </w:rPr>
              <w:t>当部门绩效监控调整取消额与结余注销额均为零时，得</w:t>
            </w:r>
            <w:r>
              <w:rPr>
                <w:rFonts w:hint="default" w:ascii="Times New Roman" w:hAnsi="Times New Roman" w:eastAsia="微软雅黑" w:cs="Times New Roman"/>
                <w:i w:val="0"/>
                <w:iCs w:val="0"/>
                <w:caps w:val="0"/>
                <w:color w:val="000000"/>
                <w:spacing w:val="0"/>
                <w:sz w:val="19"/>
                <w:szCs w:val="19"/>
              </w:rPr>
              <w:t>4</w:t>
            </w:r>
            <w:r>
              <w:rPr>
                <w:rFonts w:hint="default" w:ascii="Times New Roman" w:hAnsi="Times New Roman" w:eastAsia="宋体" w:cs="Times New Roman"/>
                <w:i w:val="0"/>
                <w:iCs w:val="0"/>
                <w:caps w:val="0"/>
                <w:color w:val="000000"/>
                <w:spacing w:val="0"/>
                <w:sz w:val="19"/>
                <w:szCs w:val="19"/>
              </w:rPr>
              <w:t>分。</w:t>
            </w:r>
            <w:r>
              <w:rPr>
                <w:rFonts w:hint="default" w:ascii="Times New Roman" w:hAnsi="Times New Roman" w:cs="Times New Roman"/>
                <w:color w:val="000000"/>
                <w:kern w:val="0"/>
                <w:sz w:val="20"/>
                <w:szCs w:val="20"/>
                <w:lang w:bidi="ar"/>
              </w:rPr>
              <w:t xml:space="preserve">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120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执行进度</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val="en-US" w:eastAsia="zh-CN"/>
              </w:rPr>
              <w:t>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评价部门在</w:t>
            </w:r>
            <w:r>
              <w:rPr>
                <w:rFonts w:hint="default" w:ascii="Times New Roman" w:hAnsi="Times New Roman" w:eastAsia="微软雅黑" w:cs="Times New Roman"/>
                <w:i w:val="0"/>
                <w:iCs w:val="0"/>
                <w:caps w:val="0"/>
                <w:color w:val="000000"/>
                <w:spacing w:val="0"/>
                <w:sz w:val="19"/>
                <w:szCs w:val="19"/>
              </w:rPr>
              <w:t>6</w:t>
            </w:r>
            <w:r>
              <w:rPr>
                <w:rFonts w:hint="default" w:ascii="Times New Roman" w:hAnsi="Times New Roman" w:eastAsia="宋体" w:cs="Times New Roman"/>
                <w:i w:val="0"/>
                <w:iCs w:val="0"/>
                <w:caps w:val="0"/>
                <w:color w:val="000000"/>
                <w:spacing w:val="0"/>
                <w:sz w:val="19"/>
                <w:szCs w:val="19"/>
              </w:rPr>
              <w:t>.</w:t>
            </w:r>
            <w:r>
              <w:rPr>
                <w:rFonts w:hint="default" w:ascii="Times New Roman" w:hAnsi="Times New Roman" w:eastAsia="微软雅黑" w:cs="Times New Roman"/>
                <w:i w:val="0"/>
                <w:iCs w:val="0"/>
                <w:caps w:val="0"/>
                <w:color w:val="000000"/>
                <w:spacing w:val="0"/>
                <w:sz w:val="19"/>
                <w:szCs w:val="19"/>
              </w:rPr>
              <w:t>9</w:t>
            </w:r>
            <w:r>
              <w:rPr>
                <w:rFonts w:hint="default" w:ascii="Times New Roman" w:hAnsi="Times New Roman" w:eastAsia="宋体" w:cs="Times New Roman"/>
                <w:i w:val="0"/>
                <w:iCs w:val="0"/>
                <w:caps w:val="0"/>
                <w:color w:val="000000"/>
                <w:spacing w:val="0"/>
                <w:sz w:val="19"/>
                <w:szCs w:val="19"/>
              </w:rPr>
              <w:t>.</w:t>
            </w:r>
            <w:r>
              <w:rPr>
                <w:rFonts w:hint="default" w:ascii="Times New Roman" w:hAnsi="Times New Roman" w:eastAsia="微软雅黑" w:cs="Times New Roman"/>
                <w:i w:val="0"/>
                <w:iCs w:val="0"/>
                <w:caps w:val="0"/>
                <w:color w:val="000000"/>
                <w:spacing w:val="0"/>
                <w:sz w:val="19"/>
                <w:szCs w:val="19"/>
              </w:rPr>
              <w:t>11</w:t>
            </w:r>
            <w:r>
              <w:rPr>
                <w:rFonts w:hint="default" w:ascii="Times New Roman" w:hAnsi="Times New Roman" w:eastAsia="宋体" w:cs="Times New Roman"/>
                <w:i w:val="0"/>
                <w:iCs w:val="0"/>
                <w:caps w:val="0"/>
                <w:color w:val="000000"/>
                <w:spacing w:val="0"/>
                <w:sz w:val="19"/>
                <w:szCs w:val="19"/>
              </w:rPr>
              <w:t>月的预算执行情况。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部门预算执行进度在</w:t>
            </w:r>
            <w:r>
              <w:rPr>
                <w:rFonts w:hint="default" w:ascii="Times New Roman" w:hAnsi="Times New Roman" w:eastAsia="微软雅黑" w:cs="Times New Roman"/>
                <w:i w:val="0"/>
                <w:iCs w:val="0"/>
                <w:caps w:val="0"/>
                <w:color w:val="000000"/>
                <w:spacing w:val="0"/>
                <w:sz w:val="19"/>
                <w:szCs w:val="19"/>
              </w:rPr>
              <w:t>6</w:t>
            </w:r>
            <w:r>
              <w:rPr>
                <w:rFonts w:hint="default" w:ascii="Times New Roman" w:hAnsi="Times New Roman" w:eastAsia="宋体" w:cs="Times New Roman"/>
                <w:i w:val="0"/>
                <w:iCs w:val="0"/>
                <w:caps w:val="0"/>
                <w:color w:val="000000"/>
                <w:spacing w:val="0"/>
                <w:sz w:val="19"/>
                <w:szCs w:val="19"/>
              </w:rPr>
              <w:t>.</w:t>
            </w:r>
            <w:r>
              <w:rPr>
                <w:rFonts w:hint="default" w:ascii="Times New Roman" w:hAnsi="Times New Roman" w:eastAsia="微软雅黑" w:cs="Times New Roman"/>
                <w:i w:val="0"/>
                <w:iCs w:val="0"/>
                <w:caps w:val="0"/>
                <w:color w:val="000000"/>
                <w:spacing w:val="0"/>
                <w:sz w:val="19"/>
                <w:szCs w:val="19"/>
              </w:rPr>
              <w:t>9</w:t>
            </w:r>
            <w:r>
              <w:rPr>
                <w:rFonts w:hint="default" w:ascii="Times New Roman" w:hAnsi="Times New Roman" w:eastAsia="宋体" w:cs="Times New Roman"/>
                <w:i w:val="0"/>
                <w:iCs w:val="0"/>
                <w:caps w:val="0"/>
                <w:color w:val="000000"/>
                <w:spacing w:val="0"/>
                <w:sz w:val="19"/>
                <w:szCs w:val="19"/>
              </w:rPr>
              <w:t>.</w:t>
            </w:r>
            <w:r>
              <w:rPr>
                <w:rFonts w:hint="default" w:ascii="Times New Roman" w:hAnsi="Times New Roman" w:eastAsia="微软雅黑" w:cs="Times New Roman"/>
                <w:i w:val="0"/>
                <w:iCs w:val="0"/>
                <w:caps w:val="0"/>
                <w:color w:val="000000"/>
                <w:spacing w:val="0"/>
                <w:sz w:val="19"/>
                <w:szCs w:val="19"/>
              </w:rPr>
              <w:t>11</w:t>
            </w:r>
            <w:r>
              <w:rPr>
                <w:rFonts w:hint="default" w:ascii="Times New Roman" w:hAnsi="Times New Roman" w:eastAsia="宋体" w:cs="Times New Roman"/>
                <w:i w:val="0"/>
                <w:iCs w:val="0"/>
                <w:caps w:val="0"/>
                <w:color w:val="000000"/>
                <w:spacing w:val="0"/>
                <w:sz w:val="19"/>
                <w:szCs w:val="19"/>
              </w:rPr>
              <w:t>月应达到序时进度的</w:t>
            </w:r>
            <w:r>
              <w:rPr>
                <w:rFonts w:hint="default" w:ascii="Times New Roman" w:hAnsi="Times New Roman" w:eastAsia="微软雅黑" w:cs="Times New Roman"/>
                <w:i w:val="0"/>
                <w:iCs w:val="0"/>
                <w:caps w:val="0"/>
                <w:color w:val="000000"/>
                <w:spacing w:val="0"/>
                <w:sz w:val="19"/>
                <w:szCs w:val="19"/>
              </w:rPr>
              <w:t>80%</w:t>
            </w:r>
            <w:r>
              <w:rPr>
                <w:rFonts w:hint="default" w:ascii="Times New Roman" w:hAnsi="Times New Roman" w:eastAsia="宋体" w:cs="Times New Roman"/>
                <w:i w:val="0"/>
                <w:iCs w:val="0"/>
                <w:caps w:val="0"/>
                <w:color w:val="000000"/>
                <w:spacing w:val="0"/>
                <w:sz w:val="19"/>
                <w:szCs w:val="19"/>
              </w:rPr>
              <w:t>、</w:t>
            </w:r>
            <w:r>
              <w:rPr>
                <w:rFonts w:hint="default" w:ascii="Times New Roman" w:hAnsi="Times New Roman" w:eastAsia="微软雅黑" w:cs="Times New Roman"/>
                <w:i w:val="0"/>
                <w:iCs w:val="0"/>
                <w:caps w:val="0"/>
                <w:color w:val="000000"/>
                <w:spacing w:val="0"/>
                <w:sz w:val="19"/>
                <w:szCs w:val="19"/>
              </w:rPr>
              <w:t>90%</w:t>
            </w:r>
            <w:r>
              <w:rPr>
                <w:rFonts w:hint="default" w:ascii="Times New Roman" w:hAnsi="Times New Roman" w:eastAsia="宋体" w:cs="Times New Roman"/>
                <w:i w:val="0"/>
                <w:iCs w:val="0"/>
                <w:caps w:val="0"/>
                <w:color w:val="000000"/>
                <w:spacing w:val="0"/>
                <w:sz w:val="19"/>
                <w:szCs w:val="19"/>
              </w:rPr>
              <w:t>、</w:t>
            </w:r>
            <w:r>
              <w:rPr>
                <w:rFonts w:hint="default" w:ascii="Times New Roman" w:hAnsi="Times New Roman" w:eastAsia="微软雅黑" w:cs="Times New Roman"/>
                <w:i w:val="0"/>
                <w:iCs w:val="0"/>
                <w:caps w:val="0"/>
                <w:color w:val="000000"/>
                <w:spacing w:val="0"/>
                <w:sz w:val="19"/>
                <w:szCs w:val="19"/>
              </w:rPr>
              <w:t>95%</w:t>
            </w:r>
            <w:r>
              <w:rPr>
                <w:rFonts w:hint="default" w:ascii="Times New Roman" w:hAnsi="Times New Roman" w:eastAsia="宋体" w:cs="Times New Roman"/>
                <w:i w:val="0"/>
                <w:iCs w:val="0"/>
                <w:caps w:val="0"/>
                <w:color w:val="000000"/>
                <w:spacing w:val="0"/>
                <w:sz w:val="19"/>
                <w:szCs w:val="19"/>
              </w:rPr>
              <w:t>，即实际支出进度分别达到</w:t>
            </w:r>
            <w:r>
              <w:rPr>
                <w:rFonts w:hint="default" w:ascii="Times New Roman" w:hAnsi="Times New Roman" w:eastAsia="微软雅黑" w:cs="Times New Roman"/>
                <w:i w:val="0"/>
                <w:iCs w:val="0"/>
                <w:caps w:val="0"/>
                <w:color w:val="000000"/>
                <w:spacing w:val="0"/>
                <w:sz w:val="19"/>
                <w:szCs w:val="19"/>
              </w:rPr>
              <w:t>40%</w:t>
            </w:r>
            <w:r>
              <w:rPr>
                <w:rFonts w:hint="default" w:ascii="Times New Roman" w:hAnsi="Times New Roman" w:eastAsia="宋体" w:cs="Times New Roman"/>
                <w:i w:val="0"/>
                <w:iCs w:val="0"/>
                <w:caps w:val="0"/>
                <w:color w:val="000000"/>
                <w:spacing w:val="0"/>
                <w:sz w:val="19"/>
                <w:szCs w:val="19"/>
              </w:rPr>
              <w:t>、</w:t>
            </w:r>
            <w:r>
              <w:rPr>
                <w:rFonts w:hint="default" w:ascii="Times New Roman" w:hAnsi="Times New Roman" w:eastAsia="微软雅黑" w:cs="Times New Roman"/>
                <w:i w:val="0"/>
                <w:iCs w:val="0"/>
                <w:caps w:val="0"/>
                <w:color w:val="000000"/>
                <w:spacing w:val="0"/>
                <w:sz w:val="19"/>
                <w:szCs w:val="19"/>
              </w:rPr>
              <w:t>67.5%</w:t>
            </w:r>
            <w:r>
              <w:rPr>
                <w:rFonts w:hint="default" w:ascii="Times New Roman" w:hAnsi="Times New Roman" w:eastAsia="宋体" w:cs="Times New Roman"/>
                <w:i w:val="0"/>
                <w:iCs w:val="0"/>
                <w:caps w:val="0"/>
                <w:color w:val="000000"/>
                <w:spacing w:val="0"/>
                <w:sz w:val="19"/>
                <w:szCs w:val="19"/>
              </w:rPr>
              <w:t>、</w:t>
            </w:r>
            <w:r>
              <w:rPr>
                <w:rFonts w:hint="default" w:ascii="Times New Roman" w:hAnsi="Times New Roman" w:eastAsia="微软雅黑" w:cs="Times New Roman"/>
                <w:i w:val="0"/>
                <w:iCs w:val="0"/>
                <w:caps w:val="0"/>
                <w:color w:val="000000"/>
                <w:spacing w:val="0"/>
                <w:sz w:val="19"/>
                <w:szCs w:val="19"/>
              </w:rPr>
              <w:t>82.5%</w:t>
            </w:r>
            <w:r>
              <w:rPr>
                <w:rFonts w:hint="default" w:ascii="Times New Roman" w:hAnsi="Times New Roman" w:eastAsia="宋体" w:cs="Times New Roman"/>
                <w:i w:val="0"/>
                <w:iCs w:val="0"/>
                <w:caps w:val="0"/>
                <w:color w:val="000000"/>
                <w:spacing w:val="0"/>
                <w:sz w:val="19"/>
                <w:szCs w:val="19"/>
              </w:rPr>
              <w:t>。</w:t>
            </w:r>
            <w:r>
              <w:rPr>
                <w:rFonts w:hint="default" w:ascii="Times New Roman" w:hAnsi="Times New Roman" w:cs="Times New Roman"/>
                <w:color w:val="000000"/>
                <w:kern w:val="0"/>
                <w:sz w:val="20"/>
                <w:szCs w:val="20"/>
                <w:lang w:bidi="ar"/>
              </w:rPr>
              <w:t xml:space="preserve">                                                    </w:t>
            </w:r>
            <w:r>
              <w:rPr>
                <w:rFonts w:hint="default" w:ascii="Times New Roman" w:hAnsi="Times New Roman" w:eastAsia="微软雅黑" w:cs="Times New Roman"/>
                <w:i w:val="0"/>
                <w:iCs w:val="0"/>
                <w:caps w:val="0"/>
                <w:color w:val="000000"/>
                <w:spacing w:val="0"/>
                <w:sz w:val="19"/>
                <w:szCs w:val="19"/>
              </w:rPr>
              <w:t>6</w:t>
            </w:r>
            <w:r>
              <w:rPr>
                <w:rFonts w:hint="default" w:ascii="Times New Roman" w:hAnsi="Times New Roman" w:eastAsia="宋体" w:cs="Times New Roman"/>
                <w:i w:val="0"/>
                <w:iCs w:val="0"/>
                <w:caps w:val="0"/>
                <w:color w:val="000000"/>
                <w:spacing w:val="0"/>
                <w:sz w:val="19"/>
                <w:szCs w:val="19"/>
              </w:rPr>
              <w:t>.</w:t>
            </w:r>
            <w:r>
              <w:rPr>
                <w:rFonts w:hint="default" w:ascii="Times New Roman" w:hAnsi="Times New Roman" w:eastAsia="微软雅黑" w:cs="Times New Roman"/>
                <w:i w:val="0"/>
                <w:iCs w:val="0"/>
                <w:caps w:val="0"/>
                <w:color w:val="000000"/>
                <w:spacing w:val="0"/>
                <w:sz w:val="19"/>
                <w:szCs w:val="19"/>
              </w:rPr>
              <w:t>9</w:t>
            </w:r>
            <w:r>
              <w:rPr>
                <w:rFonts w:hint="default" w:ascii="Times New Roman" w:hAnsi="Times New Roman" w:eastAsia="宋体" w:cs="Times New Roman"/>
                <w:i w:val="0"/>
                <w:iCs w:val="0"/>
                <w:caps w:val="0"/>
                <w:color w:val="000000"/>
                <w:spacing w:val="0"/>
                <w:sz w:val="19"/>
                <w:szCs w:val="19"/>
              </w:rPr>
              <w:t>.</w:t>
            </w:r>
            <w:r>
              <w:rPr>
                <w:rFonts w:hint="default" w:ascii="Times New Roman" w:hAnsi="Times New Roman" w:eastAsia="微软雅黑" w:cs="Times New Roman"/>
                <w:i w:val="0"/>
                <w:iCs w:val="0"/>
                <w:caps w:val="0"/>
                <w:color w:val="000000"/>
                <w:spacing w:val="0"/>
                <w:sz w:val="19"/>
                <w:szCs w:val="19"/>
              </w:rPr>
              <w:t>11</w:t>
            </w:r>
            <w:r>
              <w:rPr>
                <w:rFonts w:hint="default" w:ascii="Times New Roman" w:hAnsi="Times New Roman" w:eastAsia="宋体" w:cs="Times New Roman"/>
                <w:i w:val="0"/>
                <w:iCs w:val="0"/>
                <w:caps w:val="0"/>
                <w:color w:val="000000"/>
                <w:spacing w:val="0"/>
                <w:sz w:val="19"/>
                <w:szCs w:val="19"/>
              </w:rPr>
              <w:t>月部门预算执行进度达到量化指标的分别得</w:t>
            </w:r>
            <w:r>
              <w:rPr>
                <w:rFonts w:hint="default" w:ascii="Times New Roman" w:hAnsi="Times New Roman" w:eastAsia="微软雅黑" w:cs="Times New Roman"/>
                <w:i w:val="0"/>
                <w:iCs w:val="0"/>
                <w:caps w:val="0"/>
                <w:color w:val="000000"/>
                <w:spacing w:val="0"/>
                <w:sz w:val="19"/>
                <w:szCs w:val="19"/>
              </w:rPr>
              <w:t>1</w:t>
            </w:r>
            <w:r>
              <w:rPr>
                <w:rFonts w:hint="default" w:ascii="Times New Roman" w:hAnsi="Times New Roman" w:eastAsia="宋体" w:cs="Times New Roman"/>
                <w:i w:val="0"/>
                <w:iCs w:val="0"/>
                <w:caps w:val="0"/>
                <w:color w:val="000000"/>
                <w:spacing w:val="0"/>
                <w:sz w:val="19"/>
                <w:szCs w:val="19"/>
              </w:rPr>
              <w:t>分、</w:t>
            </w:r>
            <w:r>
              <w:rPr>
                <w:rFonts w:hint="default" w:ascii="Times New Roman" w:hAnsi="Times New Roman" w:eastAsia="微软雅黑" w:cs="Times New Roman"/>
                <w:i w:val="0"/>
                <w:iCs w:val="0"/>
                <w:caps w:val="0"/>
                <w:color w:val="000000"/>
                <w:spacing w:val="0"/>
                <w:sz w:val="19"/>
                <w:szCs w:val="19"/>
              </w:rPr>
              <w:t>1</w:t>
            </w:r>
            <w:r>
              <w:rPr>
                <w:rFonts w:hint="default" w:ascii="Times New Roman" w:hAnsi="Times New Roman" w:eastAsia="宋体" w:cs="Times New Roman"/>
                <w:i w:val="0"/>
                <w:iCs w:val="0"/>
                <w:caps w:val="0"/>
                <w:color w:val="000000"/>
                <w:spacing w:val="0"/>
                <w:sz w:val="19"/>
                <w:szCs w:val="19"/>
              </w:rPr>
              <w:t>分、</w:t>
            </w:r>
            <w:r>
              <w:rPr>
                <w:rFonts w:hint="default" w:ascii="Times New Roman" w:hAnsi="Times New Roman" w:eastAsia="微软雅黑" w:cs="Times New Roman"/>
                <w:i w:val="0"/>
                <w:iCs w:val="0"/>
                <w:caps w:val="0"/>
                <w:color w:val="000000"/>
                <w:spacing w:val="0"/>
                <w:sz w:val="19"/>
                <w:szCs w:val="19"/>
              </w:rPr>
              <w:t>2</w:t>
            </w:r>
            <w:r>
              <w:rPr>
                <w:rFonts w:hint="default" w:ascii="Times New Roman" w:hAnsi="Times New Roman" w:eastAsia="宋体" w:cs="Times New Roman"/>
                <w:i w:val="0"/>
                <w:iCs w:val="0"/>
                <w:caps w:val="0"/>
                <w:color w:val="000000"/>
                <w:spacing w:val="0"/>
                <w:sz w:val="19"/>
                <w:szCs w:val="19"/>
              </w:rPr>
              <w:t>分，未达到目标进度的按其实际进度占目标进度的比重计算得分。</w:t>
            </w:r>
            <w:r>
              <w:rPr>
                <w:rFonts w:hint="default" w:ascii="Times New Roman" w:hAnsi="Times New Roman" w:cs="Times New Roman"/>
                <w:color w:val="000000"/>
                <w:kern w:val="0"/>
                <w:sz w:val="20"/>
                <w:szCs w:val="20"/>
                <w:lang w:bidi="ar"/>
              </w:rPr>
              <w:t xml:space="preserve">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69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完成效率</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15分</w:t>
            </w:r>
            <w:r>
              <w:rPr>
                <w:rFonts w:hint="default" w:ascii="Times New Roman" w:hAnsi="Times New Roman" w:cs="Times New Roman"/>
                <w:color w:val="000000"/>
                <w:kern w:val="0"/>
                <w:sz w:val="20"/>
                <w:szCs w:val="20"/>
                <w:lang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预算完成</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Times New Roman" w:hAnsi="Times New Roman" w:eastAsia="宋体" w:cs="Times New Roman"/>
                <w:color w:val="000000"/>
                <w:sz w:val="20"/>
                <w:szCs w:val="20"/>
                <w:lang w:val="en-US" w:eastAsia="zh-CN"/>
              </w:rPr>
            </w:pPr>
            <w:r>
              <w:rPr>
                <w:rFonts w:hint="eastAsia" w:cs="Times New Roman"/>
                <w:color w:val="000000"/>
                <w:sz w:val="20"/>
                <w:szCs w:val="20"/>
                <w:lang w:val="en-US" w:eastAsia="zh-CN"/>
              </w:rPr>
              <w:t>5</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评价部门预算项目年终预算执行情况。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部门预算项目</w:t>
            </w:r>
            <w:r>
              <w:rPr>
                <w:rFonts w:hint="default" w:ascii="Times New Roman" w:hAnsi="Times New Roman" w:eastAsia="微软雅黑" w:cs="Times New Roman"/>
                <w:i w:val="0"/>
                <w:iCs w:val="0"/>
                <w:caps w:val="0"/>
                <w:color w:val="000000"/>
                <w:spacing w:val="0"/>
                <w:sz w:val="19"/>
                <w:szCs w:val="19"/>
              </w:rPr>
              <w:t>12</w:t>
            </w:r>
            <w:r>
              <w:rPr>
                <w:rFonts w:hint="default" w:ascii="Times New Roman" w:hAnsi="Times New Roman" w:eastAsia="宋体" w:cs="Times New Roman"/>
                <w:i w:val="0"/>
                <w:iCs w:val="0"/>
                <w:caps w:val="0"/>
                <w:color w:val="000000"/>
                <w:spacing w:val="0"/>
                <w:sz w:val="19"/>
                <w:szCs w:val="19"/>
              </w:rPr>
              <w:t>月预算执行进度达到</w:t>
            </w:r>
            <w:r>
              <w:rPr>
                <w:rFonts w:hint="default" w:ascii="Times New Roman" w:hAnsi="Times New Roman" w:eastAsia="微软雅黑" w:cs="Times New Roman"/>
                <w:i w:val="0"/>
                <w:iCs w:val="0"/>
                <w:caps w:val="0"/>
                <w:color w:val="000000"/>
                <w:spacing w:val="0"/>
                <w:sz w:val="19"/>
                <w:szCs w:val="19"/>
              </w:rPr>
              <w:t>100%</w:t>
            </w:r>
            <w:r>
              <w:rPr>
                <w:rFonts w:hint="default" w:ascii="Times New Roman" w:hAnsi="Times New Roman" w:eastAsia="宋体" w:cs="Times New Roman"/>
                <w:i w:val="0"/>
                <w:iCs w:val="0"/>
                <w:caps w:val="0"/>
                <w:color w:val="000000"/>
                <w:spacing w:val="0"/>
                <w:sz w:val="19"/>
                <w:szCs w:val="19"/>
              </w:rPr>
              <w:t>的，得</w:t>
            </w:r>
            <w:r>
              <w:rPr>
                <w:rFonts w:hint="default" w:ascii="Times New Roman" w:hAnsi="Times New Roman" w:eastAsia="微软雅黑" w:cs="Times New Roman"/>
                <w:i w:val="0"/>
                <w:iCs w:val="0"/>
                <w:caps w:val="0"/>
                <w:color w:val="000000"/>
                <w:spacing w:val="0"/>
                <w:sz w:val="19"/>
                <w:szCs w:val="19"/>
              </w:rPr>
              <w:t>5</w:t>
            </w:r>
            <w:r>
              <w:rPr>
                <w:rFonts w:hint="default" w:ascii="Times New Roman" w:hAnsi="Times New Roman" w:eastAsia="宋体" w:cs="Times New Roman"/>
                <w:i w:val="0"/>
                <w:iCs w:val="0"/>
                <w:caps w:val="0"/>
                <w:color w:val="000000"/>
                <w:spacing w:val="0"/>
                <w:sz w:val="19"/>
                <w:szCs w:val="19"/>
              </w:rPr>
              <w:t>分，未达</w:t>
            </w:r>
            <w:r>
              <w:rPr>
                <w:rFonts w:hint="default" w:ascii="Times New Roman" w:hAnsi="Times New Roman" w:eastAsia="微软雅黑" w:cs="Times New Roman"/>
                <w:i w:val="0"/>
                <w:iCs w:val="0"/>
                <w:caps w:val="0"/>
                <w:color w:val="000000"/>
                <w:spacing w:val="0"/>
                <w:sz w:val="19"/>
                <w:szCs w:val="19"/>
              </w:rPr>
              <w:t>100%</w:t>
            </w:r>
            <w:r>
              <w:rPr>
                <w:rFonts w:hint="default" w:ascii="Times New Roman" w:hAnsi="Times New Roman" w:eastAsia="宋体" w:cs="Times New Roman"/>
                <w:i w:val="0"/>
                <w:iCs w:val="0"/>
                <w:caps w:val="0"/>
                <w:color w:val="000000"/>
                <w:spacing w:val="0"/>
                <w:sz w:val="19"/>
                <w:szCs w:val="19"/>
              </w:rPr>
              <w:t>的，按照实际进度量化计算得分。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1016"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资金结余率</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8</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评价部门预算项目年终资金结余情况。</w:t>
            </w:r>
            <w:r>
              <w:rPr>
                <w:rFonts w:hint="default" w:ascii="Times New Roman" w:hAnsi="Times New Roman" w:eastAsia="微软雅黑" w:cs="Times New Roman"/>
                <w:i w:val="0"/>
                <w:iCs w:val="0"/>
                <w:caps w:val="0"/>
                <w:color w:val="000000"/>
                <w:spacing w:val="0"/>
                <w:sz w:val="19"/>
                <w:szCs w:val="19"/>
              </w:rPr>
              <w:t>      </w:t>
            </w:r>
            <w:r>
              <w:rPr>
                <w:rFonts w:hint="default" w:ascii="Times New Roman" w:hAnsi="Times New Roman" w:cs="Times New Roman"/>
                <w:color w:val="000000"/>
                <w:kern w:val="0"/>
                <w:sz w:val="20"/>
                <w:szCs w:val="20"/>
                <w:lang w:bidi="ar"/>
              </w:rPr>
              <w:t xml:space="preserve">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部门预算项目资金结余率小于</w:t>
            </w:r>
            <w:r>
              <w:rPr>
                <w:rFonts w:hint="default" w:ascii="Times New Roman" w:hAnsi="Times New Roman" w:eastAsia="微软雅黑" w:cs="Times New Roman"/>
                <w:i w:val="0"/>
                <w:iCs w:val="0"/>
                <w:caps w:val="0"/>
                <w:color w:val="000000"/>
                <w:spacing w:val="0"/>
                <w:sz w:val="19"/>
                <w:szCs w:val="19"/>
              </w:rPr>
              <w:t>0.1</w:t>
            </w:r>
            <w:r>
              <w:rPr>
                <w:rFonts w:hint="default" w:ascii="Times New Roman" w:hAnsi="Times New Roman" w:eastAsia="宋体" w:cs="Times New Roman"/>
                <w:i w:val="0"/>
                <w:iCs w:val="0"/>
                <w:caps w:val="0"/>
                <w:color w:val="000000"/>
                <w:spacing w:val="0"/>
                <w:sz w:val="19"/>
                <w:szCs w:val="19"/>
              </w:rPr>
              <w:t>的项目数</w:t>
            </w:r>
            <w:r>
              <w:rPr>
                <w:rFonts w:hint="default" w:ascii="Times New Roman" w:hAnsi="Times New Roman" w:eastAsia="微软雅黑" w:cs="Times New Roman"/>
                <w:i w:val="0"/>
                <w:iCs w:val="0"/>
                <w:caps w:val="0"/>
                <w:color w:val="000000"/>
                <w:spacing w:val="0"/>
                <w:sz w:val="19"/>
                <w:szCs w:val="19"/>
              </w:rPr>
              <w:t>/</w:t>
            </w:r>
            <w:r>
              <w:rPr>
                <w:rFonts w:hint="default" w:ascii="Times New Roman" w:hAnsi="Times New Roman" w:eastAsia="宋体" w:cs="Times New Roman"/>
                <w:i w:val="0"/>
                <w:iCs w:val="0"/>
                <w:caps w:val="0"/>
                <w:color w:val="000000"/>
                <w:spacing w:val="0"/>
                <w:sz w:val="19"/>
                <w:szCs w:val="19"/>
              </w:rPr>
              <w:t>部门预算项目总数</w:t>
            </w:r>
            <w:r>
              <w:rPr>
                <w:rFonts w:hint="default" w:ascii="Times New Roman" w:hAnsi="Times New Roman" w:eastAsia="微软雅黑" w:cs="Times New Roman"/>
                <w:i w:val="0"/>
                <w:iCs w:val="0"/>
                <w:caps w:val="0"/>
                <w:color w:val="000000"/>
                <w:spacing w:val="0"/>
                <w:sz w:val="19"/>
                <w:szCs w:val="19"/>
              </w:rPr>
              <w:t>*8</w:t>
            </w:r>
            <w:r>
              <w:rPr>
                <w:rFonts w:hint="default" w:ascii="Times New Roman" w:hAnsi="Times New Roman" w:eastAsia="宋体" w:cs="Times New Roman"/>
                <w:i w:val="0"/>
                <w:iCs w:val="0"/>
                <w:caps w:val="0"/>
                <w:color w:val="000000"/>
                <w:spacing w:val="0"/>
                <w:sz w:val="19"/>
                <w:szCs w:val="19"/>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低效无效率</w:t>
            </w:r>
            <w:r>
              <w:rPr>
                <w:rFonts w:hint="default" w:ascii="Times New Roman" w:hAnsi="Times New Roman" w:cs="Times New Roman"/>
                <w:color w:val="000000"/>
                <w:kern w:val="0"/>
                <w:sz w:val="20"/>
                <w:szCs w:val="20"/>
                <w:lang w:eastAsia="zh-CN" w:bidi="ar"/>
              </w:rPr>
              <w:t>）</w:t>
            </w:r>
          </w:p>
        </w:tc>
      </w:tr>
      <w:tr>
        <w:tblPrEx>
          <w:tblCellMar>
            <w:top w:w="0" w:type="dxa"/>
            <w:left w:w="108" w:type="dxa"/>
            <w:bottom w:w="0" w:type="dxa"/>
            <w:right w:w="108" w:type="dxa"/>
          </w:tblCellMar>
        </w:tblPrEx>
        <w:trPr>
          <w:trHeight w:val="1344"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违规记录</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根据审计监督、财政检查等结果，反映本部门上一年度部门预算管理是否合规。</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依据评价年度审计监督、财政检查结果，出现部门预算管理方面违纪违规问题的，每个问题扣</w:t>
            </w:r>
            <w:r>
              <w:rPr>
                <w:rFonts w:hint="default" w:ascii="Times New Roman" w:hAnsi="Times New Roman" w:eastAsia="微软雅黑" w:cs="Times New Roman"/>
                <w:i w:val="0"/>
                <w:iCs w:val="0"/>
                <w:caps w:val="0"/>
                <w:color w:val="000000"/>
                <w:spacing w:val="0"/>
                <w:sz w:val="19"/>
                <w:szCs w:val="19"/>
              </w:rPr>
              <w:t>0.2</w:t>
            </w:r>
            <w:r>
              <w:rPr>
                <w:rFonts w:hint="default" w:ascii="Times New Roman" w:hAnsi="Times New Roman" w:eastAsia="宋体" w:cs="Times New Roman"/>
                <w:i w:val="0"/>
                <w:iCs w:val="0"/>
                <w:caps w:val="0"/>
                <w:color w:val="000000"/>
                <w:spacing w:val="0"/>
                <w:sz w:val="19"/>
                <w:szCs w:val="19"/>
              </w:rPr>
              <w:t>分，直至扣完。</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134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eastAsia="宋体" w:cs="Times New Roman"/>
                <w:i w:val="0"/>
                <w:iCs w:val="0"/>
                <w:caps w:val="0"/>
                <w:color w:val="000000"/>
                <w:spacing w:val="0"/>
                <w:sz w:val="19"/>
                <w:szCs w:val="19"/>
                <w:shd w:val="clear" w:fill="FFFFFF"/>
              </w:rPr>
              <w:t>专项预算项目绩效管理得分为40分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shd w:val="clear" w:fill="FFFFFF"/>
              </w:rPr>
              <w:t>专项预算项目绩效管理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项目个数</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*个</w:t>
            </w:r>
            <w:r>
              <w:rPr>
                <w:rFonts w:hint="default" w:ascii="Times New Roman" w:hAnsi="Times New Roman" w:cs="Times New Roman"/>
                <w:color w:val="000000"/>
                <w:kern w:val="0"/>
                <w:sz w:val="20"/>
                <w:szCs w:val="20"/>
                <w:lang w:eastAsia="zh-CN" w:bidi="ar"/>
              </w:rPr>
              <w:t>）</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w:t>
            </w:r>
          </w:p>
        </w:tc>
        <w:tc>
          <w:tcPr>
            <w:tcW w:w="377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部门按照专项预算项目自评工作要求，对本部门管理的专项预算项目进行自评并打分，形成自评报告；有两个及以上专项预算项目的，以平均分作为自评得分。按百分制形成的自评报告分数，按</w:t>
            </w:r>
            <w:r>
              <w:rPr>
                <w:rFonts w:hint="default" w:ascii="Times New Roman" w:hAnsi="Times New Roman" w:eastAsia="微软雅黑" w:cs="Times New Roman"/>
                <w:i w:val="0"/>
                <w:iCs w:val="0"/>
                <w:caps w:val="0"/>
                <w:color w:val="000000"/>
                <w:spacing w:val="0"/>
                <w:sz w:val="19"/>
                <w:szCs w:val="19"/>
              </w:rPr>
              <w:t>0.4</w:t>
            </w:r>
            <w:r>
              <w:rPr>
                <w:rFonts w:hint="default" w:ascii="Times New Roman" w:hAnsi="Times New Roman" w:eastAsia="宋体" w:cs="Times New Roman"/>
                <w:i w:val="0"/>
                <w:iCs w:val="0"/>
                <w:caps w:val="0"/>
                <w:color w:val="000000"/>
                <w:spacing w:val="0"/>
                <w:sz w:val="19"/>
                <w:szCs w:val="19"/>
              </w:rPr>
              <w:t>的比例换算成此项指标得分。</w:t>
            </w:r>
            <w:r>
              <w:rPr>
                <w:rFonts w:hint="default" w:ascii="Times New Roman" w:hAnsi="Times New Roman" w:cs="Times New Roman"/>
                <w:color w:val="000000"/>
                <w:kern w:val="0"/>
                <w:sz w:val="20"/>
                <w:szCs w:val="20"/>
                <w:lang w:bidi="ar"/>
              </w:rPr>
              <w:t xml:space="preserve">                                                                                                                                                                                          </w:t>
            </w:r>
          </w:p>
        </w:tc>
      </w:tr>
      <w:tr>
        <w:tblPrEx>
          <w:tblCellMar>
            <w:top w:w="0" w:type="dxa"/>
            <w:left w:w="108" w:type="dxa"/>
            <w:bottom w:w="0" w:type="dxa"/>
            <w:right w:w="108" w:type="dxa"/>
          </w:tblCellMar>
        </w:tblPrEx>
        <w:trPr>
          <w:trHeight w:val="1016" w:hRule="atLeast"/>
        </w:trPr>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绩效结果应用</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10分</w:t>
            </w:r>
            <w:r>
              <w:rPr>
                <w:rFonts w:hint="default" w:ascii="Times New Roman" w:hAnsi="Times New Roman" w:cs="Times New Roman"/>
                <w:color w:val="000000"/>
                <w:kern w:val="0"/>
                <w:sz w:val="20"/>
                <w:szCs w:val="20"/>
                <w:lang w:eastAsia="zh-CN" w:bidi="ar"/>
              </w:rPr>
              <w:t>）</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内部应用</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4分</w:t>
            </w:r>
            <w:r>
              <w:rPr>
                <w:rFonts w:hint="default" w:ascii="Times New Roman" w:hAnsi="Times New Roman" w:cs="Times New Roman"/>
                <w:color w:val="000000"/>
                <w:kern w:val="0"/>
                <w:sz w:val="20"/>
                <w:szCs w:val="20"/>
                <w:lang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预算挂钩</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部门内部绩效结果与预算挂钩情况。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将内设机构和下属单位绩效自评纳入考核体系，建立对内设机构和下属单位预算与绩效挂钩机制的，得</w:t>
            </w:r>
            <w:r>
              <w:rPr>
                <w:rFonts w:hint="default" w:ascii="Times New Roman" w:hAnsi="Times New Roman" w:eastAsia="微软雅黑" w:cs="Times New Roman"/>
                <w:i w:val="0"/>
                <w:iCs w:val="0"/>
                <w:caps w:val="0"/>
                <w:color w:val="000000"/>
                <w:spacing w:val="0"/>
                <w:sz w:val="19"/>
                <w:szCs w:val="19"/>
              </w:rPr>
              <w:t>4</w:t>
            </w:r>
            <w:r>
              <w:rPr>
                <w:rFonts w:hint="default" w:ascii="Times New Roman" w:hAnsi="Times New Roman" w:eastAsia="宋体" w:cs="Times New Roman"/>
                <w:i w:val="0"/>
                <w:iCs w:val="0"/>
                <w:caps w:val="0"/>
                <w:color w:val="000000"/>
                <w:spacing w:val="0"/>
                <w:sz w:val="19"/>
                <w:szCs w:val="19"/>
              </w:rPr>
              <w:t>分，否则酌情扣分。</w:t>
            </w:r>
            <w:r>
              <w:rPr>
                <w:rFonts w:hint="default" w:ascii="Times New Roman" w:hAnsi="Times New Roman" w:cs="Times New Roman"/>
                <w:color w:val="000000"/>
                <w:kern w:val="0"/>
                <w:sz w:val="20"/>
                <w:szCs w:val="20"/>
                <w:lang w:bidi="ar"/>
              </w:rPr>
              <w:t xml:space="preserve">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1344"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信息公开</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2分</w:t>
            </w:r>
            <w:r>
              <w:rPr>
                <w:rFonts w:hint="default" w:ascii="Times New Roman" w:hAnsi="Times New Roman" w:cs="Times New Roman"/>
                <w:color w:val="000000"/>
                <w:kern w:val="0"/>
                <w:sz w:val="20"/>
                <w:szCs w:val="20"/>
                <w:lang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自评公开</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评价部门是否按要求将部门整体绩效自评情况和自行组织的评价情况向社会公开。</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按要求将相关绩效信息随同决算公开的，得</w:t>
            </w:r>
            <w:r>
              <w:rPr>
                <w:rFonts w:hint="default" w:ascii="Times New Roman" w:hAnsi="Times New Roman" w:eastAsia="微软雅黑" w:cs="Times New Roman"/>
                <w:i w:val="0"/>
                <w:iCs w:val="0"/>
                <w:caps w:val="0"/>
                <w:color w:val="000000"/>
                <w:spacing w:val="0"/>
                <w:sz w:val="19"/>
                <w:szCs w:val="19"/>
              </w:rPr>
              <w:t>2</w:t>
            </w:r>
            <w:r>
              <w:rPr>
                <w:rFonts w:hint="default" w:ascii="Times New Roman" w:hAnsi="Times New Roman" w:eastAsia="宋体" w:cs="Times New Roman"/>
                <w:i w:val="0"/>
                <w:iCs w:val="0"/>
                <w:caps w:val="0"/>
                <w:color w:val="000000"/>
                <w:spacing w:val="0"/>
                <w:sz w:val="19"/>
                <w:szCs w:val="19"/>
              </w:rPr>
              <w:t>分，否则不得分。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1016"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整改反馈</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4分</w:t>
            </w:r>
            <w:r>
              <w:rPr>
                <w:rFonts w:hint="default" w:ascii="Times New Roman" w:hAnsi="Times New Roman" w:cs="Times New Roman"/>
                <w:color w:val="000000"/>
                <w:kern w:val="0"/>
                <w:sz w:val="20"/>
                <w:szCs w:val="20"/>
                <w:lang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问题整改</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评价部门根据绩效管理结果整改问题、完善政策、改进管理的情况。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针对绩效管理过程中（包括绩效目标核查、绩效监控核查和重点绩效评价）提出的问题进行整改，得</w:t>
            </w:r>
            <w:r>
              <w:rPr>
                <w:rFonts w:hint="default" w:ascii="Times New Roman" w:hAnsi="Times New Roman" w:eastAsia="微软雅黑" w:cs="Times New Roman"/>
                <w:i w:val="0"/>
                <w:iCs w:val="0"/>
                <w:caps w:val="0"/>
                <w:color w:val="000000"/>
                <w:spacing w:val="0"/>
                <w:sz w:val="19"/>
                <w:szCs w:val="19"/>
              </w:rPr>
              <w:t>2</w:t>
            </w:r>
            <w:r>
              <w:rPr>
                <w:rFonts w:hint="default" w:ascii="Times New Roman" w:hAnsi="Times New Roman" w:eastAsia="宋体" w:cs="Times New Roman"/>
                <w:i w:val="0"/>
                <w:iCs w:val="0"/>
                <w:caps w:val="0"/>
                <w:color w:val="000000"/>
                <w:spacing w:val="0"/>
                <w:sz w:val="19"/>
                <w:szCs w:val="19"/>
              </w:rPr>
              <w:t>分，否则酌情扣分。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1016"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应用反馈</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评价部门按要求及时向财政部门反馈结果应用情况。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部门在规定时间内向财政部门反馈应用绩效结果报告的，得</w:t>
            </w:r>
            <w:r>
              <w:rPr>
                <w:rFonts w:hint="default" w:ascii="Times New Roman" w:hAnsi="Times New Roman" w:eastAsia="微软雅黑" w:cs="Times New Roman"/>
                <w:i w:val="0"/>
                <w:iCs w:val="0"/>
                <w:caps w:val="0"/>
                <w:color w:val="000000"/>
                <w:spacing w:val="0"/>
                <w:sz w:val="19"/>
                <w:szCs w:val="19"/>
              </w:rPr>
              <w:t>2</w:t>
            </w:r>
            <w:r>
              <w:rPr>
                <w:rFonts w:hint="default" w:ascii="Times New Roman" w:hAnsi="Times New Roman" w:eastAsia="宋体" w:cs="Times New Roman"/>
                <w:i w:val="0"/>
                <w:iCs w:val="0"/>
                <w:caps w:val="0"/>
                <w:color w:val="000000"/>
                <w:spacing w:val="0"/>
                <w:sz w:val="19"/>
                <w:szCs w:val="19"/>
              </w:rPr>
              <w:t>分，否则不得分。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134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自评质量</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10分</w:t>
            </w:r>
            <w:r>
              <w:rPr>
                <w:rFonts w:hint="default" w:ascii="Times New Roman" w:hAnsi="Times New Roman" w:cs="Times New Roman"/>
                <w:color w:val="000000"/>
                <w:kern w:val="0"/>
                <w:sz w:val="20"/>
                <w:szCs w:val="20"/>
                <w:lang w:eastAsia="zh-CN" w:bidi="ar"/>
              </w:rPr>
              <w:t>）</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自评质量</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自评质量</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评价部门整体支出自评准确率。</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部门整体支出自评得分与评价组抽查得分差异在</w:t>
            </w:r>
            <w:r>
              <w:rPr>
                <w:rFonts w:hint="default" w:ascii="Times New Roman" w:hAnsi="Times New Roman" w:eastAsia="微软雅黑" w:cs="Times New Roman"/>
                <w:i w:val="0"/>
                <w:iCs w:val="0"/>
                <w:caps w:val="0"/>
                <w:color w:val="000000"/>
                <w:spacing w:val="0"/>
                <w:sz w:val="19"/>
                <w:szCs w:val="19"/>
              </w:rPr>
              <w:t>5%</w:t>
            </w:r>
            <w:r>
              <w:rPr>
                <w:rFonts w:hint="default" w:ascii="Times New Roman" w:hAnsi="Times New Roman" w:eastAsia="宋体" w:cs="Times New Roman"/>
                <w:i w:val="0"/>
                <w:iCs w:val="0"/>
                <w:caps w:val="0"/>
                <w:color w:val="000000"/>
                <w:spacing w:val="0"/>
                <w:sz w:val="19"/>
                <w:szCs w:val="19"/>
              </w:rPr>
              <w:t>以内的，不扣分；在</w:t>
            </w:r>
            <w:r>
              <w:rPr>
                <w:rFonts w:hint="default" w:ascii="Times New Roman" w:hAnsi="Times New Roman" w:eastAsia="微软雅黑" w:cs="Times New Roman"/>
                <w:i w:val="0"/>
                <w:iCs w:val="0"/>
                <w:caps w:val="0"/>
                <w:color w:val="000000"/>
                <w:spacing w:val="0"/>
                <w:sz w:val="19"/>
                <w:szCs w:val="19"/>
              </w:rPr>
              <w:t>5%-10%</w:t>
            </w:r>
            <w:r>
              <w:rPr>
                <w:rFonts w:hint="default" w:ascii="Times New Roman" w:hAnsi="Times New Roman" w:eastAsia="宋体" w:cs="Times New Roman"/>
                <w:i w:val="0"/>
                <w:iCs w:val="0"/>
                <w:caps w:val="0"/>
                <w:color w:val="000000"/>
                <w:spacing w:val="0"/>
                <w:sz w:val="19"/>
                <w:szCs w:val="19"/>
              </w:rPr>
              <w:t>之间的，扣</w:t>
            </w:r>
            <w:r>
              <w:rPr>
                <w:rFonts w:hint="default" w:ascii="Times New Roman" w:hAnsi="Times New Roman" w:eastAsia="微软雅黑" w:cs="Times New Roman"/>
                <w:i w:val="0"/>
                <w:iCs w:val="0"/>
                <w:caps w:val="0"/>
                <w:color w:val="000000"/>
                <w:spacing w:val="0"/>
                <w:sz w:val="19"/>
                <w:szCs w:val="19"/>
              </w:rPr>
              <w:t>4</w:t>
            </w:r>
            <w:r>
              <w:rPr>
                <w:rFonts w:hint="default" w:ascii="Times New Roman" w:hAnsi="Times New Roman" w:eastAsia="宋体" w:cs="Times New Roman"/>
                <w:i w:val="0"/>
                <w:iCs w:val="0"/>
                <w:caps w:val="0"/>
                <w:color w:val="000000"/>
                <w:spacing w:val="0"/>
                <w:sz w:val="19"/>
                <w:szCs w:val="19"/>
              </w:rPr>
              <w:t>分，在</w:t>
            </w:r>
            <w:r>
              <w:rPr>
                <w:rFonts w:hint="default" w:ascii="Times New Roman" w:hAnsi="Times New Roman" w:eastAsia="微软雅黑" w:cs="Times New Roman"/>
                <w:i w:val="0"/>
                <w:iCs w:val="0"/>
                <w:caps w:val="0"/>
                <w:color w:val="000000"/>
                <w:spacing w:val="0"/>
                <w:sz w:val="19"/>
                <w:szCs w:val="19"/>
              </w:rPr>
              <w:t>10%-20%</w:t>
            </w:r>
            <w:r>
              <w:rPr>
                <w:rFonts w:hint="default" w:ascii="Times New Roman" w:hAnsi="Times New Roman" w:eastAsia="宋体" w:cs="Times New Roman"/>
                <w:i w:val="0"/>
                <w:iCs w:val="0"/>
                <w:caps w:val="0"/>
                <w:color w:val="000000"/>
                <w:spacing w:val="0"/>
                <w:sz w:val="19"/>
                <w:szCs w:val="19"/>
              </w:rPr>
              <w:t>的，扣</w:t>
            </w:r>
            <w:r>
              <w:rPr>
                <w:rFonts w:hint="default" w:ascii="Times New Roman" w:hAnsi="Times New Roman" w:eastAsia="微软雅黑" w:cs="Times New Roman"/>
                <w:i w:val="0"/>
                <w:iCs w:val="0"/>
                <w:caps w:val="0"/>
                <w:color w:val="000000"/>
                <w:spacing w:val="0"/>
                <w:sz w:val="19"/>
                <w:szCs w:val="19"/>
              </w:rPr>
              <w:t>8</w:t>
            </w:r>
            <w:r>
              <w:rPr>
                <w:rFonts w:hint="default" w:ascii="Times New Roman" w:hAnsi="Times New Roman" w:eastAsia="宋体" w:cs="Times New Roman"/>
                <w:i w:val="0"/>
                <w:iCs w:val="0"/>
                <w:caps w:val="0"/>
                <w:color w:val="000000"/>
                <w:spacing w:val="0"/>
                <w:sz w:val="19"/>
                <w:szCs w:val="19"/>
              </w:rPr>
              <w:t>分，在</w:t>
            </w:r>
            <w:r>
              <w:rPr>
                <w:rFonts w:hint="default" w:ascii="Times New Roman" w:hAnsi="Times New Roman" w:eastAsia="微软雅黑" w:cs="Times New Roman"/>
                <w:i w:val="0"/>
                <w:iCs w:val="0"/>
                <w:caps w:val="0"/>
                <w:color w:val="000000"/>
                <w:spacing w:val="0"/>
                <w:sz w:val="19"/>
                <w:szCs w:val="19"/>
              </w:rPr>
              <w:t>20%</w:t>
            </w:r>
            <w:r>
              <w:rPr>
                <w:rFonts w:hint="default" w:ascii="Times New Roman" w:hAnsi="Times New Roman" w:eastAsia="宋体" w:cs="Times New Roman"/>
                <w:i w:val="0"/>
                <w:iCs w:val="0"/>
                <w:caps w:val="0"/>
                <w:color w:val="000000"/>
                <w:spacing w:val="0"/>
                <w:sz w:val="19"/>
                <w:szCs w:val="19"/>
              </w:rPr>
              <w:t>以上的，扣</w:t>
            </w:r>
            <w:r>
              <w:rPr>
                <w:rFonts w:hint="default" w:ascii="Times New Roman" w:hAnsi="Times New Roman" w:eastAsia="微软雅黑" w:cs="Times New Roman"/>
                <w:i w:val="0"/>
                <w:iCs w:val="0"/>
                <w:caps w:val="0"/>
                <w:color w:val="000000"/>
                <w:spacing w:val="0"/>
                <w:sz w:val="19"/>
                <w:szCs w:val="19"/>
              </w:rPr>
              <w:t>10</w:t>
            </w:r>
            <w:r>
              <w:rPr>
                <w:rFonts w:hint="default" w:ascii="Times New Roman" w:hAnsi="Times New Roman" w:eastAsia="宋体" w:cs="Times New Roman"/>
                <w:i w:val="0"/>
                <w:iCs w:val="0"/>
                <w:caps w:val="0"/>
                <w:color w:val="000000"/>
                <w:spacing w:val="0"/>
                <w:sz w:val="19"/>
                <w:szCs w:val="19"/>
              </w:rPr>
              <w:t>分（此为财政重点绩效评价计分标准，部门参照该标准对部门及下属单位抽查计分）。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1050" w:hRule="atLeast"/>
        </w:trPr>
        <w:tc>
          <w:tcPr>
            <w:tcW w:w="8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扣分项</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10分</w:t>
            </w:r>
            <w:r>
              <w:rPr>
                <w:rFonts w:hint="default" w:ascii="Times New Roman" w:hAnsi="Times New Roman" w:cs="Times New Roman"/>
                <w:color w:val="000000"/>
                <w:kern w:val="0"/>
                <w:sz w:val="20"/>
                <w:szCs w:val="20"/>
                <w:lang w:eastAsia="zh-CN" w:bidi="ar"/>
              </w:rPr>
              <w:t>）</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被评价单位配合评价工作情况。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aps w:val="0"/>
                <w:color w:val="000000"/>
                <w:spacing w:val="0"/>
                <w:sz w:val="19"/>
                <w:szCs w:val="19"/>
              </w:rPr>
              <w:t>财政重点绩效评价工作开展过程中，评价组发现被评价对象拖延推诿、提交资料不及时等拒不配合评价工作的，经报财政局复核确认后，按</w:t>
            </w:r>
            <w:r>
              <w:rPr>
                <w:rFonts w:hint="default" w:ascii="Times New Roman" w:hAnsi="Times New Roman" w:eastAsia="微软雅黑" w:cs="Times New Roman"/>
                <w:i w:val="0"/>
                <w:iCs w:val="0"/>
                <w:caps w:val="0"/>
                <w:color w:val="000000"/>
                <w:spacing w:val="0"/>
                <w:sz w:val="19"/>
                <w:szCs w:val="19"/>
              </w:rPr>
              <w:t>0.5</w:t>
            </w:r>
            <w:r>
              <w:rPr>
                <w:rFonts w:hint="default" w:ascii="Times New Roman" w:hAnsi="Times New Roman" w:eastAsia="宋体" w:cs="Times New Roman"/>
                <w:i w:val="0"/>
                <w:iCs w:val="0"/>
                <w:caps w:val="0"/>
                <w:color w:val="000000"/>
                <w:spacing w:val="0"/>
                <w:sz w:val="19"/>
                <w:szCs w:val="19"/>
              </w:rPr>
              <w:t>分</w:t>
            </w:r>
            <w:r>
              <w:rPr>
                <w:rFonts w:hint="default" w:ascii="Times New Roman" w:hAnsi="Times New Roman" w:eastAsia="微软雅黑" w:cs="Times New Roman"/>
                <w:i w:val="0"/>
                <w:iCs w:val="0"/>
                <w:caps w:val="0"/>
                <w:color w:val="000000"/>
                <w:spacing w:val="0"/>
                <w:sz w:val="19"/>
                <w:szCs w:val="19"/>
              </w:rPr>
              <w:t>/</w:t>
            </w:r>
            <w:r>
              <w:rPr>
                <w:rFonts w:hint="default" w:ascii="Times New Roman" w:hAnsi="Times New Roman" w:eastAsia="宋体" w:cs="Times New Roman"/>
                <w:i w:val="0"/>
                <w:iCs w:val="0"/>
                <w:caps w:val="0"/>
                <w:color w:val="000000"/>
                <w:spacing w:val="0"/>
                <w:sz w:val="19"/>
                <w:szCs w:val="19"/>
              </w:rPr>
              <w:t>次予以扣分，最高扣</w:t>
            </w:r>
            <w:r>
              <w:rPr>
                <w:rFonts w:hint="default" w:ascii="Times New Roman" w:hAnsi="Times New Roman" w:eastAsia="微软雅黑" w:cs="Times New Roman"/>
                <w:i w:val="0"/>
                <w:iCs w:val="0"/>
                <w:caps w:val="0"/>
                <w:color w:val="000000"/>
                <w:spacing w:val="0"/>
                <w:sz w:val="19"/>
                <w:szCs w:val="19"/>
              </w:rPr>
              <w:t>10</w:t>
            </w:r>
            <w:r>
              <w:rPr>
                <w:rFonts w:hint="default" w:ascii="Times New Roman" w:hAnsi="Times New Roman" w:eastAsia="宋体" w:cs="Times New Roman"/>
                <w:i w:val="0"/>
                <w:iCs w:val="0"/>
                <w:caps w:val="0"/>
                <w:color w:val="000000"/>
                <w:spacing w:val="0"/>
                <w:sz w:val="19"/>
                <w:szCs w:val="19"/>
              </w:rPr>
              <w:t>分（此为财政重点绩效评价计分标准，部门参照该标准对部门及下属单位计分）。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color w:val="000000"/>
                <w:sz w:val="20"/>
                <w:szCs w:val="20"/>
              </w:rPr>
            </w:pPr>
          </w:p>
        </w:tc>
      </w:tr>
    </w:tbl>
    <w:p>
      <w:pPr>
        <w:rPr>
          <w:rFonts w:hint="default" w:eastAsia="仿宋_GB2312"/>
          <w:sz w:val="32"/>
          <w:szCs w:val="32"/>
          <w:lang w:val="en-US" w:eastAsia="zh-CN"/>
        </w:rPr>
        <w:sectPr>
          <w:type w:val="continuous"/>
          <w:pgSz w:w="16838" w:h="11906" w:orient="landscape"/>
          <w:pgMar w:top="1701" w:right="1474" w:bottom="1134" w:left="1587" w:header="851" w:footer="992" w:gutter="0"/>
          <w:cols w:space="0" w:num="1"/>
          <w:titlePg/>
          <w:docGrid w:type="lines" w:linePitch="312" w:charSpace="0"/>
        </w:sectPr>
      </w:pPr>
    </w:p>
    <w:p>
      <w:pPr>
        <w:rPr>
          <w:rFonts w:hint="default" w:eastAsia="仿宋_GB2312"/>
          <w:sz w:val="32"/>
          <w:szCs w:val="32"/>
          <w:lang w:val="en-US" w:eastAsia="zh-CN"/>
        </w:rPr>
        <w:sectPr>
          <w:type w:val="continuous"/>
          <w:pgSz w:w="16838" w:h="11906" w:orient="landscape"/>
          <w:pgMar w:top="1701" w:right="1474" w:bottom="1134" w:left="1587" w:header="851" w:footer="992" w:gutter="0"/>
          <w:cols w:space="0" w:num="1"/>
          <w:titlePg/>
          <w:docGrid w:type="lines" w:linePitch="312" w:charSpace="0"/>
        </w:sectPr>
      </w:pPr>
    </w:p>
    <w:tbl>
      <w:tblPr>
        <w:tblStyle w:val="15"/>
        <w:tblpPr w:leftFromText="180" w:rightFromText="180" w:vertAnchor="text" w:horzAnchor="page" w:tblpX="1256" w:tblpY="221"/>
        <w:tblOverlap w:val="never"/>
        <w:tblW w:w="9720" w:type="dxa"/>
        <w:tblInd w:w="0" w:type="dxa"/>
        <w:tblLayout w:type="fixed"/>
        <w:tblCellMar>
          <w:top w:w="0" w:type="dxa"/>
          <w:left w:w="108" w:type="dxa"/>
          <w:bottom w:w="0" w:type="dxa"/>
          <w:right w:w="108" w:type="dxa"/>
        </w:tblCellMar>
      </w:tblPr>
      <w:tblGrid>
        <w:gridCol w:w="1082"/>
        <w:gridCol w:w="626"/>
        <w:gridCol w:w="163"/>
        <w:gridCol w:w="1916"/>
        <w:gridCol w:w="342"/>
        <w:gridCol w:w="975"/>
        <w:gridCol w:w="1025"/>
        <w:gridCol w:w="738"/>
        <w:gridCol w:w="712"/>
        <w:gridCol w:w="615"/>
        <w:gridCol w:w="1290"/>
        <w:gridCol w:w="236"/>
      </w:tblGrid>
      <w:tr>
        <w:tblPrEx>
          <w:tblCellMar>
            <w:top w:w="0" w:type="dxa"/>
            <w:left w:w="108" w:type="dxa"/>
            <w:bottom w:w="0" w:type="dxa"/>
            <w:right w:w="108" w:type="dxa"/>
          </w:tblCellMar>
        </w:tblPrEx>
        <w:trPr>
          <w:trHeight w:val="675" w:hRule="atLeast"/>
        </w:trPr>
        <w:tc>
          <w:tcPr>
            <w:tcW w:w="9484" w:type="dxa"/>
            <w:gridSpan w:val="11"/>
            <w:tcBorders>
              <w:top w:val="nil"/>
              <w:left w:val="nil"/>
              <w:bottom w:val="nil"/>
              <w:right w:val="nil"/>
            </w:tcBorders>
            <w:shd w:val="clear" w:color="auto" w:fill="auto"/>
            <w:vAlign w:val="center"/>
          </w:tcPr>
          <w:p>
            <w:pPr>
              <w:widowControl/>
              <w:jc w:val="center"/>
              <w:textAlignment w:val="center"/>
              <w:rPr>
                <w:rFonts w:ascii="宋体" w:hAnsi="宋体" w:cs="宋体"/>
                <w:b/>
                <w:color w:val="000000"/>
                <w:sz w:val="30"/>
                <w:szCs w:val="30"/>
              </w:rPr>
            </w:pPr>
            <w:r>
              <w:rPr>
                <w:rFonts w:hint="eastAsia" w:ascii="宋体" w:hAnsi="宋体" w:cs="宋体"/>
                <w:b/>
                <w:color w:val="000000"/>
                <w:sz w:val="30"/>
                <w:szCs w:val="30"/>
              </w:rPr>
              <w:t>2022年特定目标类部门预算项目绩效自评</w:t>
            </w:r>
          </w:p>
          <w:p>
            <w:pPr>
              <w:widowControl/>
              <w:jc w:val="center"/>
              <w:textAlignment w:val="center"/>
              <w:rPr>
                <w:rFonts w:ascii="宋体" w:hAnsi="宋体" w:cs="宋体"/>
                <w:b/>
                <w:color w:val="000000"/>
                <w:szCs w:val="32"/>
              </w:rPr>
            </w:pPr>
            <w:r>
              <w:rPr>
                <w:rFonts w:hint="eastAsia" w:ascii="宋体" w:hAnsi="宋体" w:cs="宋体"/>
                <w:b/>
                <w:color w:val="000000"/>
                <w:sz w:val="30"/>
                <w:szCs w:val="30"/>
              </w:rPr>
              <w:t>（项目名称：购买安保服务专项）</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color w:val="000000"/>
                <w:kern w:val="0"/>
                <w:szCs w:val="32"/>
              </w:rPr>
            </w:pPr>
          </w:p>
        </w:tc>
      </w:tr>
      <w:tr>
        <w:tblPrEx>
          <w:tblCellMar>
            <w:top w:w="0" w:type="dxa"/>
            <w:left w:w="108" w:type="dxa"/>
            <w:bottom w:w="0" w:type="dxa"/>
            <w:right w:w="108" w:type="dxa"/>
          </w:tblCellMar>
        </w:tblPrEx>
        <w:trPr>
          <w:gridAfter w:val="1"/>
          <w:wAfter w:w="236" w:type="dxa"/>
          <w:trHeight w:val="254" w:hRule="atLeast"/>
        </w:trPr>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实施单位</w:t>
            </w:r>
          </w:p>
        </w:tc>
        <w:tc>
          <w:tcPr>
            <w:tcW w:w="44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达川区实验幼儿园</w:t>
            </w: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主管部门及代码</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达川区教育局</w:t>
            </w:r>
          </w:p>
        </w:tc>
      </w:tr>
      <w:tr>
        <w:tblPrEx>
          <w:tblCellMar>
            <w:top w:w="0" w:type="dxa"/>
            <w:left w:w="108" w:type="dxa"/>
            <w:bottom w:w="0" w:type="dxa"/>
            <w:right w:w="108" w:type="dxa"/>
          </w:tblCellMar>
        </w:tblPrEx>
        <w:trPr>
          <w:gridAfter w:val="1"/>
          <w:wAfter w:w="236" w:type="dxa"/>
          <w:trHeight w:val="341" w:hRule="atLeast"/>
        </w:trPr>
        <w:tc>
          <w:tcPr>
            <w:tcW w:w="17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项目预算</w:t>
            </w:r>
          </w:p>
          <w:p>
            <w:pPr>
              <w:widowControl/>
              <w:spacing w:line="320" w:lineRule="exact"/>
              <w:jc w:val="center"/>
              <w:textAlignment w:val="bottom"/>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执行情况</w:t>
            </w:r>
          </w:p>
          <w:p>
            <w:pPr>
              <w:widowControl/>
              <w:spacing w:line="320" w:lineRule="exact"/>
              <w:jc w:val="center"/>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（万元）</w:t>
            </w:r>
          </w:p>
        </w:tc>
        <w:tc>
          <w:tcPr>
            <w:tcW w:w="24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预算数：</w:t>
            </w: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6.00</w:t>
            </w: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执行数：</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6.00</w:t>
            </w:r>
          </w:p>
        </w:tc>
      </w:tr>
      <w:tr>
        <w:tblPrEx>
          <w:tblCellMar>
            <w:top w:w="0" w:type="dxa"/>
            <w:left w:w="108" w:type="dxa"/>
            <w:bottom w:w="0" w:type="dxa"/>
            <w:right w:w="108" w:type="dxa"/>
          </w:tblCellMar>
        </w:tblPrEx>
        <w:trPr>
          <w:gridAfter w:val="1"/>
          <w:wAfter w:w="236" w:type="dxa"/>
          <w:trHeight w:val="275" w:hRule="atLeast"/>
        </w:trPr>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Cs w:val="21"/>
              </w:rPr>
            </w:pPr>
          </w:p>
        </w:tc>
        <w:tc>
          <w:tcPr>
            <w:tcW w:w="24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其中：财政拨款</w:t>
            </w: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6.00</w:t>
            </w: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其中：财政拨款</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6.00</w:t>
            </w:r>
          </w:p>
        </w:tc>
      </w:tr>
      <w:tr>
        <w:tblPrEx>
          <w:tblCellMar>
            <w:top w:w="0" w:type="dxa"/>
            <w:left w:w="108" w:type="dxa"/>
            <w:bottom w:w="0" w:type="dxa"/>
            <w:right w:w="108" w:type="dxa"/>
          </w:tblCellMar>
        </w:tblPrEx>
        <w:trPr>
          <w:gridAfter w:val="1"/>
          <w:wAfter w:w="236" w:type="dxa"/>
          <w:trHeight w:val="341" w:hRule="atLeast"/>
        </w:trPr>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Cs w:val="21"/>
              </w:rPr>
            </w:pPr>
          </w:p>
        </w:tc>
        <w:tc>
          <w:tcPr>
            <w:tcW w:w="24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其他资金</w:t>
            </w: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0</w:t>
            </w: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其他资金</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0</w:t>
            </w:r>
          </w:p>
        </w:tc>
      </w:tr>
      <w:tr>
        <w:tblPrEx>
          <w:tblCellMar>
            <w:top w:w="0" w:type="dxa"/>
            <w:left w:w="108" w:type="dxa"/>
            <w:bottom w:w="0" w:type="dxa"/>
            <w:right w:w="108" w:type="dxa"/>
          </w:tblCellMar>
        </w:tblPrEx>
        <w:trPr>
          <w:gridAfter w:val="1"/>
          <w:wAfter w:w="236" w:type="dxa"/>
          <w:trHeight w:val="217" w:hRule="atLeast"/>
        </w:trPr>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年度总体目标</w:t>
            </w:r>
          </w:p>
          <w:p>
            <w:pPr>
              <w:widowControl/>
              <w:spacing w:line="320" w:lineRule="exact"/>
              <w:jc w:val="center"/>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完成情况</w:t>
            </w:r>
          </w:p>
        </w:tc>
        <w:tc>
          <w:tcPr>
            <w:tcW w:w="50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rPr>
              <w:t>预期</w:t>
            </w:r>
            <w:r>
              <w:rPr>
                <w:rFonts w:hint="default" w:ascii="Times New Roman" w:hAnsi="Times New Roman" w:cs="Times New Roman"/>
                <w:color w:val="000000"/>
                <w:kern w:val="0"/>
                <w:szCs w:val="21"/>
                <w:lang w:val="en-US" w:eastAsia="zh-CN"/>
              </w:rPr>
              <w:t>完成</w:t>
            </w:r>
            <w:r>
              <w:rPr>
                <w:rFonts w:hint="default" w:ascii="Times New Roman" w:hAnsi="Times New Roman" w:cs="Times New Roman"/>
                <w:color w:val="000000"/>
                <w:kern w:val="0"/>
                <w:szCs w:val="21"/>
              </w:rPr>
              <w:t>目标</w:t>
            </w:r>
            <w:r>
              <w:rPr>
                <w:rFonts w:hint="default" w:ascii="Times New Roman" w:hAnsi="Times New Roman" w:cs="Times New Roman"/>
                <w:color w:val="000000"/>
                <w:kern w:val="0"/>
                <w:szCs w:val="21"/>
                <w:lang w:val="en-US" w:eastAsia="zh-CN"/>
              </w:rPr>
              <w:t>情况</w:t>
            </w:r>
          </w:p>
        </w:tc>
        <w:tc>
          <w:tcPr>
            <w:tcW w:w="33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实际完成目标情况</w:t>
            </w:r>
          </w:p>
        </w:tc>
      </w:tr>
      <w:tr>
        <w:tblPrEx>
          <w:tblCellMar>
            <w:top w:w="0" w:type="dxa"/>
            <w:left w:w="108" w:type="dxa"/>
            <w:bottom w:w="0" w:type="dxa"/>
            <w:right w:w="108" w:type="dxa"/>
          </w:tblCellMar>
        </w:tblPrEx>
        <w:trPr>
          <w:gridAfter w:val="1"/>
          <w:wAfter w:w="236" w:type="dxa"/>
          <w:trHeight w:val="1297" w:hRule="atLeas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Cs w:val="21"/>
              </w:rPr>
            </w:pPr>
          </w:p>
        </w:tc>
        <w:tc>
          <w:tcPr>
            <w:tcW w:w="4022" w:type="dxa"/>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2022年内计划发放学校物业管理服务费15万元，目的是维护学校正常教育教学秩序，保障学校及师生的人身、财产安全。</w:t>
            </w:r>
          </w:p>
        </w:tc>
        <w:tc>
          <w:tcPr>
            <w:tcW w:w="4380" w:type="dxa"/>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2022年实际发放学校物业管理服务费6万元，维护了学校正常教育教学秩序，保障了学校及师生的人身、财产安全。</w:t>
            </w:r>
          </w:p>
        </w:tc>
      </w:tr>
      <w:tr>
        <w:tblPrEx>
          <w:tblCellMar>
            <w:top w:w="0" w:type="dxa"/>
            <w:left w:w="108" w:type="dxa"/>
            <w:bottom w:w="0" w:type="dxa"/>
            <w:right w:w="108" w:type="dxa"/>
          </w:tblCellMar>
        </w:tblPrEx>
        <w:trPr>
          <w:gridAfter w:val="1"/>
          <w:wAfter w:w="236" w:type="dxa"/>
          <w:trHeight w:val="738" w:hRule="atLeast"/>
        </w:trPr>
        <w:tc>
          <w:tcPr>
            <w:tcW w:w="1082"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年度绩效指标完成情况</w:t>
            </w:r>
          </w:p>
        </w:tc>
        <w:tc>
          <w:tcPr>
            <w:tcW w:w="78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一级</w:t>
            </w:r>
          </w:p>
          <w:p>
            <w:pPr>
              <w:widowControl/>
              <w:spacing w:line="320" w:lineRule="exact"/>
              <w:jc w:val="center"/>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指标</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二级</w:t>
            </w:r>
          </w:p>
          <w:p>
            <w:pPr>
              <w:widowControl/>
              <w:spacing w:line="320" w:lineRule="exact"/>
              <w:jc w:val="center"/>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指标</w:t>
            </w:r>
          </w:p>
        </w:tc>
        <w:tc>
          <w:tcPr>
            <w:tcW w:w="3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三级</w:t>
            </w:r>
          </w:p>
          <w:p>
            <w:pPr>
              <w:widowControl/>
              <w:spacing w:line="320" w:lineRule="exact"/>
              <w:jc w:val="center"/>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指标</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预期指标值</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实际完成指标值</w:t>
            </w:r>
          </w:p>
        </w:tc>
      </w:tr>
      <w:tr>
        <w:tblPrEx>
          <w:tblCellMar>
            <w:top w:w="0" w:type="dxa"/>
            <w:left w:w="108" w:type="dxa"/>
            <w:bottom w:w="0" w:type="dxa"/>
            <w:right w:w="108" w:type="dxa"/>
          </w:tblCellMar>
        </w:tblPrEx>
        <w:trPr>
          <w:gridAfter w:val="1"/>
          <w:wAfter w:w="236" w:type="dxa"/>
          <w:trHeight w:val="525" w:hRule="atLeast"/>
        </w:trPr>
        <w:tc>
          <w:tcPr>
            <w:tcW w:w="1082"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Cs w:val="21"/>
              </w:rPr>
            </w:pPr>
          </w:p>
        </w:tc>
        <w:tc>
          <w:tcPr>
            <w:tcW w:w="7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完成</w:t>
            </w:r>
          </w:p>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指标</w:t>
            </w:r>
          </w:p>
        </w:tc>
        <w:tc>
          <w:tcPr>
            <w:tcW w:w="1916" w:type="dxa"/>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数量指标</w:t>
            </w:r>
          </w:p>
        </w:tc>
        <w:tc>
          <w:tcPr>
            <w:tcW w:w="3080" w:type="dxa"/>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专职保安人员聘请数量</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4人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4人</w:t>
            </w:r>
          </w:p>
        </w:tc>
      </w:tr>
      <w:tr>
        <w:tblPrEx>
          <w:tblCellMar>
            <w:top w:w="0" w:type="dxa"/>
            <w:left w:w="108" w:type="dxa"/>
            <w:bottom w:w="0" w:type="dxa"/>
            <w:right w:w="108" w:type="dxa"/>
          </w:tblCellMar>
        </w:tblPrEx>
        <w:trPr>
          <w:gridAfter w:val="1"/>
          <w:wAfter w:w="236" w:type="dxa"/>
          <w:trHeight w:val="499" w:hRule="atLeast"/>
        </w:trPr>
        <w:tc>
          <w:tcPr>
            <w:tcW w:w="1082"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Cs w:val="21"/>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质量指标</w:t>
            </w:r>
          </w:p>
        </w:tc>
        <w:tc>
          <w:tcPr>
            <w:tcW w:w="3080" w:type="dxa"/>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保安人员正常到岗率</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r>
      <w:tr>
        <w:tblPrEx>
          <w:tblCellMar>
            <w:top w:w="0" w:type="dxa"/>
            <w:left w:w="108" w:type="dxa"/>
            <w:bottom w:w="0" w:type="dxa"/>
            <w:right w:w="108" w:type="dxa"/>
          </w:tblCellMar>
        </w:tblPrEx>
        <w:trPr>
          <w:gridAfter w:val="1"/>
          <w:wAfter w:w="236" w:type="dxa"/>
          <w:trHeight w:val="484" w:hRule="atLeast"/>
        </w:trPr>
        <w:tc>
          <w:tcPr>
            <w:tcW w:w="1082"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Cs w:val="21"/>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成本指标</w:t>
            </w:r>
          </w:p>
        </w:tc>
        <w:tc>
          <w:tcPr>
            <w:tcW w:w="3080" w:type="dxa"/>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项目成本控制数</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6万元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6万元</w:t>
            </w:r>
          </w:p>
        </w:tc>
      </w:tr>
      <w:tr>
        <w:tblPrEx>
          <w:tblCellMar>
            <w:top w:w="0" w:type="dxa"/>
            <w:left w:w="108" w:type="dxa"/>
            <w:bottom w:w="0" w:type="dxa"/>
            <w:right w:w="108" w:type="dxa"/>
          </w:tblCellMar>
        </w:tblPrEx>
        <w:trPr>
          <w:gridAfter w:val="1"/>
          <w:wAfter w:w="236" w:type="dxa"/>
          <w:trHeight w:val="484" w:hRule="atLeast"/>
        </w:trPr>
        <w:tc>
          <w:tcPr>
            <w:tcW w:w="1082"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Cs w:val="21"/>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质量指标</w:t>
            </w:r>
          </w:p>
        </w:tc>
        <w:tc>
          <w:tcPr>
            <w:tcW w:w="3080" w:type="dxa"/>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专职保安人员工资发放准确率</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r>
      <w:tr>
        <w:tblPrEx>
          <w:tblCellMar>
            <w:top w:w="0" w:type="dxa"/>
            <w:left w:w="108" w:type="dxa"/>
            <w:bottom w:w="0" w:type="dxa"/>
            <w:right w:w="108" w:type="dxa"/>
          </w:tblCellMar>
        </w:tblPrEx>
        <w:trPr>
          <w:gridAfter w:val="1"/>
          <w:wAfter w:w="236" w:type="dxa"/>
          <w:trHeight w:val="484" w:hRule="atLeast"/>
        </w:trPr>
        <w:tc>
          <w:tcPr>
            <w:tcW w:w="1082"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Cs w:val="21"/>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时效指标</w:t>
            </w:r>
          </w:p>
        </w:tc>
        <w:tc>
          <w:tcPr>
            <w:tcW w:w="3080" w:type="dxa"/>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lang w:val="en-US" w:eastAsia="zh-CN"/>
              </w:rPr>
              <w:t>保障</w:t>
            </w:r>
            <w:r>
              <w:rPr>
                <w:rFonts w:hint="default" w:ascii="Times New Roman" w:hAnsi="Times New Roman" w:cs="Times New Roman"/>
                <w:sz w:val="20"/>
                <w:szCs w:val="20"/>
              </w:rPr>
              <w:t>专职保安人员工资发放及时率</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r>
      <w:tr>
        <w:tblPrEx>
          <w:tblCellMar>
            <w:top w:w="0" w:type="dxa"/>
            <w:left w:w="108" w:type="dxa"/>
            <w:bottom w:w="0" w:type="dxa"/>
            <w:right w:w="108" w:type="dxa"/>
          </w:tblCellMar>
        </w:tblPrEx>
        <w:trPr>
          <w:gridAfter w:val="1"/>
          <w:wAfter w:w="236" w:type="dxa"/>
          <w:trHeight w:val="400" w:hRule="atLeast"/>
        </w:trPr>
        <w:tc>
          <w:tcPr>
            <w:tcW w:w="1082"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Cs w:val="21"/>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质量指标</w:t>
            </w:r>
          </w:p>
        </w:tc>
        <w:tc>
          <w:tcPr>
            <w:tcW w:w="3080" w:type="dxa"/>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保安人员资质符合率</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r>
      <w:tr>
        <w:tblPrEx>
          <w:tblCellMar>
            <w:top w:w="0" w:type="dxa"/>
            <w:left w:w="108" w:type="dxa"/>
            <w:bottom w:w="0" w:type="dxa"/>
            <w:right w:w="108" w:type="dxa"/>
          </w:tblCellMar>
        </w:tblPrEx>
        <w:trPr>
          <w:gridAfter w:val="1"/>
          <w:wAfter w:w="236" w:type="dxa"/>
          <w:trHeight w:val="480" w:hRule="atLeast"/>
        </w:trPr>
        <w:tc>
          <w:tcPr>
            <w:tcW w:w="1082"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Cs w:val="21"/>
              </w:rPr>
            </w:pPr>
          </w:p>
        </w:tc>
        <w:tc>
          <w:tcPr>
            <w:tcW w:w="7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效益指标</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社会效益指标</w:t>
            </w:r>
          </w:p>
        </w:tc>
        <w:tc>
          <w:tcPr>
            <w:tcW w:w="3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保障师生人身财产安全</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Cs w:val="21"/>
              </w:rPr>
              <w:t>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优</w:t>
            </w:r>
          </w:p>
        </w:tc>
      </w:tr>
      <w:tr>
        <w:tblPrEx>
          <w:tblCellMar>
            <w:top w:w="0" w:type="dxa"/>
            <w:left w:w="108" w:type="dxa"/>
            <w:bottom w:w="0" w:type="dxa"/>
            <w:right w:w="108" w:type="dxa"/>
          </w:tblCellMar>
        </w:tblPrEx>
        <w:trPr>
          <w:gridAfter w:val="1"/>
          <w:wAfter w:w="236" w:type="dxa"/>
          <w:trHeight w:val="480" w:hRule="atLeast"/>
        </w:trPr>
        <w:tc>
          <w:tcPr>
            <w:tcW w:w="1082"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Cs w:val="21"/>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社会效益指标</w:t>
            </w:r>
          </w:p>
        </w:tc>
        <w:tc>
          <w:tcPr>
            <w:tcW w:w="3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维护学校正常教育教学秩序</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Cs w:val="21"/>
              </w:rPr>
              <w:t>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优</w:t>
            </w:r>
          </w:p>
        </w:tc>
      </w:tr>
      <w:tr>
        <w:tblPrEx>
          <w:tblCellMar>
            <w:top w:w="0" w:type="dxa"/>
            <w:left w:w="108" w:type="dxa"/>
            <w:bottom w:w="0" w:type="dxa"/>
            <w:right w:w="108" w:type="dxa"/>
          </w:tblCellMar>
        </w:tblPrEx>
        <w:trPr>
          <w:gridAfter w:val="1"/>
          <w:wAfter w:w="236" w:type="dxa"/>
          <w:trHeight w:val="480" w:hRule="atLeast"/>
        </w:trPr>
        <w:tc>
          <w:tcPr>
            <w:tcW w:w="1082"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Cs w:val="21"/>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可持续影响指标</w:t>
            </w:r>
          </w:p>
        </w:tc>
        <w:tc>
          <w:tcPr>
            <w:tcW w:w="3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物业管理服务制度健全性</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Cs w:val="21"/>
              </w:rPr>
              <w:t>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优</w:t>
            </w:r>
          </w:p>
        </w:tc>
      </w:tr>
      <w:tr>
        <w:tblPrEx>
          <w:tblCellMar>
            <w:top w:w="0" w:type="dxa"/>
            <w:left w:w="108" w:type="dxa"/>
            <w:bottom w:w="0" w:type="dxa"/>
            <w:right w:w="108" w:type="dxa"/>
          </w:tblCellMar>
        </w:tblPrEx>
        <w:trPr>
          <w:gridAfter w:val="1"/>
          <w:wAfter w:w="236" w:type="dxa"/>
          <w:trHeight w:val="20" w:hRule="atLeast"/>
        </w:trPr>
        <w:tc>
          <w:tcPr>
            <w:tcW w:w="1082" w:type="dxa"/>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Cs w:val="21"/>
              </w:rPr>
            </w:pP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满意度指标</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满意度指标</w:t>
            </w:r>
          </w:p>
        </w:tc>
        <w:tc>
          <w:tcPr>
            <w:tcW w:w="3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师生满意度</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r>
    </w:tbl>
    <w:p>
      <w:pPr>
        <w:rPr>
          <w:rFonts w:hint="default" w:ascii="Times New Roman" w:hAnsi="Times New Roman" w:eastAsia="仿宋_GB2312" w:cs="Times New Roman"/>
          <w:sz w:val="32"/>
          <w:szCs w:val="32"/>
          <w:lang w:val="zh-CN"/>
        </w:rPr>
      </w:pPr>
    </w:p>
    <w:p>
      <w:pPr>
        <w:pStyle w:val="7"/>
        <w:rPr>
          <w:rFonts w:hint="default" w:ascii="Times New Roman" w:hAnsi="Times New Roman" w:eastAsia="仿宋_GB2312" w:cs="Times New Roman"/>
          <w:sz w:val="32"/>
          <w:szCs w:val="32"/>
          <w:lang w:val="zh-CN"/>
        </w:rPr>
      </w:pPr>
    </w:p>
    <w:p>
      <w:pPr>
        <w:rPr>
          <w:rFonts w:hint="default" w:ascii="Times New Roman" w:hAnsi="Times New Roman" w:eastAsia="仿宋_GB2312" w:cs="Times New Roman"/>
          <w:sz w:val="32"/>
          <w:szCs w:val="32"/>
          <w:lang w:val="zh-CN"/>
        </w:rPr>
      </w:pPr>
    </w:p>
    <w:tbl>
      <w:tblPr>
        <w:tblStyle w:val="15"/>
        <w:tblpPr w:leftFromText="180" w:rightFromText="180" w:vertAnchor="text" w:horzAnchor="page" w:tblpX="1256" w:tblpY="221"/>
        <w:tblOverlap w:val="never"/>
        <w:tblW w:w="5386" w:type="pct"/>
        <w:tblInd w:w="0" w:type="dxa"/>
        <w:tblLayout w:type="autofit"/>
        <w:tblCellMar>
          <w:top w:w="0" w:type="dxa"/>
          <w:left w:w="108" w:type="dxa"/>
          <w:bottom w:w="0" w:type="dxa"/>
          <w:right w:w="108" w:type="dxa"/>
        </w:tblCellMar>
      </w:tblPr>
      <w:tblGrid>
        <w:gridCol w:w="1052"/>
        <w:gridCol w:w="613"/>
        <w:gridCol w:w="146"/>
        <w:gridCol w:w="1747"/>
        <w:gridCol w:w="476"/>
        <w:gridCol w:w="966"/>
        <w:gridCol w:w="1021"/>
        <w:gridCol w:w="820"/>
        <w:gridCol w:w="597"/>
        <w:gridCol w:w="725"/>
        <w:gridCol w:w="1598"/>
      </w:tblGrid>
      <w:tr>
        <w:tblPrEx>
          <w:tblCellMar>
            <w:top w:w="0" w:type="dxa"/>
            <w:left w:w="108" w:type="dxa"/>
            <w:bottom w:w="0" w:type="dxa"/>
            <w:right w:w="108" w:type="dxa"/>
          </w:tblCellMar>
        </w:tblPrEx>
        <w:trPr>
          <w:trHeight w:val="675" w:hRule="atLeast"/>
        </w:trPr>
        <w:tc>
          <w:tcPr>
            <w:tcW w:w="5000" w:type="pct"/>
            <w:gridSpan w:val="11"/>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color w:val="000000"/>
                <w:sz w:val="30"/>
                <w:szCs w:val="30"/>
              </w:rPr>
            </w:pPr>
            <w:r>
              <w:rPr>
                <w:rFonts w:hint="default" w:ascii="Times New Roman" w:hAnsi="Times New Roman" w:cs="Times New Roman"/>
                <w:b/>
                <w:color w:val="000000"/>
                <w:sz w:val="30"/>
                <w:szCs w:val="30"/>
              </w:rPr>
              <w:t>2022年部门专项预算项目绩效目标自评</w:t>
            </w:r>
          </w:p>
          <w:p>
            <w:pPr>
              <w:widowControl/>
              <w:jc w:val="center"/>
              <w:textAlignment w:val="center"/>
              <w:rPr>
                <w:rFonts w:hint="default" w:ascii="Times New Roman" w:hAnsi="Times New Roman" w:cs="Times New Roman"/>
                <w:b/>
                <w:color w:val="000000"/>
                <w:szCs w:val="32"/>
              </w:rPr>
            </w:pPr>
            <w:r>
              <w:rPr>
                <w:rFonts w:hint="default" w:ascii="Times New Roman" w:hAnsi="Times New Roman" w:cs="Times New Roman"/>
                <w:b/>
                <w:color w:val="000000"/>
                <w:sz w:val="30"/>
                <w:szCs w:val="30"/>
              </w:rPr>
              <w:t>（项目名称：幼儿</w:t>
            </w:r>
            <w:r>
              <w:rPr>
                <w:rFonts w:hint="eastAsia" w:cs="Times New Roman"/>
                <w:b/>
                <w:color w:val="000000"/>
                <w:sz w:val="30"/>
                <w:szCs w:val="30"/>
                <w:lang w:eastAsia="zh-CN"/>
              </w:rPr>
              <w:t>园</w:t>
            </w:r>
            <w:r>
              <w:rPr>
                <w:rFonts w:hint="default" w:ascii="Times New Roman" w:hAnsi="Times New Roman" w:cs="Times New Roman"/>
                <w:b/>
                <w:color w:val="000000"/>
                <w:sz w:val="30"/>
                <w:szCs w:val="30"/>
              </w:rPr>
              <w:t>经费）</w:t>
            </w:r>
          </w:p>
        </w:tc>
      </w:tr>
      <w:tr>
        <w:tblPrEx>
          <w:tblCellMar>
            <w:top w:w="0" w:type="dxa"/>
            <w:left w:w="108" w:type="dxa"/>
            <w:bottom w:w="0" w:type="dxa"/>
            <w:right w:w="108" w:type="dxa"/>
          </w:tblCellMar>
        </w:tblPrEx>
        <w:trPr>
          <w:trHeight w:val="254" w:hRule="atLeast"/>
        </w:trPr>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实施单位</w:t>
            </w:r>
          </w:p>
        </w:tc>
        <w:tc>
          <w:tcPr>
            <w:tcW w:w="223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0"/>
                <w:szCs w:val="20"/>
              </w:rPr>
            </w:pPr>
            <w:r>
              <w:rPr>
                <w:rFonts w:hint="default" w:ascii="Times New Roman" w:hAnsi="Times New Roman" w:cs="Times New Roman"/>
                <w:color w:val="000000"/>
                <w:kern w:val="0"/>
                <w:sz w:val="20"/>
                <w:szCs w:val="20"/>
              </w:rPr>
              <w:t>达川区实验幼儿园</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主管部门及代码</w:t>
            </w:r>
          </w:p>
        </w:tc>
        <w:tc>
          <w:tcPr>
            <w:tcW w:w="11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达川区教育局</w:t>
            </w:r>
          </w:p>
        </w:tc>
      </w:tr>
      <w:tr>
        <w:tblPrEx>
          <w:tblCellMar>
            <w:top w:w="0" w:type="dxa"/>
            <w:left w:w="108" w:type="dxa"/>
            <w:bottom w:w="0" w:type="dxa"/>
            <w:right w:w="108" w:type="dxa"/>
          </w:tblCellMar>
        </w:tblPrEx>
        <w:trPr>
          <w:trHeight w:val="341" w:hRule="atLeast"/>
        </w:trPr>
        <w:tc>
          <w:tcPr>
            <w:tcW w:w="8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0"/>
                <w:szCs w:val="20"/>
              </w:rPr>
            </w:pPr>
            <w:r>
              <w:rPr>
                <w:rFonts w:hint="default" w:ascii="Times New Roman" w:hAnsi="Times New Roman" w:cs="Times New Roman"/>
                <w:color w:val="000000"/>
                <w:kern w:val="0"/>
                <w:sz w:val="20"/>
                <w:szCs w:val="20"/>
              </w:rPr>
              <w:t>项目预算</w:t>
            </w:r>
          </w:p>
          <w:p>
            <w:pPr>
              <w:widowControl/>
              <w:spacing w:line="320" w:lineRule="exact"/>
              <w:jc w:val="center"/>
              <w:textAlignment w:val="bottom"/>
              <w:rPr>
                <w:rFonts w:hint="default" w:ascii="Times New Roman" w:hAnsi="Times New Roman" w:eastAsia="仿宋_GB2312" w:cs="Times New Roman"/>
                <w:color w:val="000000"/>
                <w:kern w:val="0"/>
                <w:sz w:val="20"/>
                <w:szCs w:val="20"/>
              </w:rPr>
            </w:pPr>
            <w:r>
              <w:rPr>
                <w:rFonts w:hint="default" w:ascii="Times New Roman" w:hAnsi="Times New Roman" w:cs="Times New Roman"/>
                <w:color w:val="000000"/>
                <w:kern w:val="0"/>
                <w:sz w:val="20"/>
                <w:szCs w:val="20"/>
              </w:rPr>
              <w:t>执行情况</w:t>
            </w:r>
          </w:p>
          <w:p>
            <w:pPr>
              <w:widowControl/>
              <w:spacing w:line="320" w:lineRule="exact"/>
              <w:jc w:val="center"/>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（万元）</w:t>
            </w:r>
          </w:p>
        </w:tc>
        <w:tc>
          <w:tcPr>
            <w:tcW w:w="12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预算数：</w:t>
            </w:r>
          </w:p>
        </w:tc>
        <w:tc>
          <w:tcPr>
            <w:tcW w:w="10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302.31</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执行数：</w:t>
            </w:r>
          </w:p>
        </w:tc>
        <w:tc>
          <w:tcPr>
            <w:tcW w:w="11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302.31</w:t>
            </w:r>
          </w:p>
        </w:tc>
      </w:tr>
      <w:tr>
        <w:tblPrEx>
          <w:tblCellMar>
            <w:top w:w="0" w:type="dxa"/>
            <w:left w:w="108" w:type="dxa"/>
            <w:bottom w:w="0" w:type="dxa"/>
            <w:right w:w="108" w:type="dxa"/>
          </w:tblCellMar>
        </w:tblPrEx>
        <w:trPr>
          <w:trHeight w:val="275" w:hRule="atLeast"/>
        </w:trPr>
        <w:tc>
          <w:tcPr>
            <w:tcW w:w="8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rPr>
            </w:pPr>
          </w:p>
        </w:tc>
        <w:tc>
          <w:tcPr>
            <w:tcW w:w="12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其中：财政拨款</w:t>
            </w:r>
          </w:p>
        </w:tc>
        <w:tc>
          <w:tcPr>
            <w:tcW w:w="10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302.31</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其中：财政拨款</w:t>
            </w:r>
          </w:p>
        </w:tc>
        <w:tc>
          <w:tcPr>
            <w:tcW w:w="11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302.31</w:t>
            </w:r>
          </w:p>
        </w:tc>
      </w:tr>
      <w:tr>
        <w:tblPrEx>
          <w:tblCellMar>
            <w:top w:w="0" w:type="dxa"/>
            <w:left w:w="108" w:type="dxa"/>
            <w:bottom w:w="0" w:type="dxa"/>
            <w:right w:w="108" w:type="dxa"/>
          </w:tblCellMar>
        </w:tblPrEx>
        <w:trPr>
          <w:trHeight w:val="341" w:hRule="atLeast"/>
        </w:trPr>
        <w:tc>
          <w:tcPr>
            <w:tcW w:w="8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rPr>
            </w:pPr>
          </w:p>
        </w:tc>
        <w:tc>
          <w:tcPr>
            <w:tcW w:w="12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其他资金</w:t>
            </w:r>
          </w:p>
        </w:tc>
        <w:tc>
          <w:tcPr>
            <w:tcW w:w="10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其他资金</w:t>
            </w:r>
          </w:p>
        </w:tc>
        <w:tc>
          <w:tcPr>
            <w:tcW w:w="11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0</w:t>
            </w:r>
          </w:p>
        </w:tc>
      </w:tr>
      <w:tr>
        <w:tblPrEx>
          <w:tblCellMar>
            <w:top w:w="0" w:type="dxa"/>
            <w:left w:w="108" w:type="dxa"/>
            <w:bottom w:w="0" w:type="dxa"/>
            <w:right w:w="108" w:type="dxa"/>
          </w:tblCellMar>
        </w:tblPrEx>
        <w:trPr>
          <w:trHeight w:val="217" w:hRule="atLeast"/>
        </w:trPr>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年度总体目标</w:t>
            </w:r>
          </w:p>
          <w:p>
            <w:pPr>
              <w:widowControl/>
              <w:spacing w:line="320" w:lineRule="exact"/>
              <w:jc w:val="center"/>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完成情况</w:t>
            </w:r>
          </w:p>
        </w:tc>
        <w:tc>
          <w:tcPr>
            <w:tcW w:w="254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rPr>
              <w:t>预期</w:t>
            </w:r>
            <w:r>
              <w:rPr>
                <w:rFonts w:hint="default" w:ascii="Times New Roman" w:hAnsi="Times New Roman" w:cs="Times New Roman"/>
                <w:color w:val="000000"/>
                <w:kern w:val="0"/>
                <w:sz w:val="20"/>
                <w:szCs w:val="20"/>
                <w:lang w:val="en-US" w:eastAsia="zh-CN"/>
              </w:rPr>
              <w:t>完成</w:t>
            </w:r>
            <w:r>
              <w:rPr>
                <w:rFonts w:hint="default" w:ascii="Times New Roman" w:hAnsi="Times New Roman" w:cs="Times New Roman"/>
                <w:color w:val="000000"/>
                <w:kern w:val="0"/>
                <w:sz w:val="20"/>
                <w:szCs w:val="20"/>
              </w:rPr>
              <w:t>目标</w:t>
            </w:r>
            <w:r>
              <w:rPr>
                <w:rFonts w:hint="default" w:ascii="Times New Roman" w:hAnsi="Times New Roman" w:cs="Times New Roman"/>
                <w:color w:val="000000"/>
                <w:kern w:val="0"/>
                <w:sz w:val="20"/>
                <w:szCs w:val="20"/>
                <w:lang w:val="en-US" w:eastAsia="zh-CN"/>
              </w:rPr>
              <w:t>情况</w:t>
            </w:r>
          </w:p>
        </w:tc>
        <w:tc>
          <w:tcPr>
            <w:tcW w:w="19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实际完成目标情况</w:t>
            </w:r>
          </w:p>
        </w:tc>
      </w:tr>
      <w:tr>
        <w:tblPrEx>
          <w:tblCellMar>
            <w:top w:w="0" w:type="dxa"/>
            <w:left w:w="108" w:type="dxa"/>
            <w:bottom w:w="0" w:type="dxa"/>
            <w:right w:w="108" w:type="dxa"/>
          </w:tblCellMar>
        </w:tblPrEx>
        <w:trPr>
          <w:trHeight w:val="2682" w:hRule="atLeast"/>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rPr>
            </w:pPr>
          </w:p>
        </w:tc>
        <w:tc>
          <w:tcPr>
            <w:tcW w:w="2023"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2022年投入幼儿</w:t>
            </w:r>
            <w:r>
              <w:rPr>
                <w:rFonts w:hint="eastAsia" w:cs="Times New Roman"/>
                <w:color w:val="000000"/>
                <w:kern w:val="0"/>
                <w:sz w:val="20"/>
                <w:szCs w:val="20"/>
                <w:lang w:eastAsia="zh-CN"/>
              </w:rPr>
              <w:t>园</w:t>
            </w:r>
            <w:r>
              <w:rPr>
                <w:rFonts w:hint="default" w:ascii="Times New Roman" w:hAnsi="Times New Roman" w:cs="Times New Roman"/>
                <w:color w:val="000000"/>
                <w:kern w:val="0"/>
                <w:sz w:val="20"/>
                <w:szCs w:val="20"/>
              </w:rPr>
              <w:t>经费302.31万元，目的是发放临聘人员工资福利支出和全体教职员工日常办公支出。保障教育教学活动正常开展。</w:t>
            </w:r>
          </w:p>
        </w:tc>
        <w:tc>
          <w:tcPr>
            <w:tcW w:w="2437"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2022年投入幼儿</w:t>
            </w:r>
            <w:r>
              <w:rPr>
                <w:rFonts w:hint="eastAsia" w:cs="Times New Roman"/>
                <w:color w:val="000000"/>
                <w:kern w:val="0"/>
                <w:sz w:val="20"/>
                <w:szCs w:val="20"/>
                <w:lang w:eastAsia="zh-CN"/>
              </w:rPr>
              <w:t>园</w:t>
            </w:r>
            <w:r>
              <w:rPr>
                <w:rFonts w:hint="default" w:ascii="Times New Roman" w:hAnsi="Times New Roman" w:cs="Times New Roman"/>
                <w:color w:val="000000"/>
                <w:kern w:val="0"/>
                <w:sz w:val="20"/>
                <w:szCs w:val="20"/>
              </w:rPr>
              <w:t>经费302.31万元，目的是发放临聘人员工资福利支出和全体教职员工日常办公支出。保障教育教学活动正常开展。</w:t>
            </w:r>
          </w:p>
        </w:tc>
      </w:tr>
      <w:tr>
        <w:tblPrEx>
          <w:tblCellMar>
            <w:top w:w="0" w:type="dxa"/>
            <w:left w:w="108" w:type="dxa"/>
            <w:bottom w:w="0" w:type="dxa"/>
            <w:right w:w="108" w:type="dxa"/>
          </w:tblCellMar>
        </w:tblPrEx>
        <w:trPr>
          <w:trHeight w:val="738" w:hRule="atLeast"/>
        </w:trPr>
        <w:tc>
          <w:tcPr>
            <w:tcW w:w="539"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年度绩效指标完成情况</w:t>
            </w:r>
          </w:p>
        </w:tc>
        <w:tc>
          <w:tcPr>
            <w:tcW w:w="389"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一级</w:t>
            </w:r>
          </w:p>
          <w:p>
            <w:pPr>
              <w:widowControl/>
              <w:spacing w:line="320" w:lineRule="exact"/>
              <w:jc w:val="center"/>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指标</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二级</w:t>
            </w:r>
          </w:p>
          <w:p>
            <w:pPr>
              <w:widowControl/>
              <w:spacing w:line="320" w:lineRule="exact"/>
              <w:jc w:val="center"/>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指标</w:t>
            </w:r>
          </w:p>
        </w:tc>
        <w:tc>
          <w:tcPr>
            <w:tcW w:w="16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三级</w:t>
            </w:r>
          </w:p>
          <w:p>
            <w:pPr>
              <w:widowControl/>
              <w:spacing w:line="320" w:lineRule="exact"/>
              <w:jc w:val="center"/>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指标</w:t>
            </w: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预期指标值</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实际完成指标值</w:t>
            </w:r>
          </w:p>
        </w:tc>
      </w:tr>
      <w:tr>
        <w:tblPrEx>
          <w:tblCellMar>
            <w:top w:w="0" w:type="dxa"/>
            <w:left w:w="108" w:type="dxa"/>
            <w:bottom w:w="0" w:type="dxa"/>
            <w:right w:w="108" w:type="dxa"/>
          </w:tblCellMar>
        </w:tblPrEx>
        <w:trPr>
          <w:trHeight w:val="525" w:hRule="atLeast"/>
        </w:trPr>
        <w:tc>
          <w:tcPr>
            <w:tcW w:w="53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3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完成</w:t>
            </w:r>
          </w:p>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指标</w:t>
            </w:r>
          </w:p>
        </w:tc>
        <w:tc>
          <w:tcPr>
            <w:tcW w:w="895"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数量指标</w:t>
            </w:r>
          </w:p>
        </w:tc>
        <w:tc>
          <w:tcPr>
            <w:tcW w:w="16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工资发放教师人数</w:t>
            </w: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31人</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31人</w:t>
            </w:r>
          </w:p>
        </w:tc>
      </w:tr>
      <w:tr>
        <w:tblPrEx>
          <w:tblCellMar>
            <w:top w:w="0" w:type="dxa"/>
            <w:left w:w="108" w:type="dxa"/>
            <w:bottom w:w="0" w:type="dxa"/>
            <w:right w:w="108" w:type="dxa"/>
          </w:tblCellMar>
        </w:tblPrEx>
        <w:trPr>
          <w:trHeight w:val="525" w:hRule="atLeast"/>
        </w:trPr>
        <w:tc>
          <w:tcPr>
            <w:tcW w:w="53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389" w:type="pct"/>
            <w:gridSpan w:val="2"/>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0"/>
                <w:szCs w:val="20"/>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数量指标</w:t>
            </w:r>
          </w:p>
        </w:tc>
        <w:tc>
          <w:tcPr>
            <w:tcW w:w="16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服务幼儿人数</w:t>
            </w: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491人</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491人</w:t>
            </w:r>
          </w:p>
        </w:tc>
      </w:tr>
      <w:tr>
        <w:tblPrEx>
          <w:tblCellMar>
            <w:top w:w="0" w:type="dxa"/>
            <w:left w:w="108" w:type="dxa"/>
            <w:bottom w:w="0" w:type="dxa"/>
            <w:right w:w="108" w:type="dxa"/>
          </w:tblCellMar>
        </w:tblPrEx>
        <w:trPr>
          <w:trHeight w:val="499" w:hRule="atLeast"/>
        </w:trPr>
        <w:tc>
          <w:tcPr>
            <w:tcW w:w="53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color w:val="000000"/>
                <w:sz w:val="20"/>
                <w:szCs w:val="20"/>
              </w:rPr>
            </w:pPr>
            <w:r>
              <w:rPr>
                <w:rFonts w:hint="default" w:ascii="Times New Roman" w:hAnsi="Times New Roman" w:cs="Times New Roman"/>
                <w:color w:val="000000"/>
                <w:sz w:val="20"/>
                <w:szCs w:val="20"/>
              </w:rPr>
              <w:t>、</w:t>
            </w:r>
          </w:p>
        </w:tc>
        <w:tc>
          <w:tcPr>
            <w:tcW w:w="3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质量指标</w:t>
            </w:r>
          </w:p>
        </w:tc>
        <w:tc>
          <w:tcPr>
            <w:tcW w:w="16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教师工资发放准确率</w:t>
            </w: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100%</w:t>
            </w:r>
          </w:p>
        </w:tc>
      </w:tr>
      <w:tr>
        <w:tblPrEx>
          <w:tblCellMar>
            <w:top w:w="0" w:type="dxa"/>
            <w:left w:w="108" w:type="dxa"/>
            <w:bottom w:w="0" w:type="dxa"/>
            <w:right w:w="108" w:type="dxa"/>
          </w:tblCellMar>
        </w:tblPrEx>
        <w:trPr>
          <w:trHeight w:val="484" w:hRule="atLeast"/>
        </w:trPr>
        <w:tc>
          <w:tcPr>
            <w:tcW w:w="53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3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0"/>
                <w:szCs w:val="20"/>
              </w:rPr>
            </w:pPr>
            <w:r>
              <w:rPr>
                <w:rFonts w:hint="default" w:ascii="Times New Roman" w:hAnsi="Times New Roman" w:cs="Times New Roman"/>
                <w:sz w:val="20"/>
                <w:szCs w:val="20"/>
              </w:rPr>
              <w:t>成本指标</w:t>
            </w:r>
          </w:p>
        </w:tc>
        <w:tc>
          <w:tcPr>
            <w:tcW w:w="16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幼儿经费成本控制数</w:t>
            </w: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kern w:val="0"/>
                <w:sz w:val="20"/>
                <w:szCs w:val="20"/>
              </w:rPr>
              <w:t>302.31</w:t>
            </w:r>
            <w:r>
              <w:rPr>
                <w:rFonts w:hint="default" w:ascii="Times New Roman" w:hAnsi="Times New Roman" w:cs="Times New Roman"/>
                <w:color w:val="000000" w:themeColor="text1"/>
                <w:sz w:val="20"/>
                <w:szCs w:val="20"/>
              </w:rPr>
              <w:t>万元</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kern w:val="0"/>
                <w:sz w:val="20"/>
                <w:szCs w:val="20"/>
              </w:rPr>
              <w:t>302.31</w:t>
            </w:r>
            <w:r>
              <w:rPr>
                <w:rFonts w:hint="default" w:ascii="Times New Roman" w:hAnsi="Times New Roman" w:cs="Times New Roman"/>
                <w:color w:val="000000" w:themeColor="text1"/>
                <w:sz w:val="20"/>
                <w:szCs w:val="20"/>
              </w:rPr>
              <w:t>万元</w:t>
            </w:r>
          </w:p>
        </w:tc>
      </w:tr>
      <w:tr>
        <w:tblPrEx>
          <w:tblCellMar>
            <w:top w:w="0" w:type="dxa"/>
            <w:left w:w="108" w:type="dxa"/>
            <w:bottom w:w="0" w:type="dxa"/>
            <w:right w:w="108" w:type="dxa"/>
          </w:tblCellMar>
        </w:tblPrEx>
        <w:trPr>
          <w:trHeight w:val="484" w:hRule="atLeast"/>
        </w:trPr>
        <w:tc>
          <w:tcPr>
            <w:tcW w:w="53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3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eastAsia="仿宋_GB2312" w:cs="Times New Roman"/>
                <w:sz w:val="20"/>
                <w:szCs w:val="20"/>
              </w:rPr>
            </w:pPr>
            <w:r>
              <w:rPr>
                <w:rFonts w:hint="default" w:ascii="Times New Roman" w:hAnsi="Times New Roman" w:cs="Times New Roman"/>
                <w:sz w:val="20"/>
                <w:szCs w:val="20"/>
              </w:rPr>
              <w:t>时效指标</w:t>
            </w:r>
          </w:p>
        </w:tc>
        <w:tc>
          <w:tcPr>
            <w:tcW w:w="16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0"/>
                <w:szCs w:val="20"/>
              </w:rPr>
            </w:pPr>
            <w:r>
              <w:rPr>
                <w:rFonts w:hint="default" w:ascii="Times New Roman" w:hAnsi="Times New Roman" w:cs="Times New Roman"/>
                <w:sz w:val="20"/>
                <w:szCs w:val="20"/>
              </w:rPr>
              <w:t>教师工资发放及时率</w:t>
            </w: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themeColor="text1"/>
                <w:sz w:val="20"/>
                <w:szCs w:val="20"/>
              </w:rPr>
            </w:pPr>
            <w:r>
              <w:rPr>
                <w:rFonts w:hint="default" w:ascii="Times New Roman" w:hAnsi="Times New Roman" w:cs="Times New Roman"/>
                <w:color w:val="000000" w:themeColor="text1"/>
                <w:sz w:val="20"/>
                <w:szCs w:val="20"/>
              </w:rPr>
              <w:t>100%</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themeColor="text1"/>
                <w:sz w:val="20"/>
                <w:szCs w:val="20"/>
              </w:rPr>
            </w:pPr>
            <w:r>
              <w:rPr>
                <w:rFonts w:hint="default" w:ascii="Times New Roman" w:hAnsi="Times New Roman" w:cs="Times New Roman"/>
                <w:color w:val="000000" w:themeColor="text1"/>
                <w:sz w:val="20"/>
                <w:szCs w:val="20"/>
              </w:rPr>
              <w:t>100%</w:t>
            </w:r>
          </w:p>
        </w:tc>
      </w:tr>
      <w:tr>
        <w:tblPrEx>
          <w:tblCellMar>
            <w:top w:w="0" w:type="dxa"/>
            <w:left w:w="108" w:type="dxa"/>
            <w:bottom w:w="0" w:type="dxa"/>
            <w:right w:w="108" w:type="dxa"/>
          </w:tblCellMar>
        </w:tblPrEx>
        <w:trPr>
          <w:trHeight w:val="480" w:hRule="atLeast"/>
        </w:trPr>
        <w:tc>
          <w:tcPr>
            <w:tcW w:w="53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3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效益指标</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社会效益指标</w:t>
            </w:r>
          </w:p>
        </w:tc>
        <w:tc>
          <w:tcPr>
            <w:tcW w:w="16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保障幼儿教育教学活动正常开展</w:t>
            </w: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优</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优</w:t>
            </w:r>
          </w:p>
        </w:tc>
      </w:tr>
      <w:tr>
        <w:tblPrEx>
          <w:tblCellMar>
            <w:top w:w="0" w:type="dxa"/>
            <w:left w:w="108" w:type="dxa"/>
            <w:bottom w:w="0" w:type="dxa"/>
            <w:right w:w="108" w:type="dxa"/>
          </w:tblCellMar>
        </w:tblPrEx>
        <w:trPr>
          <w:trHeight w:val="480" w:hRule="atLeast"/>
        </w:trPr>
        <w:tc>
          <w:tcPr>
            <w:tcW w:w="53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3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0"/>
                <w:szCs w:val="20"/>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可持续影响指标</w:t>
            </w:r>
          </w:p>
        </w:tc>
        <w:tc>
          <w:tcPr>
            <w:tcW w:w="16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推动幼儿教育持续健康发展</w:t>
            </w: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优</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优</w:t>
            </w:r>
          </w:p>
        </w:tc>
      </w:tr>
      <w:tr>
        <w:tblPrEx>
          <w:tblCellMar>
            <w:top w:w="0" w:type="dxa"/>
            <w:left w:w="108" w:type="dxa"/>
            <w:bottom w:w="0" w:type="dxa"/>
            <w:right w:w="108" w:type="dxa"/>
          </w:tblCellMar>
        </w:tblPrEx>
        <w:trPr>
          <w:trHeight w:val="20" w:hRule="atLeast"/>
        </w:trPr>
        <w:tc>
          <w:tcPr>
            <w:tcW w:w="539"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0"/>
                <w:szCs w:val="20"/>
              </w:rPr>
            </w:pP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满意度指标</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满意度指标</w:t>
            </w:r>
          </w:p>
        </w:tc>
        <w:tc>
          <w:tcPr>
            <w:tcW w:w="16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职工满意度</w:t>
            </w: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95%</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100%</w:t>
            </w:r>
          </w:p>
        </w:tc>
      </w:tr>
    </w:tbl>
    <w:p>
      <w:pPr>
        <w:rPr>
          <w:rFonts w:hint="default" w:ascii="Times New Roman" w:hAnsi="Times New Roman" w:eastAsia="仿宋_GB2312" w:cs="Times New Roman"/>
          <w:sz w:val="32"/>
          <w:szCs w:val="32"/>
          <w:lang w:val="zh-CN"/>
        </w:rPr>
      </w:pPr>
    </w:p>
    <w:p>
      <w:pPr>
        <w:pStyle w:val="7"/>
        <w:rPr>
          <w:rFonts w:hint="default" w:ascii="Times New Roman" w:hAnsi="Times New Roman" w:eastAsia="仿宋_GB2312" w:cs="Times New Roman"/>
          <w:sz w:val="32"/>
          <w:szCs w:val="32"/>
          <w:lang w:val="zh-CN"/>
        </w:rPr>
      </w:pPr>
    </w:p>
    <w:p>
      <w:pPr>
        <w:spacing w:line="640" w:lineRule="exact"/>
        <w:ind w:left="-141" w:leftChars="-67" w:right="-340" w:rightChars="-162"/>
        <w:jc w:val="center"/>
        <w:rPr>
          <w:rFonts w:hint="eastAsia" w:ascii="方正小标宋_GBK" w:hAnsi="方正小标宋_GBK" w:eastAsia="方正小标宋_GBK" w:cs="方正小标宋_GBK"/>
          <w:sz w:val="44"/>
          <w:szCs w:val="44"/>
        </w:rPr>
      </w:pPr>
    </w:p>
    <w:p>
      <w:pPr>
        <w:spacing w:line="640" w:lineRule="exact"/>
        <w:ind w:left="-141" w:leftChars="-67" w:right="-340" w:rightChars="-162"/>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达州市达川区实验幼儿园</w:t>
      </w:r>
    </w:p>
    <w:p>
      <w:pPr>
        <w:spacing w:line="640" w:lineRule="exact"/>
        <w:ind w:left="-141" w:leftChars="-67" w:right="-340" w:rightChars="-162"/>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项目支出绩效自评的报告</w:t>
      </w:r>
    </w:p>
    <w:p>
      <w:pPr>
        <w:spacing w:line="640" w:lineRule="exact"/>
        <w:ind w:left="-141" w:leftChars="-67" w:right="-340" w:rightChars="-162"/>
        <w:jc w:val="center"/>
        <w:rPr>
          <w:rFonts w:hint="eastAsia" w:ascii="方正仿宋_GBK" w:hAnsi="方正仿宋_GBK" w:eastAsia="方正仿宋_GBK" w:cs="方正仿宋_GBK"/>
          <w:sz w:val="36"/>
          <w:szCs w:val="36"/>
          <w:lang w:eastAsia="zh-CN"/>
        </w:rPr>
      </w:pPr>
      <w:r>
        <w:rPr>
          <w:rFonts w:hint="eastAsia" w:ascii="方正仿宋_GBK" w:hAnsi="方正仿宋_GBK" w:eastAsia="方正仿宋_GBK" w:cs="方正仿宋_GBK"/>
          <w:sz w:val="36"/>
          <w:szCs w:val="36"/>
          <w:lang w:eastAsia="zh-CN"/>
        </w:rPr>
        <w:t>（</w:t>
      </w:r>
      <w:r>
        <w:rPr>
          <w:rFonts w:hint="eastAsia" w:ascii="方正仿宋_GBK" w:hAnsi="方正仿宋_GBK" w:eastAsia="方正仿宋_GBK" w:cs="方正仿宋_GBK"/>
          <w:sz w:val="36"/>
          <w:szCs w:val="36"/>
        </w:rPr>
        <w:t>幼儿</w:t>
      </w:r>
      <w:r>
        <w:rPr>
          <w:rFonts w:hint="eastAsia" w:ascii="方正仿宋_GBK" w:hAnsi="方正仿宋_GBK" w:eastAsia="方正仿宋_GBK" w:cs="方正仿宋_GBK"/>
          <w:sz w:val="36"/>
          <w:szCs w:val="36"/>
          <w:lang w:eastAsia="zh-CN"/>
        </w:rPr>
        <w:t>园</w:t>
      </w:r>
      <w:r>
        <w:rPr>
          <w:rFonts w:hint="eastAsia" w:ascii="方正仿宋_GBK" w:hAnsi="方正仿宋_GBK" w:eastAsia="方正仿宋_GBK" w:cs="方正仿宋_GBK"/>
          <w:sz w:val="36"/>
          <w:szCs w:val="36"/>
        </w:rPr>
        <w:t>经费</w:t>
      </w:r>
      <w:r>
        <w:rPr>
          <w:rFonts w:hint="eastAsia" w:ascii="方正仿宋_GBK" w:hAnsi="方正仿宋_GBK" w:eastAsia="方正仿宋_GBK" w:cs="方正仿宋_GBK"/>
          <w:sz w:val="36"/>
          <w:szCs w:val="36"/>
          <w:lang w:eastAsia="zh-CN"/>
        </w:rPr>
        <w:t>）</w:t>
      </w:r>
    </w:p>
    <w:p>
      <w:pPr>
        <w:keepNext w:val="0"/>
        <w:keepLines w:val="0"/>
        <w:pageBreakBefore w:val="0"/>
        <w:widowControl w:val="0"/>
        <w:numPr>
          <w:ilvl w:val="0"/>
          <w:numId w:val="1"/>
        </w:numPr>
        <w:kinsoku/>
        <w:wordWrap/>
        <w:overflowPunct/>
        <w:topLinePunct w:val="0"/>
        <w:autoSpaceDE/>
        <w:autoSpaceDN/>
        <w:bidi w:val="0"/>
        <w:spacing w:line="578" w:lineRule="exact"/>
        <w:ind w:left="-141" w:leftChars="-67" w:right="-340" w:rightChars="-162" w:firstLine="707" w:firstLineChars="221"/>
        <w:textAlignment w:val="auto"/>
        <w:rPr>
          <w:rFonts w:eastAsia="方正黑体_GBK"/>
          <w:sz w:val="32"/>
          <w:szCs w:val="32"/>
        </w:rPr>
      </w:pPr>
      <w:r>
        <w:rPr>
          <w:rFonts w:hAnsi="方正黑体_GBK" w:eastAsia="方正黑体_GBK"/>
          <w:sz w:val="32"/>
          <w:szCs w:val="32"/>
        </w:rPr>
        <w:t>项目概况</w:t>
      </w:r>
    </w:p>
    <w:p>
      <w:pPr>
        <w:keepNext w:val="0"/>
        <w:keepLines w:val="0"/>
        <w:pageBreakBefore w:val="0"/>
        <w:widowControl w:val="0"/>
        <w:kinsoku/>
        <w:wordWrap/>
        <w:overflowPunct/>
        <w:topLinePunct w:val="0"/>
        <w:autoSpaceDE/>
        <w:autoSpaceDN/>
        <w:bidi w:val="0"/>
        <w:spacing w:line="578" w:lineRule="exact"/>
        <w:ind w:left="323" w:leftChars="154" w:right="-340" w:rightChars="-162"/>
        <w:textAlignment w:val="auto"/>
        <w:rPr>
          <w:rFonts w:eastAsia="方正楷体_GBK"/>
          <w:bCs/>
          <w:sz w:val="32"/>
          <w:szCs w:val="32"/>
        </w:rPr>
      </w:pPr>
      <w:r>
        <w:rPr>
          <w:rFonts w:hAnsi="方正楷体_GBK" w:eastAsia="方正楷体_GBK"/>
          <w:bCs/>
          <w:sz w:val="32"/>
          <w:szCs w:val="32"/>
        </w:rPr>
        <w:t>（一）项目资金申报及批复情况</w:t>
      </w:r>
    </w:p>
    <w:p>
      <w:pPr>
        <w:keepNext w:val="0"/>
        <w:keepLines w:val="0"/>
        <w:pageBreakBefore w:val="0"/>
        <w:widowControl w:val="0"/>
        <w:kinsoku/>
        <w:wordWrap/>
        <w:overflowPunct/>
        <w:topLinePunct w:val="0"/>
        <w:autoSpaceDE/>
        <w:autoSpaceDN/>
        <w:bidi w:val="0"/>
        <w:spacing w:line="578" w:lineRule="exact"/>
        <w:ind w:left="-141" w:leftChars="-67" w:right="-340" w:rightChars="-162" w:firstLine="707" w:firstLineChars="221"/>
        <w:textAlignment w:val="auto"/>
        <w:rPr>
          <w:rFonts w:eastAsia="方正仿宋_GBK"/>
          <w:sz w:val="32"/>
          <w:szCs w:val="32"/>
        </w:rPr>
      </w:pPr>
      <w:r>
        <w:rPr>
          <w:rFonts w:hAnsi="方正仿宋_GBK" w:eastAsia="方正仿宋_GBK"/>
          <w:sz w:val="32"/>
          <w:szCs w:val="32"/>
        </w:rPr>
        <w:t>达川区实验幼儿园幼儿经费项目，根据达川区财政局关于批复</w:t>
      </w:r>
      <w:r>
        <w:rPr>
          <w:rFonts w:eastAsia="方正仿宋_GBK"/>
          <w:sz w:val="32"/>
          <w:szCs w:val="32"/>
        </w:rPr>
        <w:t>2022</w:t>
      </w:r>
      <w:r>
        <w:rPr>
          <w:rFonts w:hAnsi="方正仿宋_GBK" w:eastAsia="方正仿宋_GBK"/>
          <w:sz w:val="32"/>
          <w:szCs w:val="32"/>
        </w:rPr>
        <w:t>年区级部门预算的通知（达川财预</w:t>
      </w:r>
      <w:r>
        <w:rPr>
          <w:rFonts w:eastAsia="方正仿宋"/>
          <w:sz w:val="32"/>
          <w:szCs w:val="32"/>
        </w:rPr>
        <w:t>2022-406-71</w:t>
      </w:r>
      <w:r>
        <w:rPr>
          <w:rFonts w:hAnsi="方正仿宋_GBK" w:eastAsia="方正仿宋_GBK"/>
          <w:sz w:val="32"/>
          <w:szCs w:val="32"/>
        </w:rPr>
        <w:t>号）文件精神，达川区实验幼儿园幼儿经费资金共</w:t>
      </w:r>
      <w:r>
        <w:rPr>
          <w:rFonts w:eastAsia="方正仿宋_GBK"/>
          <w:sz w:val="32"/>
          <w:szCs w:val="32"/>
        </w:rPr>
        <w:t>302.31</w:t>
      </w:r>
      <w:r>
        <w:rPr>
          <w:rFonts w:hAnsi="方正仿宋_GBK" w:eastAsia="方正仿宋_GBK"/>
          <w:sz w:val="32"/>
          <w:szCs w:val="32"/>
        </w:rPr>
        <w:t>万元。符合资金管理办法等相关规定。</w:t>
      </w:r>
    </w:p>
    <w:p>
      <w:pPr>
        <w:keepNext w:val="0"/>
        <w:keepLines w:val="0"/>
        <w:pageBreakBefore w:val="0"/>
        <w:widowControl w:val="0"/>
        <w:kinsoku/>
        <w:wordWrap/>
        <w:overflowPunct/>
        <w:topLinePunct w:val="0"/>
        <w:autoSpaceDE/>
        <w:autoSpaceDN/>
        <w:bidi w:val="0"/>
        <w:spacing w:line="578" w:lineRule="exact"/>
        <w:ind w:left="-141" w:leftChars="-67" w:right="-340" w:rightChars="-162" w:firstLine="707" w:firstLineChars="221"/>
        <w:textAlignment w:val="auto"/>
        <w:rPr>
          <w:rFonts w:eastAsia="方正楷体_GBK"/>
          <w:bCs/>
          <w:sz w:val="32"/>
          <w:szCs w:val="32"/>
        </w:rPr>
      </w:pPr>
      <w:r>
        <w:rPr>
          <w:rFonts w:hAnsi="方正楷体_GBK" w:eastAsia="方正楷体_GBK"/>
          <w:bCs/>
          <w:sz w:val="32"/>
          <w:szCs w:val="32"/>
        </w:rPr>
        <w:t>（二）项目绩效目标</w:t>
      </w:r>
    </w:p>
    <w:p>
      <w:pPr>
        <w:keepNext w:val="0"/>
        <w:keepLines w:val="0"/>
        <w:pageBreakBefore w:val="0"/>
        <w:widowControl w:val="0"/>
        <w:kinsoku/>
        <w:wordWrap/>
        <w:overflowPunct/>
        <w:topLinePunct w:val="0"/>
        <w:autoSpaceDE/>
        <w:autoSpaceDN/>
        <w:bidi w:val="0"/>
        <w:spacing w:line="578" w:lineRule="exact"/>
        <w:ind w:left="-141" w:leftChars="-67" w:right="-340" w:rightChars="-162" w:firstLine="707" w:firstLineChars="221"/>
        <w:textAlignment w:val="auto"/>
        <w:rPr>
          <w:rFonts w:eastAsia="方正仿宋_GBK"/>
          <w:sz w:val="32"/>
          <w:szCs w:val="32"/>
        </w:rPr>
      </w:pPr>
      <w:r>
        <w:rPr>
          <w:rFonts w:hAnsi="方正仿宋_GBK" w:eastAsia="方正仿宋_GBK"/>
          <w:sz w:val="32"/>
          <w:szCs w:val="32"/>
        </w:rPr>
        <w:t>为维持幼儿园保育教育和日常办公正常开展，保障临聘教职工工资待遇。将幼儿</w:t>
      </w:r>
      <w:r>
        <w:rPr>
          <w:rFonts w:hint="eastAsia" w:hAnsi="方正仿宋_GBK" w:eastAsia="方正仿宋_GBK"/>
          <w:sz w:val="32"/>
          <w:szCs w:val="32"/>
          <w:lang w:eastAsia="zh-CN"/>
        </w:rPr>
        <w:t>园</w:t>
      </w:r>
      <w:r>
        <w:rPr>
          <w:rFonts w:hAnsi="方正仿宋_GBK" w:eastAsia="方正仿宋_GBK"/>
          <w:sz w:val="32"/>
          <w:szCs w:val="32"/>
        </w:rPr>
        <w:t>经费资金</w:t>
      </w:r>
      <w:r>
        <w:rPr>
          <w:rFonts w:eastAsia="方正仿宋_GBK"/>
          <w:sz w:val="32"/>
          <w:szCs w:val="32"/>
        </w:rPr>
        <w:t>302.31</w:t>
      </w:r>
      <w:r>
        <w:rPr>
          <w:rFonts w:hAnsi="方正仿宋_GBK" w:eastAsia="方正仿宋_GBK"/>
          <w:sz w:val="32"/>
          <w:szCs w:val="32"/>
        </w:rPr>
        <w:t>万元用于幼儿园各项工作。项目名称：幼儿</w:t>
      </w:r>
      <w:r>
        <w:rPr>
          <w:rFonts w:hint="eastAsia" w:hAnsi="方正仿宋_GBK" w:eastAsia="方正仿宋_GBK"/>
          <w:sz w:val="32"/>
          <w:szCs w:val="32"/>
          <w:lang w:eastAsia="zh-CN"/>
        </w:rPr>
        <w:t>园</w:t>
      </w:r>
      <w:r>
        <w:rPr>
          <w:rFonts w:hAnsi="方正仿宋_GBK" w:eastAsia="方正仿宋_GBK"/>
          <w:sz w:val="32"/>
          <w:szCs w:val="32"/>
        </w:rPr>
        <w:t>经费，拟</w:t>
      </w:r>
      <w:r>
        <w:rPr>
          <w:rFonts w:hint="eastAsia" w:hAnsi="方正仿宋_GBK" w:eastAsia="方正仿宋_GBK"/>
          <w:sz w:val="32"/>
          <w:szCs w:val="32"/>
          <w:lang w:val="en-US" w:eastAsia="zh-CN"/>
        </w:rPr>
        <w:t>于</w:t>
      </w:r>
      <w:r>
        <w:rPr>
          <w:rFonts w:eastAsia="方正仿宋_GBK"/>
          <w:sz w:val="32"/>
          <w:szCs w:val="32"/>
        </w:rPr>
        <w:t>2022</w:t>
      </w:r>
      <w:r>
        <w:rPr>
          <w:rFonts w:hAnsi="方正仿宋_GBK" w:eastAsia="方正仿宋_GBK"/>
          <w:sz w:val="32"/>
          <w:szCs w:val="32"/>
        </w:rPr>
        <w:t>年完成。</w:t>
      </w:r>
    </w:p>
    <w:p>
      <w:pPr>
        <w:keepNext w:val="0"/>
        <w:keepLines w:val="0"/>
        <w:pageBreakBefore w:val="0"/>
        <w:widowControl w:val="0"/>
        <w:kinsoku/>
        <w:wordWrap/>
        <w:overflowPunct/>
        <w:topLinePunct w:val="0"/>
        <w:autoSpaceDE/>
        <w:autoSpaceDN/>
        <w:bidi w:val="0"/>
        <w:spacing w:line="578" w:lineRule="exact"/>
        <w:ind w:left="-141" w:leftChars="-67" w:right="-340" w:rightChars="-162" w:firstLine="707" w:firstLineChars="221"/>
        <w:textAlignment w:val="auto"/>
        <w:rPr>
          <w:rFonts w:eastAsia="方正楷体_GBK"/>
          <w:bCs/>
          <w:sz w:val="32"/>
          <w:szCs w:val="32"/>
        </w:rPr>
      </w:pPr>
      <w:r>
        <w:rPr>
          <w:rFonts w:hAnsi="方正楷体_GBK" w:eastAsia="方正楷体_GBK"/>
          <w:bCs/>
          <w:sz w:val="32"/>
          <w:szCs w:val="32"/>
        </w:rPr>
        <w:t>（三）项目资金申报相符性</w:t>
      </w:r>
    </w:p>
    <w:p>
      <w:pPr>
        <w:keepNext w:val="0"/>
        <w:keepLines w:val="0"/>
        <w:pageBreakBefore w:val="0"/>
        <w:widowControl w:val="0"/>
        <w:kinsoku/>
        <w:wordWrap/>
        <w:overflowPunct/>
        <w:topLinePunct w:val="0"/>
        <w:autoSpaceDE/>
        <w:autoSpaceDN/>
        <w:bidi w:val="0"/>
        <w:spacing w:line="578" w:lineRule="exact"/>
        <w:ind w:left="-141" w:leftChars="-67" w:right="-340" w:rightChars="-162" w:firstLine="707" w:firstLineChars="221"/>
        <w:textAlignment w:val="auto"/>
        <w:rPr>
          <w:rFonts w:eastAsia="方正仿宋_GBK"/>
          <w:sz w:val="32"/>
          <w:szCs w:val="32"/>
        </w:rPr>
      </w:pPr>
      <w:r>
        <w:rPr>
          <w:rFonts w:hAnsi="方正仿宋_GBK" w:eastAsia="方正仿宋_GBK"/>
          <w:sz w:val="32"/>
          <w:szCs w:val="32"/>
        </w:rPr>
        <w:t>该项目</w:t>
      </w:r>
      <w:r>
        <w:rPr>
          <w:rFonts w:hint="eastAsia" w:hAnsi="方正仿宋_GBK" w:eastAsia="方正仿宋_GBK"/>
          <w:sz w:val="32"/>
          <w:szCs w:val="32"/>
          <w:lang w:eastAsia="zh-CN"/>
        </w:rPr>
        <w:t>自</w:t>
      </w:r>
      <w:r>
        <w:rPr>
          <w:rFonts w:eastAsia="方正仿宋_GBK"/>
          <w:sz w:val="32"/>
          <w:szCs w:val="32"/>
        </w:rPr>
        <w:t>2022</w:t>
      </w:r>
      <w:r>
        <w:rPr>
          <w:rFonts w:hAnsi="方正仿宋_GBK" w:eastAsia="方正仿宋_GBK"/>
          <w:sz w:val="32"/>
          <w:szCs w:val="32"/>
        </w:rPr>
        <w:t>年开始，截至</w:t>
      </w:r>
      <w:r>
        <w:rPr>
          <w:rFonts w:eastAsia="方正仿宋_GBK"/>
          <w:sz w:val="32"/>
          <w:szCs w:val="32"/>
        </w:rPr>
        <w:t>2022</w:t>
      </w:r>
      <w:r>
        <w:rPr>
          <w:rFonts w:hAnsi="方正仿宋_GBK" w:eastAsia="方正仿宋_GBK"/>
          <w:sz w:val="32"/>
          <w:szCs w:val="32"/>
        </w:rPr>
        <w:t>年底</w:t>
      </w:r>
      <w:r>
        <w:rPr>
          <w:rFonts w:hint="eastAsia" w:hAnsi="方正仿宋_GBK" w:eastAsia="方正仿宋_GBK"/>
          <w:sz w:val="32"/>
          <w:szCs w:val="32"/>
          <w:lang w:eastAsia="zh-CN"/>
        </w:rPr>
        <w:t>，</w:t>
      </w:r>
      <w:r>
        <w:rPr>
          <w:rFonts w:hAnsi="方正仿宋_GBK" w:eastAsia="方正仿宋_GBK"/>
          <w:sz w:val="32"/>
          <w:szCs w:val="32"/>
        </w:rPr>
        <w:t>该项目共支出</w:t>
      </w:r>
      <w:r>
        <w:rPr>
          <w:rFonts w:eastAsia="方正仿宋_GBK"/>
          <w:sz w:val="32"/>
          <w:szCs w:val="32"/>
        </w:rPr>
        <w:t>302.31</w:t>
      </w:r>
      <w:r>
        <w:rPr>
          <w:rFonts w:hAnsi="方正仿宋_GBK" w:eastAsia="方正仿宋_GBK"/>
          <w:sz w:val="32"/>
          <w:szCs w:val="32"/>
        </w:rPr>
        <w:t>万元，其中</w:t>
      </w:r>
      <w:r>
        <w:rPr>
          <w:rFonts w:eastAsia="方正仿宋_GBK"/>
          <w:sz w:val="32"/>
          <w:szCs w:val="32"/>
        </w:rPr>
        <w:t>2022</w:t>
      </w:r>
      <w:r>
        <w:rPr>
          <w:rFonts w:hAnsi="方正仿宋_GBK" w:eastAsia="方正仿宋_GBK"/>
          <w:sz w:val="32"/>
          <w:szCs w:val="32"/>
        </w:rPr>
        <w:t>年拨付资金为</w:t>
      </w:r>
      <w:r>
        <w:rPr>
          <w:rFonts w:eastAsia="方正仿宋_GBK"/>
          <w:sz w:val="32"/>
          <w:szCs w:val="32"/>
        </w:rPr>
        <w:t>302.31</w:t>
      </w:r>
      <w:r>
        <w:rPr>
          <w:rFonts w:hAnsi="方正仿宋_GBK" w:eastAsia="方正仿宋_GBK"/>
          <w:sz w:val="32"/>
          <w:szCs w:val="32"/>
        </w:rPr>
        <w:t>万元。按照上级要求，根据项目特性，科学合理的对项目资金进行了分配，现已全部完成项目目标。严格按照省财政厅《四川省项目支出绩效评价指标体系》实施评价，在实际分配中遵循注重可操作性原则、系统性原则、经济性原则等，其项目申请内容与具体实施内容相符，也与下达的资金使用用途完全相符，也确保了资金专款专用，申报目标符合相关规定，合理可行。</w:t>
      </w:r>
    </w:p>
    <w:p>
      <w:pPr>
        <w:keepNext w:val="0"/>
        <w:keepLines w:val="0"/>
        <w:pageBreakBefore w:val="0"/>
        <w:widowControl w:val="0"/>
        <w:numPr>
          <w:ilvl w:val="0"/>
          <w:numId w:val="2"/>
        </w:numPr>
        <w:kinsoku/>
        <w:wordWrap/>
        <w:overflowPunct/>
        <w:topLinePunct w:val="0"/>
        <w:autoSpaceDE/>
        <w:autoSpaceDN/>
        <w:bidi w:val="0"/>
        <w:spacing w:line="578" w:lineRule="exact"/>
        <w:ind w:right="-340" w:rightChars="-162" w:firstLine="640" w:firstLineChars="200"/>
        <w:textAlignment w:val="auto"/>
        <w:rPr>
          <w:rFonts w:eastAsia="方正黑体_GBK"/>
          <w:sz w:val="32"/>
          <w:szCs w:val="32"/>
        </w:rPr>
      </w:pPr>
      <w:r>
        <w:rPr>
          <w:rFonts w:hAnsi="方正黑体_GBK" w:eastAsia="方正黑体_GBK"/>
          <w:sz w:val="32"/>
          <w:szCs w:val="32"/>
        </w:rPr>
        <w:t>项目实施及管理情况</w:t>
      </w:r>
    </w:p>
    <w:p>
      <w:pPr>
        <w:keepNext w:val="0"/>
        <w:keepLines w:val="0"/>
        <w:pageBreakBefore w:val="0"/>
        <w:widowControl w:val="0"/>
        <w:kinsoku/>
        <w:wordWrap/>
        <w:overflowPunct/>
        <w:topLinePunct w:val="0"/>
        <w:autoSpaceDE/>
        <w:autoSpaceDN/>
        <w:bidi w:val="0"/>
        <w:spacing w:line="578" w:lineRule="exact"/>
        <w:ind w:right="-340" w:rightChars="-162" w:firstLine="640" w:firstLineChars="200"/>
        <w:textAlignment w:val="auto"/>
        <w:rPr>
          <w:rFonts w:eastAsia="方正楷体_GBK"/>
          <w:bCs/>
          <w:sz w:val="32"/>
          <w:szCs w:val="32"/>
        </w:rPr>
      </w:pPr>
      <w:r>
        <w:rPr>
          <w:rFonts w:hAnsi="方正楷体_GBK" w:eastAsia="方正楷体_GBK"/>
          <w:bCs/>
          <w:sz w:val="32"/>
          <w:szCs w:val="32"/>
        </w:rPr>
        <w:t>（一）资金计划</w:t>
      </w:r>
      <w:r>
        <w:rPr>
          <w:rFonts w:hint="eastAsia" w:hAnsi="方正楷体_GBK" w:eastAsia="方正楷体_GBK"/>
          <w:bCs/>
          <w:sz w:val="32"/>
          <w:szCs w:val="32"/>
          <w:lang w:eastAsia="zh-CN"/>
        </w:rPr>
        <w:t>情况</w:t>
      </w:r>
      <w:r>
        <w:rPr>
          <w:rFonts w:hAnsi="方正楷体_GBK" w:eastAsia="方正楷体_GBK"/>
          <w:bCs/>
          <w:sz w:val="32"/>
          <w:szCs w:val="32"/>
        </w:rPr>
        <w:t>、到位</w:t>
      </w:r>
      <w:r>
        <w:rPr>
          <w:rFonts w:hint="eastAsia" w:hAnsi="方正楷体_GBK" w:eastAsia="方正楷体_GBK"/>
          <w:bCs/>
          <w:sz w:val="32"/>
          <w:szCs w:val="32"/>
          <w:lang w:eastAsia="zh-CN"/>
        </w:rPr>
        <w:t>情况</w:t>
      </w:r>
      <w:r>
        <w:rPr>
          <w:rFonts w:hAnsi="方正楷体_GBK" w:eastAsia="方正楷体_GBK"/>
          <w:bCs/>
          <w:sz w:val="32"/>
          <w:szCs w:val="32"/>
        </w:rPr>
        <w:t>及使用情况</w:t>
      </w:r>
    </w:p>
    <w:p>
      <w:pPr>
        <w:keepNext w:val="0"/>
        <w:keepLines w:val="0"/>
        <w:pageBreakBefore w:val="0"/>
        <w:widowControl w:val="0"/>
        <w:kinsoku/>
        <w:wordWrap/>
        <w:overflowPunct/>
        <w:topLinePunct w:val="0"/>
        <w:autoSpaceDE/>
        <w:autoSpaceDN/>
        <w:bidi w:val="0"/>
        <w:spacing w:line="578" w:lineRule="exact"/>
        <w:ind w:firstLine="640"/>
        <w:textAlignment w:val="auto"/>
        <w:rPr>
          <w:rFonts w:eastAsia="方正仿宋_GBK"/>
          <w:sz w:val="32"/>
          <w:szCs w:val="32"/>
        </w:rPr>
      </w:pPr>
      <w:r>
        <w:rPr>
          <w:rFonts w:eastAsia="方正仿宋_GBK"/>
          <w:sz w:val="32"/>
          <w:szCs w:val="32"/>
        </w:rPr>
        <w:t>1.</w:t>
      </w:r>
      <w:r>
        <w:rPr>
          <w:rFonts w:hAnsi="方正仿宋_GBK" w:eastAsia="方正仿宋_GBK"/>
          <w:sz w:val="32"/>
          <w:szCs w:val="32"/>
        </w:rPr>
        <w:t>资金计划</w:t>
      </w:r>
      <w:r>
        <w:rPr>
          <w:rFonts w:hint="eastAsia" w:hAnsi="方正仿宋_GBK" w:eastAsia="方正仿宋_GBK"/>
          <w:sz w:val="32"/>
          <w:szCs w:val="32"/>
          <w:lang w:val="en-US" w:eastAsia="zh-CN"/>
        </w:rPr>
        <w:t>及时</w:t>
      </w:r>
      <w:r>
        <w:rPr>
          <w:rFonts w:hAnsi="方正仿宋_GBK" w:eastAsia="方正仿宋_GBK"/>
          <w:sz w:val="32"/>
          <w:szCs w:val="32"/>
        </w:rPr>
        <w:t>到位。幼儿</w:t>
      </w:r>
      <w:r>
        <w:rPr>
          <w:rFonts w:hint="eastAsia" w:hAnsi="方正仿宋_GBK" w:eastAsia="方正仿宋_GBK"/>
          <w:sz w:val="32"/>
          <w:szCs w:val="32"/>
          <w:lang w:eastAsia="zh-CN"/>
        </w:rPr>
        <w:t>园</w:t>
      </w:r>
      <w:r>
        <w:rPr>
          <w:rFonts w:hAnsi="方正仿宋_GBK" w:eastAsia="方正仿宋_GBK"/>
          <w:sz w:val="32"/>
          <w:szCs w:val="32"/>
        </w:rPr>
        <w:t>经费项目资金</w:t>
      </w:r>
      <w:r>
        <w:rPr>
          <w:rFonts w:eastAsia="方正仿宋_GBK"/>
          <w:sz w:val="32"/>
          <w:szCs w:val="32"/>
        </w:rPr>
        <w:t>302.31</w:t>
      </w:r>
      <w:r>
        <w:rPr>
          <w:rFonts w:hAnsi="方正仿宋_GBK" w:eastAsia="方正仿宋_GBK"/>
          <w:sz w:val="32"/>
          <w:szCs w:val="32"/>
        </w:rPr>
        <w:t>万元，</w:t>
      </w:r>
      <w:r>
        <w:rPr>
          <w:rFonts w:hAnsi="方正仿宋_GBK" w:eastAsia="方正仿宋_GBK"/>
          <w:sz w:val="32"/>
          <w:szCs w:val="32"/>
          <w:lang w:val="zh-CN"/>
        </w:rPr>
        <w:t>资金到位率</w:t>
      </w:r>
      <w:r>
        <w:rPr>
          <w:rFonts w:eastAsia="方正仿宋_GBK"/>
          <w:sz w:val="32"/>
          <w:szCs w:val="32"/>
          <w:lang w:val="zh-CN"/>
        </w:rPr>
        <w:t>100%</w:t>
      </w:r>
      <w:r>
        <w:rPr>
          <w:rFonts w:hAnsi="方正仿宋_GBK" w:eastAsia="方正仿宋_GBK"/>
          <w:sz w:val="32"/>
          <w:szCs w:val="32"/>
          <w:lang w:val="zh-CN"/>
        </w:rPr>
        <w:t>，到位及时。</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eastAsia="方正仿宋_GBK"/>
          <w:sz w:val="32"/>
          <w:szCs w:val="32"/>
        </w:rPr>
      </w:pPr>
      <w:r>
        <w:rPr>
          <w:rFonts w:eastAsia="方正仿宋_GBK"/>
          <w:sz w:val="32"/>
          <w:szCs w:val="32"/>
        </w:rPr>
        <w:t>2.</w:t>
      </w:r>
      <w:r>
        <w:rPr>
          <w:rFonts w:hAnsi="方正仿宋_GBK" w:eastAsia="方正仿宋_GBK"/>
          <w:sz w:val="32"/>
          <w:szCs w:val="32"/>
        </w:rPr>
        <w:t>资金使用。财政计划在本年内发放幼儿</w:t>
      </w:r>
      <w:r>
        <w:rPr>
          <w:rFonts w:hint="eastAsia" w:hAnsi="方正仿宋_GBK" w:eastAsia="方正仿宋_GBK"/>
          <w:sz w:val="32"/>
          <w:szCs w:val="32"/>
          <w:lang w:eastAsia="zh-CN"/>
        </w:rPr>
        <w:t>园</w:t>
      </w:r>
      <w:r>
        <w:rPr>
          <w:rFonts w:hAnsi="方正仿宋_GBK" w:eastAsia="方正仿宋_GBK"/>
          <w:sz w:val="32"/>
          <w:szCs w:val="32"/>
        </w:rPr>
        <w:t>经费</w:t>
      </w:r>
      <w:r>
        <w:rPr>
          <w:rFonts w:eastAsia="方正仿宋_GBK"/>
          <w:sz w:val="32"/>
          <w:szCs w:val="32"/>
        </w:rPr>
        <w:t>302.31</w:t>
      </w:r>
      <w:r>
        <w:rPr>
          <w:rFonts w:hAnsi="方正仿宋_GBK" w:eastAsia="方正仿宋_GBK"/>
          <w:sz w:val="32"/>
          <w:szCs w:val="32"/>
        </w:rPr>
        <w:t>万元，</w:t>
      </w:r>
      <w:r>
        <w:rPr>
          <w:rFonts w:hAnsi="方正仿宋_GBK" w:eastAsia="方正仿宋_GBK"/>
          <w:sz w:val="32"/>
          <w:szCs w:val="32"/>
          <w:lang w:val="zh-CN"/>
        </w:rPr>
        <w:t>主要用于</w:t>
      </w:r>
      <w:r>
        <w:rPr>
          <w:rFonts w:hAnsi="方正仿宋_GBK" w:eastAsia="方正仿宋_GBK"/>
          <w:sz w:val="32"/>
          <w:szCs w:val="32"/>
        </w:rPr>
        <w:t>维持幼儿园保育教育和日常办公正常开展，保障临聘教职工工资待遇。</w:t>
      </w:r>
      <w:r>
        <w:rPr>
          <w:rFonts w:eastAsia="方正仿宋_GBK"/>
          <w:sz w:val="32"/>
          <w:szCs w:val="32"/>
        </w:rPr>
        <w:t>2022</w:t>
      </w:r>
      <w:r>
        <w:rPr>
          <w:rFonts w:hAnsi="方正仿宋_GBK" w:eastAsia="方正仿宋_GBK"/>
          <w:sz w:val="32"/>
          <w:szCs w:val="32"/>
        </w:rPr>
        <w:t>年内</w:t>
      </w:r>
      <w:r>
        <w:rPr>
          <w:rFonts w:hAnsi="方正仿宋_GBK" w:eastAsia="方正仿宋_GBK"/>
          <w:sz w:val="32"/>
          <w:szCs w:val="32"/>
          <w:lang w:val="zh-CN"/>
        </w:rPr>
        <w:t>已由财政支付款项</w:t>
      </w:r>
      <w:r>
        <w:rPr>
          <w:rFonts w:eastAsia="方正仿宋_GBK"/>
          <w:sz w:val="32"/>
          <w:szCs w:val="32"/>
        </w:rPr>
        <w:t>302.31</w:t>
      </w:r>
      <w:r>
        <w:rPr>
          <w:rFonts w:hAnsi="方正仿宋_GBK" w:eastAsia="方正仿宋_GBK"/>
          <w:sz w:val="32"/>
          <w:szCs w:val="32"/>
          <w:lang w:val="zh-CN"/>
        </w:rPr>
        <w:t>万元</w:t>
      </w:r>
      <w:r>
        <w:rPr>
          <w:rFonts w:hAnsi="方正仿宋_GBK" w:eastAsia="方正仿宋_GBK"/>
          <w:sz w:val="32"/>
          <w:szCs w:val="32"/>
        </w:rPr>
        <w:t>。</w:t>
      </w:r>
      <w:r>
        <w:rPr>
          <w:rFonts w:hAnsi="方正仿宋_GBK" w:eastAsia="方正仿宋_GBK"/>
          <w:sz w:val="32"/>
          <w:szCs w:val="32"/>
          <w:lang w:val="zh-CN"/>
        </w:rPr>
        <w:t>支付依据合规合法，资金支付与预算相符。</w:t>
      </w:r>
    </w:p>
    <w:p>
      <w:pPr>
        <w:keepNext w:val="0"/>
        <w:keepLines w:val="0"/>
        <w:pageBreakBefore w:val="0"/>
        <w:widowControl w:val="0"/>
        <w:kinsoku/>
        <w:wordWrap/>
        <w:overflowPunct/>
        <w:topLinePunct w:val="0"/>
        <w:autoSpaceDE/>
        <w:autoSpaceDN/>
        <w:bidi w:val="0"/>
        <w:spacing w:line="578" w:lineRule="exact"/>
        <w:ind w:left="323" w:leftChars="154" w:right="-340" w:rightChars="-162" w:firstLine="320" w:firstLineChars="100"/>
        <w:textAlignment w:val="auto"/>
        <w:rPr>
          <w:rFonts w:eastAsia="方正楷体_GBK"/>
          <w:bCs/>
          <w:sz w:val="32"/>
          <w:szCs w:val="32"/>
        </w:rPr>
      </w:pPr>
      <w:r>
        <w:rPr>
          <w:rFonts w:hAnsi="方正楷体_GBK" w:eastAsia="方正楷体_GBK"/>
          <w:bCs/>
          <w:sz w:val="32"/>
          <w:szCs w:val="32"/>
        </w:rPr>
        <w:t>（二）项目财务管理情况</w:t>
      </w:r>
      <w:r>
        <w:rPr>
          <w:rFonts w:eastAsia="方正楷体_GBK"/>
          <w:bCs/>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eastAsia="方正仿宋_GBK"/>
          <w:sz w:val="32"/>
          <w:szCs w:val="32"/>
          <w:lang w:val="zh-CN"/>
        </w:rPr>
      </w:pPr>
      <w:r>
        <w:rPr>
          <w:rFonts w:hAnsi="方正仿宋_GBK" w:eastAsia="方正仿宋_GBK"/>
          <w:sz w:val="32"/>
          <w:szCs w:val="32"/>
          <w:lang w:val="zh-CN"/>
        </w:rPr>
        <w:t>幼儿园建立了专项资金管理制度。成立了以园长为组长，副园长为副组长，行政领导、班主任和教代会为成员的专项资金管理领导小组和工作小组，专人负责专项资金的会计核算和财务处理。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eastAsia="方正楷体_GBK"/>
          <w:bCs/>
          <w:sz w:val="32"/>
          <w:szCs w:val="32"/>
        </w:rPr>
      </w:pPr>
      <w:r>
        <w:rPr>
          <w:rFonts w:hAnsi="方正楷体_GBK" w:eastAsia="方正楷体_GBK"/>
          <w:bCs/>
          <w:sz w:val="32"/>
          <w:szCs w:val="32"/>
        </w:rPr>
        <w:t>（三）项目组织实施情况</w:t>
      </w:r>
    </w:p>
    <w:p>
      <w:pPr>
        <w:keepNext w:val="0"/>
        <w:keepLines w:val="0"/>
        <w:pageBreakBefore w:val="0"/>
        <w:widowControl w:val="0"/>
        <w:kinsoku/>
        <w:wordWrap/>
        <w:overflowPunct/>
        <w:topLinePunct w:val="0"/>
        <w:autoSpaceDE/>
        <w:autoSpaceDN/>
        <w:bidi w:val="0"/>
        <w:spacing w:line="578" w:lineRule="exact"/>
        <w:ind w:right="-340" w:rightChars="-162"/>
        <w:textAlignment w:val="auto"/>
        <w:rPr>
          <w:rFonts w:eastAsia="方正仿宋_GBK"/>
          <w:sz w:val="32"/>
          <w:szCs w:val="32"/>
          <w:lang w:val="zh-CN"/>
        </w:rPr>
      </w:pPr>
      <w:r>
        <w:rPr>
          <w:rFonts w:eastAsia="方正楷体简体"/>
          <w:bCs/>
          <w:sz w:val="32"/>
          <w:szCs w:val="32"/>
        </w:rPr>
        <w:t xml:space="preserve">   </w:t>
      </w:r>
      <w:r>
        <w:rPr>
          <w:rFonts w:eastAsia="方正仿宋_GBK"/>
          <w:sz w:val="32"/>
          <w:szCs w:val="32"/>
        </w:rPr>
        <w:t xml:space="preserve"> </w:t>
      </w:r>
      <w:r>
        <w:rPr>
          <w:rFonts w:hAnsi="方正仿宋_GBK" w:eastAsia="方正仿宋_GBK"/>
          <w:sz w:val="32"/>
          <w:szCs w:val="32"/>
          <w:lang w:val="zh-CN"/>
        </w:rPr>
        <w:t>项目</w:t>
      </w:r>
      <w:r>
        <w:rPr>
          <w:rFonts w:hint="eastAsia" w:hAnsi="方正仿宋_GBK" w:eastAsia="方正仿宋_GBK"/>
          <w:sz w:val="32"/>
          <w:szCs w:val="32"/>
          <w:lang w:val="en-US" w:eastAsia="zh-CN"/>
        </w:rPr>
        <w:t>资</w:t>
      </w:r>
      <w:r>
        <w:rPr>
          <w:rFonts w:hAnsi="方正仿宋_GBK" w:eastAsia="方正仿宋_GBK"/>
          <w:sz w:val="32"/>
          <w:szCs w:val="32"/>
          <w:lang w:val="zh-CN"/>
        </w:rPr>
        <w:t>金到账后，</w:t>
      </w:r>
      <w:r>
        <w:rPr>
          <w:rFonts w:hint="eastAsia" w:hAnsi="方正仿宋_GBK" w:eastAsia="方正仿宋_GBK"/>
          <w:sz w:val="32"/>
          <w:szCs w:val="32"/>
          <w:lang w:val="en-US" w:eastAsia="zh-CN"/>
        </w:rPr>
        <w:t>我</w:t>
      </w:r>
      <w:r>
        <w:rPr>
          <w:rFonts w:hAnsi="方正仿宋_GBK" w:eastAsia="方正仿宋_GBK"/>
          <w:sz w:val="32"/>
          <w:szCs w:val="32"/>
          <w:lang w:val="zh-CN"/>
        </w:rPr>
        <w:t>单位严格按照项目预算批复和财政下达的资金，及时定额拨付，做到专款专用、专项核算，充分发挥教育专项资金的使用效益，做好财务信息公开，自觉接受监察、审计、财政以及社会监督，实行专户管理，封闭运行，直接转账支付到项目单位个人，无虚报、冒领、挤占、挪用、变更使用财政专项资金等行为。</w:t>
      </w:r>
    </w:p>
    <w:p>
      <w:pPr>
        <w:keepNext w:val="0"/>
        <w:keepLines w:val="0"/>
        <w:pageBreakBefore w:val="0"/>
        <w:widowControl w:val="0"/>
        <w:numPr>
          <w:ilvl w:val="0"/>
          <w:numId w:val="2"/>
        </w:numPr>
        <w:kinsoku/>
        <w:wordWrap/>
        <w:overflowPunct/>
        <w:topLinePunct w:val="0"/>
        <w:autoSpaceDE/>
        <w:autoSpaceDN/>
        <w:bidi w:val="0"/>
        <w:spacing w:line="578" w:lineRule="exact"/>
        <w:ind w:right="-340" w:rightChars="-162" w:firstLine="640" w:firstLineChars="200"/>
        <w:textAlignment w:val="auto"/>
        <w:rPr>
          <w:rFonts w:eastAsia="方正黑体_GBK"/>
          <w:sz w:val="32"/>
          <w:szCs w:val="32"/>
        </w:rPr>
      </w:pPr>
      <w:r>
        <w:rPr>
          <w:rFonts w:hAnsi="方正黑体_GBK" w:eastAsia="方正黑体_GBK"/>
          <w:sz w:val="32"/>
          <w:szCs w:val="32"/>
        </w:rPr>
        <w:t>项目绩效情况</w:t>
      </w:r>
    </w:p>
    <w:p>
      <w:pPr>
        <w:keepNext w:val="0"/>
        <w:keepLines w:val="0"/>
        <w:pageBreakBefore w:val="0"/>
        <w:widowControl w:val="0"/>
        <w:kinsoku/>
        <w:wordWrap/>
        <w:overflowPunct/>
        <w:topLinePunct w:val="0"/>
        <w:autoSpaceDE/>
        <w:autoSpaceDN/>
        <w:bidi w:val="0"/>
        <w:spacing w:line="578" w:lineRule="exact"/>
        <w:ind w:left="420" w:leftChars="200" w:right="-340" w:rightChars="-162"/>
        <w:textAlignment w:val="auto"/>
        <w:rPr>
          <w:rFonts w:eastAsia="方正楷体_GBK"/>
          <w:bCs/>
          <w:sz w:val="32"/>
          <w:szCs w:val="32"/>
        </w:rPr>
      </w:pPr>
      <w:r>
        <w:rPr>
          <w:rFonts w:hAnsi="方正楷体_GBK" w:eastAsia="方正楷体_GBK"/>
          <w:bCs/>
          <w:sz w:val="32"/>
          <w:szCs w:val="32"/>
        </w:rPr>
        <w:t>（一）项目完成情况</w:t>
      </w:r>
      <w:r>
        <w:rPr>
          <w:rFonts w:eastAsia="方正楷体_GBK"/>
          <w:bCs/>
          <w:sz w:val="32"/>
          <w:szCs w:val="32"/>
        </w:rPr>
        <w:t xml:space="preserve"> </w:t>
      </w:r>
    </w:p>
    <w:p>
      <w:pPr>
        <w:keepNext w:val="0"/>
        <w:keepLines w:val="0"/>
        <w:pageBreakBefore w:val="0"/>
        <w:widowControl w:val="0"/>
        <w:kinsoku/>
        <w:wordWrap/>
        <w:overflowPunct/>
        <w:topLinePunct w:val="0"/>
        <w:autoSpaceDE/>
        <w:autoSpaceDN/>
        <w:bidi w:val="0"/>
        <w:spacing w:line="578" w:lineRule="exact"/>
        <w:ind w:right="-340" w:rightChars="-162" w:firstLine="640" w:firstLineChars="200"/>
        <w:textAlignment w:val="auto"/>
        <w:rPr>
          <w:rFonts w:eastAsia="方正仿宋_GBK"/>
          <w:sz w:val="32"/>
          <w:szCs w:val="32"/>
          <w:lang w:val="zh-CN"/>
        </w:rPr>
      </w:pPr>
      <w:r>
        <w:rPr>
          <w:rFonts w:hAnsi="方正仿宋_GBK" w:eastAsia="方正仿宋_GBK"/>
          <w:sz w:val="32"/>
          <w:szCs w:val="32"/>
          <w:lang w:val="zh-CN"/>
        </w:rPr>
        <w:t>该项目现已全部顺利完成，在项目管理上严格按照项目预算批复，项目批复后严格按专项资金有关规定执行，在项目完成上严格按照申报计划和上级批复要求进行实施，按质按量全面完成，未验收。</w:t>
      </w:r>
    </w:p>
    <w:p>
      <w:pPr>
        <w:keepNext w:val="0"/>
        <w:keepLines w:val="0"/>
        <w:pageBreakBefore w:val="0"/>
        <w:widowControl w:val="0"/>
        <w:kinsoku/>
        <w:wordWrap/>
        <w:overflowPunct/>
        <w:topLinePunct w:val="0"/>
        <w:autoSpaceDE/>
        <w:autoSpaceDN/>
        <w:bidi w:val="0"/>
        <w:spacing w:line="578" w:lineRule="exact"/>
        <w:ind w:right="-340" w:rightChars="-162" w:firstLine="640" w:firstLineChars="200"/>
        <w:textAlignment w:val="auto"/>
        <w:rPr>
          <w:rFonts w:eastAsia="方正楷体_GBK"/>
          <w:bCs/>
          <w:sz w:val="32"/>
          <w:szCs w:val="32"/>
        </w:rPr>
      </w:pPr>
      <w:r>
        <w:rPr>
          <w:rFonts w:hAnsi="方正楷体_GBK" w:eastAsia="方正楷体_GBK"/>
          <w:bCs/>
          <w:sz w:val="32"/>
          <w:szCs w:val="32"/>
        </w:rPr>
        <w:t>（二）项目效益情况</w:t>
      </w:r>
      <w:r>
        <w:rPr>
          <w:rFonts w:eastAsia="方正楷体_GBK"/>
          <w:bCs/>
          <w:sz w:val="32"/>
          <w:szCs w:val="32"/>
        </w:rPr>
        <w:t xml:space="preserve"> </w:t>
      </w:r>
    </w:p>
    <w:p>
      <w:pPr>
        <w:keepNext w:val="0"/>
        <w:keepLines w:val="0"/>
        <w:pageBreakBefore w:val="0"/>
        <w:widowControl w:val="0"/>
        <w:kinsoku/>
        <w:wordWrap/>
        <w:overflowPunct/>
        <w:topLinePunct w:val="0"/>
        <w:autoSpaceDE/>
        <w:autoSpaceDN/>
        <w:bidi w:val="0"/>
        <w:spacing w:line="578" w:lineRule="exact"/>
        <w:ind w:right="-340" w:rightChars="-162" w:firstLine="640" w:firstLineChars="200"/>
        <w:textAlignment w:val="auto"/>
        <w:rPr>
          <w:rFonts w:eastAsia="方正仿宋_GBK"/>
          <w:sz w:val="32"/>
          <w:szCs w:val="32"/>
          <w:lang w:val="zh-CN"/>
        </w:rPr>
      </w:pPr>
      <w:r>
        <w:rPr>
          <w:rFonts w:hAnsi="方正仿宋_GBK" w:eastAsia="方正仿宋_GBK"/>
          <w:sz w:val="32"/>
          <w:szCs w:val="32"/>
          <w:lang w:val="zh-CN"/>
        </w:rPr>
        <w:t>一是此项目科学有序组织，确保公正公平</w:t>
      </w:r>
      <w:r>
        <w:rPr>
          <w:rFonts w:hint="eastAsia" w:hAnsi="方正仿宋_GBK" w:eastAsia="方正仿宋_GBK"/>
          <w:sz w:val="32"/>
          <w:szCs w:val="32"/>
          <w:lang w:val="zh-CN"/>
        </w:rPr>
        <w:t>。</w:t>
      </w:r>
      <w:r>
        <w:rPr>
          <w:rFonts w:hAnsi="方正仿宋_GBK" w:eastAsia="方正仿宋_GBK"/>
          <w:sz w:val="32"/>
          <w:szCs w:val="32"/>
          <w:lang w:val="zh-CN"/>
        </w:rPr>
        <w:t>二是学生和家长满意度为</w:t>
      </w:r>
      <w:r>
        <w:rPr>
          <w:rFonts w:eastAsia="方正仿宋_GBK"/>
          <w:sz w:val="32"/>
          <w:szCs w:val="32"/>
        </w:rPr>
        <w:t>98</w:t>
      </w:r>
      <w:r>
        <w:rPr>
          <w:rFonts w:eastAsia="方正仿宋_GBK"/>
          <w:sz w:val="32"/>
          <w:szCs w:val="32"/>
          <w:lang w:val="zh-CN"/>
        </w:rPr>
        <w:t>%</w:t>
      </w:r>
      <w:r>
        <w:rPr>
          <w:rFonts w:hAnsi="方正仿宋_GBK" w:eastAsia="方正仿宋_GBK"/>
          <w:sz w:val="32"/>
          <w:szCs w:val="32"/>
          <w:lang w:val="zh-CN"/>
        </w:rPr>
        <w:t>。</w:t>
      </w:r>
    </w:p>
    <w:p>
      <w:pPr>
        <w:keepNext w:val="0"/>
        <w:keepLines w:val="0"/>
        <w:pageBreakBefore w:val="0"/>
        <w:widowControl w:val="0"/>
        <w:numPr>
          <w:ilvl w:val="0"/>
          <w:numId w:val="2"/>
        </w:numPr>
        <w:kinsoku/>
        <w:wordWrap/>
        <w:overflowPunct/>
        <w:topLinePunct w:val="0"/>
        <w:autoSpaceDE/>
        <w:autoSpaceDN/>
        <w:bidi w:val="0"/>
        <w:spacing w:line="578" w:lineRule="exact"/>
        <w:ind w:right="-340" w:rightChars="-162" w:firstLine="640" w:firstLineChars="200"/>
        <w:textAlignment w:val="auto"/>
        <w:rPr>
          <w:rFonts w:eastAsia="方正黑体_GBK"/>
          <w:sz w:val="32"/>
          <w:szCs w:val="32"/>
        </w:rPr>
      </w:pPr>
      <w:r>
        <w:rPr>
          <w:rFonts w:hAnsi="方正黑体_GBK" w:eastAsia="方正黑体_GBK"/>
          <w:sz w:val="32"/>
          <w:szCs w:val="32"/>
        </w:rPr>
        <w:t>问题及建议</w:t>
      </w:r>
    </w:p>
    <w:p>
      <w:pPr>
        <w:keepNext w:val="0"/>
        <w:keepLines w:val="0"/>
        <w:pageBreakBefore w:val="0"/>
        <w:widowControl w:val="0"/>
        <w:kinsoku/>
        <w:wordWrap/>
        <w:overflowPunct/>
        <w:topLinePunct w:val="0"/>
        <w:autoSpaceDE/>
        <w:autoSpaceDN/>
        <w:bidi w:val="0"/>
        <w:spacing w:line="578" w:lineRule="exact"/>
        <w:ind w:left="420" w:leftChars="200" w:right="-340" w:rightChars="-162"/>
        <w:textAlignment w:val="auto"/>
        <w:rPr>
          <w:rFonts w:eastAsia="方正楷体_GBK"/>
          <w:bCs/>
          <w:sz w:val="32"/>
          <w:szCs w:val="32"/>
        </w:rPr>
      </w:pPr>
      <w:r>
        <w:rPr>
          <w:rFonts w:hAnsi="方正楷体_GBK" w:eastAsia="方正楷体_GBK"/>
          <w:bCs/>
          <w:sz w:val="32"/>
          <w:szCs w:val="32"/>
        </w:rPr>
        <w:t>（一）存在的问题</w:t>
      </w:r>
    </w:p>
    <w:p>
      <w:pPr>
        <w:keepNext w:val="0"/>
        <w:keepLines w:val="0"/>
        <w:pageBreakBefore w:val="0"/>
        <w:widowControl w:val="0"/>
        <w:kinsoku/>
        <w:wordWrap/>
        <w:overflowPunct/>
        <w:topLinePunct w:val="0"/>
        <w:autoSpaceDE/>
        <w:autoSpaceDN/>
        <w:bidi w:val="0"/>
        <w:spacing w:line="578" w:lineRule="exact"/>
        <w:ind w:right="-340" w:rightChars="-162" w:firstLine="640" w:firstLineChars="200"/>
        <w:textAlignment w:val="auto"/>
        <w:rPr>
          <w:rFonts w:eastAsia="方正仿宋_GBK"/>
          <w:sz w:val="32"/>
          <w:szCs w:val="32"/>
          <w:lang w:val="zh-CN"/>
        </w:rPr>
      </w:pPr>
      <w:r>
        <w:rPr>
          <w:rFonts w:hAnsi="方正仿宋_GBK" w:eastAsia="方正仿宋_GBK"/>
          <w:sz w:val="32"/>
          <w:szCs w:val="32"/>
          <w:lang w:val="zh-CN"/>
        </w:rPr>
        <w:t>无。</w:t>
      </w:r>
    </w:p>
    <w:p>
      <w:pPr>
        <w:keepNext w:val="0"/>
        <w:keepLines w:val="0"/>
        <w:pageBreakBefore w:val="0"/>
        <w:widowControl w:val="0"/>
        <w:kinsoku/>
        <w:wordWrap/>
        <w:overflowPunct/>
        <w:topLinePunct w:val="0"/>
        <w:autoSpaceDE/>
        <w:autoSpaceDN/>
        <w:bidi w:val="0"/>
        <w:spacing w:line="578" w:lineRule="exact"/>
        <w:ind w:right="-340" w:rightChars="-162" w:firstLine="640" w:firstLineChars="200"/>
        <w:textAlignment w:val="auto"/>
        <w:rPr>
          <w:rFonts w:eastAsia="方正楷体_GBK"/>
          <w:bCs/>
          <w:sz w:val="32"/>
          <w:szCs w:val="32"/>
        </w:rPr>
      </w:pPr>
      <w:r>
        <w:rPr>
          <w:rFonts w:hAnsi="方正楷体_GBK" w:eastAsia="方正楷体_GBK"/>
          <w:bCs/>
          <w:sz w:val="32"/>
          <w:szCs w:val="32"/>
        </w:rPr>
        <w:t>（二）相关建议</w:t>
      </w:r>
    </w:p>
    <w:p>
      <w:pPr>
        <w:keepNext w:val="0"/>
        <w:keepLines w:val="0"/>
        <w:pageBreakBefore w:val="0"/>
        <w:widowControl w:val="0"/>
        <w:kinsoku/>
        <w:wordWrap/>
        <w:overflowPunct/>
        <w:topLinePunct w:val="0"/>
        <w:autoSpaceDE/>
        <w:autoSpaceDN/>
        <w:bidi w:val="0"/>
        <w:spacing w:line="578" w:lineRule="exact"/>
        <w:ind w:right="-340" w:rightChars="-162" w:firstLine="640" w:firstLineChars="200"/>
        <w:textAlignment w:val="auto"/>
        <w:rPr>
          <w:rFonts w:eastAsia="方正仿宋_GBK"/>
          <w:sz w:val="32"/>
          <w:szCs w:val="32"/>
          <w:lang w:val="zh-CN"/>
        </w:rPr>
      </w:pPr>
      <w:r>
        <w:rPr>
          <w:rFonts w:hAnsi="方正仿宋_GBK" w:eastAsia="方正仿宋_GBK"/>
          <w:sz w:val="32"/>
          <w:szCs w:val="32"/>
          <w:lang w:val="zh-CN"/>
        </w:rPr>
        <w:t>无。</w:t>
      </w:r>
    </w:p>
    <w:p>
      <w:pPr>
        <w:widowControl/>
        <w:jc w:val="left"/>
        <w:rPr>
          <w:rStyle w:val="29"/>
          <w:b/>
        </w:rPr>
      </w:pPr>
      <w:r>
        <w:rPr>
          <w:rStyle w:val="29"/>
        </w:rPr>
        <w:br w:type="page"/>
      </w:r>
    </w:p>
    <w:p>
      <w:pPr>
        <w:pStyle w:val="2"/>
        <w:sectPr>
          <w:pgSz w:w="11906" w:h="16838"/>
          <w:pgMar w:top="1701" w:right="1474" w:bottom="1134" w:left="1587" w:header="851" w:footer="992" w:gutter="0"/>
          <w:cols w:space="0" w:num="1"/>
          <w:titlePg/>
          <w:docGrid w:type="lines" w:linePitch="312" w:charSpace="0"/>
        </w:sectPr>
      </w:pPr>
      <w:bookmarkStart w:id="211" w:name="_Toc146881821"/>
      <w:bookmarkStart w:id="212" w:name="_Toc146881998"/>
      <w:bookmarkStart w:id="213" w:name="_Toc146881362"/>
      <w:bookmarkStart w:id="214" w:name="_Toc146882175"/>
      <w:bookmarkStart w:id="215" w:name="_Toc15396618"/>
      <w:bookmarkStart w:id="216" w:name="_Toc146881234"/>
    </w:p>
    <w:p>
      <w:pPr>
        <w:pStyle w:val="2"/>
        <w:spacing w:line="640" w:lineRule="exact"/>
        <w:rPr>
          <w:rFonts w:eastAsia="仿宋"/>
        </w:rPr>
      </w:pPr>
      <w:bookmarkStart w:id="217" w:name="_Toc14523"/>
      <w:r>
        <w:t>第五部分 附表</w:t>
      </w:r>
      <w:bookmarkEnd w:id="201"/>
      <w:bookmarkEnd w:id="211"/>
      <w:bookmarkEnd w:id="212"/>
      <w:bookmarkEnd w:id="213"/>
      <w:bookmarkEnd w:id="214"/>
      <w:bookmarkEnd w:id="215"/>
      <w:bookmarkEnd w:id="216"/>
      <w:bookmarkEnd w:id="217"/>
      <w:bookmarkStart w:id="218" w:name="_Toc15396619"/>
    </w:p>
    <w:p>
      <w:pPr>
        <w:pStyle w:val="3"/>
        <w:rPr>
          <w:rFonts w:ascii="Times New Roman" w:hAnsi="Times New Roman" w:eastAsia="仿宋" w:cs="Times New Roman"/>
        </w:rPr>
      </w:pPr>
      <w:bookmarkStart w:id="219" w:name="_Toc5160"/>
      <w:bookmarkStart w:id="220" w:name="_Toc146881822"/>
      <w:bookmarkStart w:id="221" w:name="_Toc146881235"/>
      <w:bookmarkStart w:id="222" w:name="_Toc146882176"/>
      <w:bookmarkStart w:id="223" w:name="_Toc146881363"/>
      <w:bookmarkStart w:id="224" w:name="_Toc146881999"/>
      <w:r>
        <w:rPr>
          <w:rFonts w:ascii="Times New Roman" w:hAnsi="Times New Roman" w:eastAsia="仿宋" w:cs="Times New Roman"/>
        </w:rPr>
        <w:t>一、收</w:t>
      </w:r>
      <w:r>
        <w:rPr>
          <w:rStyle w:val="30"/>
          <w:rFonts w:ascii="Times New Roman" w:hAnsi="Times New Roman" w:eastAsia="仿宋" w:cs="Times New Roman"/>
          <w:bCs w:val="0"/>
        </w:rPr>
        <w:t>入支出决算总表</w:t>
      </w:r>
      <w:bookmarkEnd w:id="218"/>
      <w:bookmarkEnd w:id="219"/>
      <w:bookmarkEnd w:id="220"/>
      <w:bookmarkEnd w:id="221"/>
      <w:bookmarkEnd w:id="222"/>
      <w:bookmarkEnd w:id="223"/>
      <w:bookmarkEnd w:id="224"/>
    </w:p>
    <w:p>
      <w:pPr>
        <w:pStyle w:val="3"/>
        <w:rPr>
          <w:rFonts w:ascii="Times New Roman" w:hAnsi="Times New Roman" w:eastAsia="仿宋" w:cs="Times New Roman"/>
        </w:rPr>
      </w:pPr>
      <w:bookmarkStart w:id="225" w:name="_Toc15396620"/>
      <w:bookmarkStart w:id="226" w:name="_Toc25925"/>
      <w:bookmarkStart w:id="227" w:name="_Toc146881364"/>
      <w:bookmarkStart w:id="228" w:name="_Toc146882177"/>
      <w:bookmarkStart w:id="229" w:name="_Toc146881823"/>
      <w:bookmarkStart w:id="230" w:name="_Toc146881236"/>
      <w:bookmarkStart w:id="231" w:name="_Toc146882000"/>
      <w:r>
        <w:rPr>
          <w:rFonts w:ascii="Times New Roman" w:hAnsi="Times New Roman" w:eastAsia="仿宋" w:cs="Times New Roman"/>
        </w:rPr>
        <w:t>二、收</w:t>
      </w:r>
      <w:r>
        <w:rPr>
          <w:rStyle w:val="30"/>
          <w:rFonts w:ascii="Times New Roman" w:hAnsi="Times New Roman" w:eastAsia="仿宋" w:cs="Times New Roman"/>
          <w:bCs w:val="0"/>
        </w:rPr>
        <w:t>入决算表</w:t>
      </w:r>
      <w:bookmarkEnd w:id="225"/>
      <w:bookmarkEnd w:id="226"/>
      <w:bookmarkEnd w:id="227"/>
      <w:bookmarkEnd w:id="228"/>
      <w:bookmarkEnd w:id="229"/>
      <w:bookmarkEnd w:id="230"/>
      <w:bookmarkEnd w:id="231"/>
    </w:p>
    <w:p>
      <w:pPr>
        <w:pStyle w:val="3"/>
        <w:rPr>
          <w:rFonts w:ascii="Times New Roman" w:hAnsi="Times New Roman" w:eastAsia="仿宋" w:cs="Times New Roman"/>
        </w:rPr>
      </w:pPr>
      <w:bookmarkStart w:id="232" w:name="_Toc146881237"/>
      <w:bookmarkStart w:id="233" w:name="_Toc146881365"/>
      <w:bookmarkStart w:id="234" w:name="_Toc15396621"/>
      <w:bookmarkStart w:id="235" w:name="_Toc146882001"/>
      <w:bookmarkStart w:id="236" w:name="_Toc146881824"/>
      <w:bookmarkStart w:id="237" w:name="_Toc15092"/>
      <w:bookmarkStart w:id="238" w:name="_Toc146882178"/>
      <w:r>
        <w:rPr>
          <w:rStyle w:val="30"/>
          <w:rFonts w:ascii="Times New Roman" w:hAnsi="Times New Roman" w:eastAsia="仿宋" w:cs="Times New Roman"/>
          <w:bCs w:val="0"/>
        </w:rPr>
        <w:t>三、</w:t>
      </w:r>
      <w:r>
        <w:rPr>
          <w:rFonts w:ascii="Times New Roman" w:hAnsi="Times New Roman" w:eastAsia="仿宋" w:cs="Times New Roman"/>
        </w:rPr>
        <w:t>支</w:t>
      </w:r>
      <w:r>
        <w:rPr>
          <w:rStyle w:val="30"/>
          <w:rFonts w:ascii="Times New Roman" w:hAnsi="Times New Roman" w:eastAsia="仿宋" w:cs="Times New Roman"/>
          <w:bCs w:val="0"/>
        </w:rPr>
        <w:t>出决算表</w:t>
      </w:r>
      <w:bookmarkEnd w:id="232"/>
      <w:bookmarkEnd w:id="233"/>
      <w:bookmarkEnd w:id="234"/>
      <w:bookmarkEnd w:id="235"/>
      <w:bookmarkEnd w:id="236"/>
      <w:bookmarkEnd w:id="237"/>
      <w:bookmarkEnd w:id="238"/>
    </w:p>
    <w:p>
      <w:pPr>
        <w:pStyle w:val="3"/>
        <w:rPr>
          <w:rFonts w:ascii="Times New Roman" w:hAnsi="Times New Roman" w:eastAsia="仿宋" w:cs="Times New Roman"/>
          <w:b/>
        </w:rPr>
      </w:pPr>
      <w:bookmarkStart w:id="239" w:name="_Toc15396622"/>
      <w:bookmarkStart w:id="240" w:name="_Toc146881366"/>
      <w:bookmarkStart w:id="241" w:name="_Toc146881825"/>
      <w:bookmarkStart w:id="242" w:name="_Toc146881238"/>
      <w:bookmarkStart w:id="243" w:name="_Toc146882179"/>
      <w:bookmarkStart w:id="244" w:name="_Toc146882002"/>
      <w:bookmarkStart w:id="245" w:name="_Toc17732"/>
      <w:r>
        <w:rPr>
          <w:rStyle w:val="30"/>
          <w:rFonts w:ascii="Times New Roman" w:hAnsi="Times New Roman" w:eastAsia="仿宋" w:cs="Times New Roman"/>
          <w:bCs w:val="0"/>
        </w:rPr>
        <w:t>四、</w:t>
      </w:r>
      <w:r>
        <w:rPr>
          <w:rFonts w:ascii="Times New Roman" w:hAnsi="Times New Roman" w:eastAsia="仿宋" w:cs="Times New Roman"/>
        </w:rPr>
        <w:t>财</w:t>
      </w:r>
      <w:r>
        <w:rPr>
          <w:rStyle w:val="30"/>
          <w:rFonts w:ascii="Times New Roman" w:hAnsi="Times New Roman" w:eastAsia="仿宋" w:cs="Times New Roman"/>
          <w:bCs w:val="0"/>
        </w:rPr>
        <w:t>政拨款收入支出决算总表</w:t>
      </w:r>
      <w:bookmarkEnd w:id="239"/>
      <w:bookmarkEnd w:id="240"/>
      <w:bookmarkEnd w:id="241"/>
      <w:bookmarkEnd w:id="242"/>
      <w:bookmarkEnd w:id="243"/>
      <w:bookmarkEnd w:id="244"/>
      <w:bookmarkEnd w:id="245"/>
    </w:p>
    <w:p>
      <w:pPr>
        <w:pStyle w:val="3"/>
        <w:rPr>
          <w:rStyle w:val="30"/>
          <w:rFonts w:ascii="Times New Roman" w:hAnsi="Times New Roman" w:eastAsia="仿宋" w:cs="Times New Roman"/>
          <w:bCs w:val="0"/>
        </w:rPr>
      </w:pPr>
      <w:bookmarkStart w:id="246" w:name="_Toc4337"/>
      <w:bookmarkStart w:id="247" w:name="_Toc15396623"/>
      <w:bookmarkStart w:id="248" w:name="_Toc146882180"/>
      <w:bookmarkStart w:id="249" w:name="_Toc146881826"/>
      <w:bookmarkStart w:id="250" w:name="_Toc146881367"/>
      <w:bookmarkStart w:id="251" w:name="_Toc146882003"/>
      <w:bookmarkStart w:id="252" w:name="_Toc146881239"/>
      <w:r>
        <w:rPr>
          <w:rStyle w:val="30"/>
          <w:rFonts w:ascii="Times New Roman" w:hAnsi="Times New Roman" w:eastAsia="仿宋" w:cs="Times New Roman"/>
          <w:bCs w:val="0"/>
        </w:rPr>
        <w:t>五、</w:t>
      </w:r>
      <w:r>
        <w:rPr>
          <w:rFonts w:ascii="Times New Roman" w:hAnsi="Times New Roman" w:eastAsia="仿宋" w:cs="Times New Roman"/>
        </w:rPr>
        <w:t>财</w:t>
      </w:r>
      <w:r>
        <w:rPr>
          <w:rStyle w:val="30"/>
          <w:rFonts w:ascii="Times New Roman" w:hAnsi="Times New Roman" w:eastAsia="仿宋" w:cs="Times New Roman"/>
          <w:bCs w:val="0"/>
        </w:rPr>
        <w:t>政拨款支出决算明细表</w:t>
      </w:r>
      <w:bookmarkEnd w:id="246"/>
      <w:bookmarkEnd w:id="247"/>
      <w:bookmarkEnd w:id="248"/>
      <w:bookmarkEnd w:id="249"/>
      <w:bookmarkEnd w:id="250"/>
      <w:bookmarkEnd w:id="251"/>
      <w:bookmarkEnd w:id="252"/>
      <w:bookmarkStart w:id="253" w:name="_Toc15396624"/>
    </w:p>
    <w:p>
      <w:pPr>
        <w:pStyle w:val="3"/>
        <w:rPr>
          <w:rFonts w:ascii="Times New Roman" w:hAnsi="Times New Roman" w:eastAsia="仿宋" w:cs="Times New Roman"/>
        </w:rPr>
      </w:pPr>
      <w:bookmarkStart w:id="254" w:name="_Toc2048"/>
      <w:bookmarkStart w:id="255" w:name="_Toc146881827"/>
      <w:bookmarkStart w:id="256" w:name="_Toc146882004"/>
      <w:bookmarkStart w:id="257" w:name="_Toc146881368"/>
      <w:bookmarkStart w:id="258" w:name="_Toc146882181"/>
      <w:bookmarkStart w:id="259" w:name="_Toc146881240"/>
      <w:r>
        <w:rPr>
          <w:rStyle w:val="30"/>
          <w:rFonts w:ascii="Times New Roman" w:hAnsi="Times New Roman" w:eastAsia="仿宋" w:cs="Times New Roman"/>
          <w:bCs w:val="0"/>
        </w:rPr>
        <w:t>六、</w:t>
      </w:r>
      <w:r>
        <w:rPr>
          <w:rFonts w:ascii="Times New Roman" w:hAnsi="Times New Roman" w:eastAsia="仿宋" w:cs="Times New Roman"/>
        </w:rPr>
        <w:t>一</w:t>
      </w:r>
      <w:r>
        <w:rPr>
          <w:rStyle w:val="30"/>
          <w:rFonts w:ascii="Times New Roman" w:hAnsi="Times New Roman" w:eastAsia="仿宋" w:cs="Times New Roman"/>
          <w:bCs w:val="0"/>
        </w:rPr>
        <w:t>般公共预算财政拨款支出决算表</w:t>
      </w:r>
      <w:bookmarkEnd w:id="253"/>
      <w:bookmarkEnd w:id="254"/>
      <w:bookmarkEnd w:id="255"/>
      <w:bookmarkEnd w:id="256"/>
      <w:bookmarkEnd w:id="257"/>
      <w:bookmarkEnd w:id="258"/>
      <w:bookmarkEnd w:id="259"/>
    </w:p>
    <w:p>
      <w:pPr>
        <w:pStyle w:val="3"/>
        <w:rPr>
          <w:rFonts w:ascii="Times New Roman" w:hAnsi="Times New Roman" w:eastAsia="仿宋" w:cs="Times New Roman"/>
        </w:rPr>
      </w:pPr>
      <w:bookmarkStart w:id="260" w:name="_Toc1726"/>
      <w:bookmarkStart w:id="261" w:name="_Toc146881828"/>
      <w:bookmarkStart w:id="262" w:name="_Toc146882182"/>
      <w:bookmarkStart w:id="263" w:name="_Toc15396625"/>
      <w:bookmarkStart w:id="264" w:name="_Toc146881369"/>
      <w:bookmarkStart w:id="265" w:name="_Toc146881241"/>
      <w:bookmarkStart w:id="266" w:name="_Toc146882005"/>
      <w:r>
        <w:rPr>
          <w:rStyle w:val="30"/>
          <w:rFonts w:ascii="Times New Roman" w:hAnsi="Times New Roman" w:eastAsia="仿宋" w:cs="Times New Roman"/>
          <w:bCs w:val="0"/>
        </w:rPr>
        <w:t>七、</w:t>
      </w:r>
      <w:r>
        <w:rPr>
          <w:rFonts w:ascii="Times New Roman" w:hAnsi="Times New Roman" w:eastAsia="仿宋" w:cs="Times New Roman"/>
        </w:rPr>
        <w:t>一</w:t>
      </w:r>
      <w:r>
        <w:rPr>
          <w:rStyle w:val="30"/>
          <w:rFonts w:ascii="Times New Roman" w:hAnsi="Times New Roman" w:eastAsia="仿宋" w:cs="Times New Roman"/>
          <w:bCs w:val="0"/>
        </w:rPr>
        <w:t>般公共预算财政拨款支出决算明细表</w:t>
      </w:r>
      <w:bookmarkEnd w:id="260"/>
      <w:bookmarkEnd w:id="261"/>
      <w:bookmarkEnd w:id="262"/>
      <w:bookmarkEnd w:id="263"/>
      <w:bookmarkEnd w:id="264"/>
      <w:bookmarkEnd w:id="265"/>
      <w:bookmarkEnd w:id="266"/>
    </w:p>
    <w:p>
      <w:pPr>
        <w:pStyle w:val="3"/>
        <w:rPr>
          <w:rFonts w:ascii="Times New Roman" w:hAnsi="Times New Roman" w:eastAsia="仿宋" w:cs="Times New Roman"/>
        </w:rPr>
      </w:pPr>
      <w:bookmarkStart w:id="267" w:name="_Toc18483"/>
      <w:bookmarkStart w:id="268" w:name="_Toc15396626"/>
      <w:bookmarkStart w:id="269" w:name="_Toc146882183"/>
      <w:bookmarkStart w:id="270" w:name="_Toc146881829"/>
      <w:bookmarkStart w:id="271" w:name="_Toc146881242"/>
      <w:bookmarkStart w:id="272" w:name="_Toc146881370"/>
      <w:bookmarkStart w:id="273" w:name="_Toc146882006"/>
      <w:r>
        <w:rPr>
          <w:rStyle w:val="30"/>
          <w:rFonts w:ascii="Times New Roman" w:hAnsi="Times New Roman" w:eastAsia="仿宋" w:cs="Times New Roman"/>
          <w:bCs w:val="0"/>
        </w:rPr>
        <w:t>八、</w:t>
      </w:r>
      <w:r>
        <w:rPr>
          <w:rFonts w:ascii="Times New Roman" w:hAnsi="Times New Roman" w:eastAsia="仿宋" w:cs="Times New Roman"/>
        </w:rPr>
        <w:t>一</w:t>
      </w:r>
      <w:r>
        <w:rPr>
          <w:rStyle w:val="30"/>
          <w:rFonts w:ascii="Times New Roman" w:hAnsi="Times New Roman" w:eastAsia="仿宋" w:cs="Times New Roman"/>
          <w:bCs w:val="0"/>
        </w:rPr>
        <w:t>般公共预算财政拨款基本支出决算表</w:t>
      </w:r>
      <w:bookmarkEnd w:id="267"/>
      <w:bookmarkEnd w:id="268"/>
      <w:bookmarkEnd w:id="269"/>
      <w:bookmarkEnd w:id="270"/>
      <w:bookmarkEnd w:id="271"/>
      <w:bookmarkEnd w:id="272"/>
      <w:bookmarkEnd w:id="273"/>
    </w:p>
    <w:p>
      <w:pPr>
        <w:pStyle w:val="3"/>
        <w:rPr>
          <w:rFonts w:ascii="Times New Roman" w:hAnsi="Times New Roman" w:eastAsia="仿宋" w:cs="Times New Roman"/>
        </w:rPr>
      </w:pPr>
      <w:bookmarkStart w:id="274" w:name="_Toc146881243"/>
      <w:bookmarkStart w:id="275" w:name="_Toc146882007"/>
      <w:bookmarkStart w:id="276" w:name="_Toc146881830"/>
      <w:bookmarkStart w:id="277" w:name="_Toc146881371"/>
      <w:bookmarkStart w:id="278" w:name="_Toc15396627"/>
      <w:bookmarkStart w:id="279" w:name="_Toc146882184"/>
      <w:bookmarkStart w:id="280" w:name="_Toc20092"/>
      <w:r>
        <w:rPr>
          <w:rStyle w:val="30"/>
          <w:rFonts w:ascii="Times New Roman" w:hAnsi="Times New Roman" w:eastAsia="仿宋" w:cs="Times New Roman"/>
          <w:bCs w:val="0"/>
        </w:rPr>
        <w:t>九、</w:t>
      </w:r>
      <w:r>
        <w:rPr>
          <w:rFonts w:ascii="Times New Roman" w:hAnsi="Times New Roman" w:eastAsia="仿宋" w:cs="Times New Roman"/>
        </w:rPr>
        <w:t>一</w:t>
      </w:r>
      <w:r>
        <w:rPr>
          <w:rStyle w:val="30"/>
          <w:rFonts w:ascii="Times New Roman" w:hAnsi="Times New Roman" w:eastAsia="仿宋" w:cs="Times New Roman"/>
          <w:bCs w:val="0"/>
        </w:rPr>
        <w:t>般公共预算财政拨款项目支出决算表</w:t>
      </w:r>
      <w:bookmarkEnd w:id="274"/>
      <w:bookmarkEnd w:id="275"/>
      <w:bookmarkEnd w:id="276"/>
      <w:bookmarkEnd w:id="277"/>
      <w:bookmarkEnd w:id="278"/>
      <w:bookmarkEnd w:id="279"/>
      <w:bookmarkEnd w:id="280"/>
    </w:p>
    <w:p>
      <w:pPr>
        <w:pStyle w:val="3"/>
        <w:rPr>
          <w:rFonts w:ascii="Times New Roman" w:hAnsi="Times New Roman" w:eastAsia="仿宋" w:cs="Times New Roman"/>
        </w:rPr>
      </w:pPr>
      <w:bookmarkStart w:id="281" w:name="_Toc15396628"/>
      <w:bookmarkStart w:id="282" w:name="_Toc4248"/>
      <w:bookmarkStart w:id="283" w:name="_Toc146881831"/>
      <w:bookmarkStart w:id="284" w:name="_Toc146882185"/>
      <w:bookmarkStart w:id="285" w:name="_Toc146881244"/>
      <w:bookmarkStart w:id="286" w:name="_Toc146881372"/>
      <w:bookmarkStart w:id="287" w:name="_Toc146882008"/>
      <w:r>
        <w:rPr>
          <w:rStyle w:val="30"/>
          <w:rFonts w:ascii="Times New Roman" w:hAnsi="Times New Roman" w:eastAsia="仿宋" w:cs="Times New Roman"/>
          <w:bCs w:val="0"/>
        </w:rPr>
        <w:t>十、</w:t>
      </w:r>
      <w:bookmarkEnd w:id="281"/>
      <w:r>
        <w:rPr>
          <w:rFonts w:ascii="Times New Roman" w:hAnsi="Times New Roman" w:eastAsia="仿宋" w:cs="Times New Roman"/>
        </w:rPr>
        <w:t>政</w:t>
      </w:r>
      <w:r>
        <w:rPr>
          <w:rStyle w:val="30"/>
          <w:rFonts w:ascii="Times New Roman" w:hAnsi="Times New Roman" w:eastAsia="仿宋" w:cs="Times New Roman"/>
          <w:bCs w:val="0"/>
        </w:rPr>
        <w:t>府性基金预算财政拨款收入支出决算表</w:t>
      </w:r>
      <w:bookmarkEnd w:id="282"/>
      <w:bookmarkEnd w:id="283"/>
      <w:bookmarkEnd w:id="284"/>
      <w:bookmarkEnd w:id="285"/>
      <w:bookmarkEnd w:id="286"/>
      <w:bookmarkEnd w:id="287"/>
    </w:p>
    <w:p>
      <w:pPr>
        <w:pStyle w:val="3"/>
        <w:rPr>
          <w:rFonts w:ascii="Times New Roman" w:hAnsi="Times New Roman" w:eastAsia="仿宋" w:cs="Times New Roman"/>
        </w:rPr>
      </w:pPr>
      <w:bookmarkStart w:id="288" w:name="_Toc15396629"/>
      <w:bookmarkStart w:id="289" w:name="_Toc146881373"/>
      <w:bookmarkStart w:id="290" w:name="_Toc146881245"/>
      <w:bookmarkStart w:id="291" w:name="_Toc27792"/>
      <w:bookmarkStart w:id="292" w:name="_Toc146882009"/>
      <w:bookmarkStart w:id="293" w:name="_Toc146881832"/>
      <w:bookmarkStart w:id="294" w:name="_Toc146882186"/>
      <w:r>
        <w:rPr>
          <w:rStyle w:val="30"/>
          <w:rFonts w:ascii="Times New Roman" w:hAnsi="Times New Roman" w:eastAsia="仿宋" w:cs="Times New Roman"/>
          <w:bCs w:val="0"/>
        </w:rPr>
        <w:t>十一、</w:t>
      </w:r>
      <w:bookmarkEnd w:id="288"/>
      <w:r>
        <w:rPr>
          <w:rFonts w:ascii="Times New Roman" w:hAnsi="Times New Roman" w:eastAsia="仿宋" w:cs="Times New Roman"/>
        </w:rPr>
        <w:t>国</w:t>
      </w:r>
      <w:r>
        <w:rPr>
          <w:rStyle w:val="30"/>
          <w:rFonts w:ascii="Times New Roman" w:hAnsi="Times New Roman" w:eastAsia="仿宋" w:cs="Times New Roman"/>
          <w:bCs w:val="0"/>
        </w:rPr>
        <w:t>有资本经营预算财政拨款收入支出决算表</w:t>
      </w:r>
      <w:bookmarkEnd w:id="289"/>
      <w:bookmarkEnd w:id="290"/>
      <w:bookmarkEnd w:id="291"/>
      <w:bookmarkEnd w:id="292"/>
      <w:bookmarkEnd w:id="293"/>
      <w:bookmarkEnd w:id="294"/>
    </w:p>
    <w:p>
      <w:pPr>
        <w:pStyle w:val="3"/>
        <w:rPr>
          <w:rFonts w:ascii="Times New Roman" w:hAnsi="Times New Roman" w:eastAsia="仿宋" w:cs="Times New Roman"/>
        </w:rPr>
      </w:pPr>
      <w:bookmarkStart w:id="295" w:name="_Toc15396630"/>
      <w:bookmarkStart w:id="296" w:name="_Toc146882010"/>
      <w:bookmarkStart w:id="297" w:name="_Toc146882187"/>
      <w:bookmarkStart w:id="298" w:name="_Toc146881246"/>
      <w:bookmarkStart w:id="299" w:name="_Toc146881374"/>
      <w:bookmarkStart w:id="300" w:name="_Toc20018"/>
      <w:bookmarkStart w:id="301" w:name="_Toc146881833"/>
      <w:r>
        <w:rPr>
          <w:rStyle w:val="30"/>
          <w:rFonts w:ascii="Times New Roman" w:hAnsi="Times New Roman" w:eastAsia="仿宋" w:cs="Times New Roman"/>
          <w:bCs w:val="0"/>
        </w:rPr>
        <w:t>十二、</w:t>
      </w:r>
      <w:bookmarkEnd w:id="295"/>
      <w:r>
        <w:rPr>
          <w:rStyle w:val="30"/>
          <w:rFonts w:ascii="Times New Roman" w:hAnsi="Times New Roman" w:eastAsia="仿宋" w:cs="Times New Roman"/>
          <w:bCs w:val="0"/>
        </w:rPr>
        <w:t>国有资本经营预算财政拨款支出决算表</w:t>
      </w:r>
      <w:bookmarkEnd w:id="296"/>
      <w:bookmarkEnd w:id="297"/>
      <w:bookmarkEnd w:id="298"/>
      <w:bookmarkEnd w:id="299"/>
      <w:bookmarkEnd w:id="300"/>
      <w:bookmarkEnd w:id="301"/>
    </w:p>
    <w:p>
      <w:pPr>
        <w:pStyle w:val="3"/>
        <w:rPr>
          <w:rStyle w:val="30"/>
          <w:rFonts w:ascii="Times New Roman" w:hAnsi="Times New Roman" w:eastAsia="仿宋" w:cs="Times New Roman"/>
          <w:bCs w:val="0"/>
        </w:rPr>
      </w:pPr>
      <w:bookmarkStart w:id="302" w:name="_Toc15396631"/>
      <w:bookmarkStart w:id="303" w:name="_Toc29530"/>
      <w:bookmarkStart w:id="304" w:name="_Toc146881247"/>
      <w:bookmarkStart w:id="305" w:name="_Toc146881834"/>
      <w:bookmarkStart w:id="306" w:name="_Toc146882011"/>
      <w:bookmarkStart w:id="307" w:name="_Toc146881375"/>
      <w:bookmarkStart w:id="308" w:name="_Toc146882188"/>
      <w:r>
        <w:rPr>
          <w:rStyle w:val="30"/>
          <w:rFonts w:ascii="Times New Roman" w:hAnsi="Times New Roman" w:eastAsia="仿宋" w:cs="Times New Roman"/>
          <w:bCs w:val="0"/>
        </w:rPr>
        <w:t>十三、</w:t>
      </w:r>
      <w:bookmarkEnd w:id="302"/>
      <w:r>
        <w:rPr>
          <w:rStyle w:val="30"/>
          <w:rFonts w:ascii="Times New Roman" w:hAnsi="Times New Roman" w:eastAsia="仿宋" w:cs="Times New Roman"/>
          <w:bCs w:val="0"/>
        </w:rPr>
        <w:t>财政拨款“三公”经费支出决算表</w:t>
      </w:r>
      <w:bookmarkEnd w:id="303"/>
      <w:bookmarkEnd w:id="304"/>
      <w:bookmarkEnd w:id="305"/>
      <w:bookmarkEnd w:id="306"/>
      <w:bookmarkEnd w:id="307"/>
      <w:bookmarkEnd w:id="308"/>
    </w:p>
    <w:p>
      <w:pPr>
        <w:rPr>
          <w:rStyle w:val="30"/>
          <w:rFonts w:ascii="Times New Roman" w:hAnsi="Times New Roman" w:eastAsia="仿宋" w:cs="Times New Roman"/>
          <w:bCs w:val="0"/>
        </w:rPr>
      </w:pPr>
    </w:p>
    <w:p>
      <w:pPr>
        <w:rPr>
          <w:rStyle w:val="30"/>
          <w:rFonts w:ascii="Times New Roman" w:hAnsi="Times New Roman" w:eastAsia="仿宋" w:cs="Times New Roman"/>
          <w:bCs w:val="0"/>
        </w:rPr>
      </w:pPr>
    </w:p>
    <w:p>
      <w:pPr>
        <w:rPr>
          <w:rStyle w:val="30"/>
          <w:rFonts w:ascii="Times New Roman" w:hAnsi="Times New Roman" w:eastAsia="仿宋" w:cs="Times New Roman"/>
          <w:bCs w:val="0"/>
        </w:rPr>
      </w:pPr>
    </w:p>
    <w:p>
      <w:pPr>
        <w:rPr>
          <w:rStyle w:val="30"/>
          <w:rFonts w:ascii="Times New Roman" w:hAnsi="Times New Roman" w:eastAsia="仿宋" w:cs="Times New Roman"/>
          <w:bCs w:val="0"/>
        </w:rPr>
      </w:pPr>
    </w:p>
    <w:p>
      <w:pPr>
        <w:rPr>
          <w:rStyle w:val="30"/>
          <w:rFonts w:ascii="Times New Roman" w:hAnsi="Times New Roman" w:eastAsia="仿宋" w:cs="Times New Roman"/>
          <w:bCs w:val="0"/>
        </w:rPr>
      </w:pPr>
    </w:p>
    <w:p>
      <w:pPr>
        <w:rPr>
          <w:rStyle w:val="30"/>
          <w:rFonts w:ascii="Times New Roman" w:hAnsi="Times New Roman" w:eastAsia="仿宋" w:cs="Times New Roman"/>
          <w:bCs w:val="0"/>
        </w:rPr>
        <w:sectPr>
          <w:pgSz w:w="11906" w:h="16838"/>
          <w:pgMar w:top="1701" w:right="1474" w:bottom="1134" w:left="1587" w:header="851" w:footer="992" w:gutter="0"/>
          <w:cols w:space="0" w:num="1"/>
          <w:titlePg/>
          <w:docGrid w:type="lines" w:linePitch="312" w:charSpace="0"/>
        </w:sectPr>
      </w:pPr>
    </w:p>
    <w:tbl>
      <w:tblPr>
        <w:tblStyle w:val="15"/>
        <w:tblpPr w:leftFromText="180" w:rightFromText="180" w:vertAnchor="text" w:horzAnchor="page" w:tblpXSpec="center" w:tblpY="617"/>
        <w:tblOverlap w:val="never"/>
        <w:tblW w:w="13931" w:type="dxa"/>
        <w:jc w:val="center"/>
        <w:tblLayout w:type="fixed"/>
        <w:tblCellMar>
          <w:top w:w="0" w:type="dxa"/>
          <w:left w:w="108" w:type="dxa"/>
          <w:bottom w:w="0" w:type="dxa"/>
          <w:right w:w="108" w:type="dxa"/>
        </w:tblCellMar>
      </w:tblPr>
      <w:tblGrid>
        <w:gridCol w:w="3983"/>
        <w:gridCol w:w="718"/>
        <w:gridCol w:w="1618"/>
        <w:gridCol w:w="4320"/>
        <w:gridCol w:w="828"/>
        <w:gridCol w:w="2464"/>
      </w:tblGrid>
      <w:tr>
        <w:tblPrEx>
          <w:tblCellMar>
            <w:top w:w="0" w:type="dxa"/>
            <w:left w:w="108" w:type="dxa"/>
            <w:bottom w:w="0" w:type="dxa"/>
            <w:right w:w="108" w:type="dxa"/>
          </w:tblCellMar>
        </w:tblPrEx>
        <w:trPr>
          <w:trHeight w:val="420" w:hRule="atLeast"/>
          <w:jc w:val="center"/>
        </w:trPr>
        <w:tc>
          <w:tcPr>
            <w:tcW w:w="13931" w:type="dxa"/>
            <w:gridSpan w:val="6"/>
            <w:tcBorders>
              <w:top w:val="nil"/>
              <w:left w:val="nil"/>
              <w:bottom w:val="nil"/>
              <w:right w:val="nil"/>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黑体_GBK" w:hAnsi="方正黑体_GBK" w:eastAsia="方正黑体_GBK" w:cs="方正黑体_GBK"/>
                <w:color w:val="000000"/>
                <w:kern w:val="0"/>
                <w:sz w:val="32"/>
                <w:szCs w:val="32"/>
              </w:rPr>
              <w:t>一、收入支出决算总表</w:t>
            </w:r>
          </w:p>
        </w:tc>
      </w:tr>
      <w:tr>
        <w:tblPrEx>
          <w:tblCellMar>
            <w:top w:w="0" w:type="dxa"/>
            <w:left w:w="108" w:type="dxa"/>
            <w:bottom w:w="0" w:type="dxa"/>
            <w:right w:w="108" w:type="dxa"/>
          </w:tblCellMar>
        </w:tblPrEx>
        <w:trPr>
          <w:trHeight w:val="255" w:hRule="atLeast"/>
          <w:jc w:val="center"/>
        </w:trPr>
        <w:tc>
          <w:tcPr>
            <w:tcW w:w="3983"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718"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618"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320"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828"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464"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财决公开01表</w:t>
            </w:r>
          </w:p>
        </w:tc>
      </w:tr>
      <w:tr>
        <w:tblPrEx>
          <w:tblCellMar>
            <w:top w:w="0" w:type="dxa"/>
            <w:left w:w="108" w:type="dxa"/>
            <w:bottom w:w="0" w:type="dxa"/>
            <w:right w:w="108" w:type="dxa"/>
          </w:tblCellMar>
        </w:tblPrEx>
        <w:trPr>
          <w:trHeight w:val="255" w:hRule="atLeast"/>
          <w:jc w:val="center"/>
        </w:trPr>
        <w:tc>
          <w:tcPr>
            <w:tcW w:w="3983" w:type="dxa"/>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单位名称</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达川区实验幼儿园</w:t>
            </w:r>
          </w:p>
        </w:tc>
        <w:tc>
          <w:tcPr>
            <w:tcW w:w="718"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618"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320"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828"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464"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万元</w:t>
            </w:r>
          </w:p>
        </w:tc>
      </w:tr>
      <w:tr>
        <w:tblPrEx>
          <w:tblCellMar>
            <w:top w:w="0" w:type="dxa"/>
            <w:left w:w="108" w:type="dxa"/>
            <w:bottom w:w="0" w:type="dxa"/>
            <w:right w:w="108" w:type="dxa"/>
          </w:tblCellMar>
        </w:tblPrEx>
        <w:trPr>
          <w:trHeight w:val="403" w:hRule="atLeast"/>
          <w:jc w:val="center"/>
        </w:trPr>
        <w:tc>
          <w:tcPr>
            <w:tcW w:w="6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收入</w:t>
            </w:r>
          </w:p>
        </w:tc>
        <w:tc>
          <w:tcPr>
            <w:tcW w:w="76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支出</w:t>
            </w: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金额</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金额</w:t>
            </w: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一、一般公共预算财政拨款收入</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915.83</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一、一般公共服务支出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二、政府性基金预算财政拨款收入</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二、外交支出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三、国有资本经营预算财政拨款收入</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三、国防支出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四、上级补助收入</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四、公共安全支出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五、事业收入</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五、教育支出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793.49</w:t>
            </w: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六、经营收入</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六、科学技术支出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七、附属单位上缴收入</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七、文化旅游体育与传媒支出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八、其他收入</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八、社会保障和就业支出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56.86</w:t>
            </w: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九、卫生健康支出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24.87</w:t>
            </w: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十、节能环保支出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十一、城乡社区支出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十二、农林水支出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十三、交通运输支出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十四、资源勘探工业信息等支出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十五、商业服务业等支出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十六、金融支出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十七、援助其他地区支出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十八、自然资源</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海洋气象等支出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十九、住房保障支出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40.61</w:t>
            </w: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二十、粮油物资储备支出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二十一、国有资本经营预算支出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90"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二十二、灾害防治及应急管理支出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53</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二十三、其他支出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二十四、债务还本支出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二十五、债务付息支出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56</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二十六、抗疫特别国债安排的支出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57</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本年收入合计</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915.83</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本年支出合计</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58</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915.83</w:t>
            </w: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用事业基金弥补收支差额</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结余分配</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59</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年初结转和结余</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年末结转结余</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61</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403" w:hRule="atLeast"/>
          <w:jc w:val="center"/>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总计</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31</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915.83</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总计</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62</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915.83</w:t>
            </w:r>
          </w:p>
        </w:tc>
      </w:tr>
    </w:tbl>
    <w:p>
      <w:pPr>
        <w:widowControl/>
        <w:adjustRightInd w:val="0"/>
        <w:jc w:val="center"/>
        <w:textAlignment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br w:type="page"/>
      </w:r>
    </w:p>
    <w:tbl>
      <w:tblPr>
        <w:tblStyle w:val="15"/>
        <w:tblW w:w="5000" w:type="pct"/>
        <w:jc w:val="center"/>
        <w:tblLayout w:type="autofit"/>
        <w:tblCellMar>
          <w:top w:w="0" w:type="dxa"/>
          <w:left w:w="108" w:type="dxa"/>
          <w:bottom w:w="0" w:type="dxa"/>
          <w:right w:w="108" w:type="dxa"/>
        </w:tblCellMar>
      </w:tblPr>
      <w:tblGrid>
        <w:gridCol w:w="2816"/>
        <w:gridCol w:w="416"/>
        <w:gridCol w:w="416"/>
        <w:gridCol w:w="3616"/>
        <w:gridCol w:w="1024"/>
        <w:gridCol w:w="1024"/>
        <w:gridCol w:w="811"/>
        <w:gridCol w:w="629"/>
        <w:gridCol w:w="630"/>
        <w:gridCol w:w="994"/>
        <w:gridCol w:w="1617"/>
      </w:tblGrid>
      <w:tr>
        <w:tblPrEx>
          <w:tblCellMar>
            <w:top w:w="0" w:type="dxa"/>
            <w:left w:w="108" w:type="dxa"/>
            <w:bottom w:w="0" w:type="dxa"/>
            <w:right w:w="108" w:type="dxa"/>
          </w:tblCellMar>
        </w:tblPrEx>
        <w:trPr>
          <w:trHeight w:val="540" w:hRule="atLeast"/>
          <w:jc w:val="center"/>
        </w:trPr>
        <w:tc>
          <w:tcPr>
            <w:tcW w:w="5000" w:type="pct"/>
            <w:gridSpan w:val="11"/>
            <w:tcBorders>
              <w:top w:val="nil"/>
              <w:left w:val="nil"/>
              <w:bottom w:val="nil"/>
              <w:right w:val="nil"/>
            </w:tcBorders>
            <w:shd w:val="clear" w:color="auto" w:fill="auto"/>
            <w:noWrap/>
            <w:vAlign w:val="center"/>
          </w:tcPr>
          <w:p>
            <w:pPr>
              <w:widowControl/>
              <w:adjustRightInd w:val="0"/>
              <w:jc w:val="center"/>
              <w:textAlignment w:val="center"/>
              <w:rPr>
                <w:rFonts w:ascii="方正小标宋简体" w:hAnsi="方正小标宋简体" w:eastAsia="方正小标宋简体" w:cs="方正小标宋简体"/>
                <w:color w:val="000000"/>
                <w:sz w:val="32"/>
                <w:szCs w:val="32"/>
              </w:rPr>
            </w:pPr>
            <w:r>
              <w:rPr>
                <w:rFonts w:hint="eastAsia" w:ascii="方正黑体_GBK" w:hAnsi="方正黑体_GBK" w:eastAsia="方正黑体_GBK" w:cs="方正黑体_GBK"/>
                <w:color w:val="000000"/>
                <w:kern w:val="0"/>
                <w:sz w:val="32"/>
                <w:szCs w:val="32"/>
              </w:rPr>
              <w:t>二、收入决算表</w:t>
            </w:r>
          </w:p>
        </w:tc>
      </w:tr>
      <w:tr>
        <w:tblPrEx>
          <w:tblCellMar>
            <w:top w:w="0" w:type="dxa"/>
            <w:left w:w="108" w:type="dxa"/>
            <w:bottom w:w="0" w:type="dxa"/>
            <w:right w:w="108" w:type="dxa"/>
          </w:tblCellMar>
        </w:tblPrEx>
        <w:trPr>
          <w:trHeight w:val="255" w:hRule="atLeast"/>
          <w:jc w:val="center"/>
        </w:trPr>
        <w:tc>
          <w:tcPr>
            <w:tcW w:w="958" w:type="pct"/>
            <w:tcBorders>
              <w:top w:val="nil"/>
              <w:left w:val="nil"/>
              <w:bottom w:val="nil"/>
              <w:right w:val="nil"/>
            </w:tcBorders>
            <w:shd w:val="clear" w:color="auto" w:fill="auto"/>
            <w:noWrap/>
            <w:vAlign w:val="center"/>
          </w:tcPr>
          <w:p>
            <w:pPr>
              <w:widowControl/>
              <w:adjustRightInd w:val="0"/>
              <w:jc w:val="right"/>
              <w:rPr>
                <w:rFonts w:ascii="宋体" w:hAnsi="宋体" w:cs="宋体"/>
                <w:color w:val="000000"/>
                <w:sz w:val="20"/>
                <w:szCs w:val="20"/>
              </w:rPr>
            </w:pPr>
          </w:p>
        </w:tc>
        <w:tc>
          <w:tcPr>
            <w:tcW w:w="146" w:type="pct"/>
            <w:tcBorders>
              <w:top w:val="nil"/>
              <w:left w:val="nil"/>
              <w:bottom w:val="nil"/>
              <w:right w:val="nil"/>
            </w:tcBorders>
            <w:shd w:val="clear" w:color="auto" w:fill="auto"/>
            <w:noWrap/>
            <w:vAlign w:val="center"/>
          </w:tcPr>
          <w:p>
            <w:pPr>
              <w:widowControl/>
              <w:adjustRightInd w:val="0"/>
              <w:jc w:val="right"/>
              <w:rPr>
                <w:rFonts w:ascii="宋体" w:hAnsi="宋体" w:cs="宋体"/>
                <w:color w:val="000000"/>
                <w:sz w:val="20"/>
                <w:szCs w:val="20"/>
              </w:rPr>
            </w:pPr>
          </w:p>
        </w:tc>
        <w:tc>
          <w:tcPr>
            <w:tcW w:w="146" w:type="pct"/>
            <w:tcBorders>
              <w:top w:val="nil"/>
              <w:left w:val="nil"/>
              <w:bottom w:val="nil"/>
              <w:right w:val="nil"/>
            </w:tcBorders>
            <w:shd w:val="clear" w:color="auto" w:fill="auto"/>
            <w:noWrap/>
            <w:vAlign w:val="center"/>
          </w:tcPr>
          <w:p>
            <w:pPr>
              <w:widowControl/>
              <w:adjustRightInd w:val="0"/>
              <w:jc w:val="right"/>
              <w:rPr>
                <w:rFonts w:ascii="宋体" w:hAnsi="宋体" w:cs="宋体"/>
                <w:color w:val="000000"/>
                <w:sz w:val="20"/>
                <w:szCs w:val="20"/>
              </w:rPr>
            </w:pPr>
          </w:p>
        </w:tc>
        <w:tc>
          <w:tcPr>
            <w:tcW w:w="1275" w:type="pct"/>
            <w:tcBorders>
              <w:top w:val="nil"/>
              <w:left w:val="nil"/>
              <w:bottom w:val="nil"/>
              <w:right w:val="nil"/>
            </w:tcBorders>
            <w:shd w:val="clear" w:color="auto" w:fill="auto"/>
            <w:noWrap/>
            <w:vAlign w:val="center"/>
          </w:tcPr>
          <w:p>
            <w:pPr>
              <w:widowControl/>
              <w:adjustRightInd w:val="0"/>
              <w:jc w:val="right"/>
              <w:rPr>
                <w:rFonts w:ascii="宋体" w:hAnsi="宋体" w:cs="宋体"/>
                <w:color w:val="000000"/>
                <w:sz w:val="20"/>
                <w:szCs w:val="20"/>
              </w:rPr>
            </w:pPr>
          </w:p>
        </w:tc>
        <w:tc>
          <w:tcPr>
            <w:tcW w:w="383" w:type="pct"/>
            <w:tcBorders>
              <w:top w:val="nil"/>
              <w:left w:val="nil"/>
              <w:bottom w:val="nil"/>
              <w:right w:val="nil"/>
            </w:tcBorders>
            <w:shd w:val="clear" w:color="auto" w:fill="auto"/>
            <w:noWrap/>
            <w:vAlign w:val="center"/>
          </w:tcPr>
          <w:p>
            <w:pPr>
              <w:widowControl/>
              <w:adjustRightInd w:val="0"/>
              <w:jc w:val="right"/>
              <w:rPr>
                <w:rFonts w:ascii="宋体" w:hAnsi="宋体" w:cs="宋体"/>
                <w:color w:val="000000"/>
                <w:sz w:val="20"/>
                <w:szCs w:val="20"/>
              </w:rPr>
            </w:pPr>
          </w:p>
        </w:tc>
        <w:tc>
          <w:tcPr>
            <w:tcW w:w="383" w:type="pct"/>
            <w:tcBorders>
              <w:top w:val="nil"/>
              <w:left w:val="nil"/>
              <w:bottom w:val="nil"/>
              <w:right w:val="nil"/>
            </w:tcBorders>
            <w:shd w:val="clear" w:color="auto" w:fill="auto"/>
            <w:noWrap/>
            <w:vAlign w:val="center"/>
          </w:tcPr>
          <w:p>
            <w:pPr>
              <w:widowControl/>
              <w:adjustRightInd w:val="0"/>
              <w:jc w:val="right"/>
              <w:rPr>
                <w:rFonts w:ascii="宋体" w:hAnsi="宋体" w:cs="宋体"/>
                <w:color w:val="000000"/>
                <w:sz w:val="20"/>
                <w:szCs w:val="20"/>
              </w:rPr>
            </w:pPr>
          </w:p>
        </w:tc>
        <w:tc>
          <w:tcPr>
            <w:tcW w:w="307" w:type="pct"/>
            <w:tcBorders>
              <w:top w:val="nil"/>
              <w:left w:val="nil"/>
              <w:bottom w:val="nil"/>
              <w:right w:val="nil"/>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nil"/>
              <w:left w:val="nil"/>
              <w:bottom w:val="nil"/>
              <w:right w:val="nil"/>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nil"/>
              <w:left w:val="nil"/>
              <w:bottom w:val="nil"/>
              <w:right w:val="nil"/>
            </w:tcBorders>
            <w:shd w:val="clear" w:color="auto" w:fill="auto"/>
            <w:noWrap/>
            <w:vAlign w:val="center"/>
          </w:tcPr>
          <w:p>
            <w:pPr>
              <w:widowControl/>
              <w:adjustRightInd w:val="0"/>
              <w:jc w:val="right"/>
              <w:rPr>
                <w:rFonts w:ascii="宋体" w:hAnsi="宋体" w:cs="宋体"/>
                <w:color w:val="000000"/>
                <w:sz w:val="20"/>
                <w:szCs w:val="20"/>
              </w:rPr>
            </w:pPr>
          </w:p>
        </w:tc>
        <w:tc>
          <w:tcPr>
            <w:tcW w:w="372" w:type="pct"/>
            <w:tcBorders>
              <w:top w:val="nil"/>
              <w:left w:val="nil"/>
              <w:bottom w:val="nil"/>
              <w:right w:val="nil"/>
            </w:tcBorders>
            <w:shd w:val="clear" w:color="auto" w:fill="auto"/>
            <w:noWrap/>
            <w:vAlign w:val="center"/>
          </w:tcPr>
          <w:p>
            <w:pPr>
              <w:widowControl/>
              <w:adjustRightInd w:val="0"/>
              <w:jc w:val="right"/>
              <w:rPr>
                <w:rFonts w:ascii="宋体" w:hAnsi="宋体" w:cs="宋体"/>
                <w:color w:val="000000"/>
                <w:sz w:val="20"/>
                <w:szCs w:val="20"/>
              </w:rPr>
            </w:pPr>
          </w:p>
        </w:tc>
        <w:tc>
          <w:tcPr>
            <w:tcW w:w="540" w:type="pct"/>
            <w:tcBorders>
              <w:top w:val="nil"/>
              <w:left w:val="nil"/>
              <w:bottom w:val="nil"/>
              <w:right w:val="nil"/>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财决公开02表</w:t>
            </w:r>
          </w:p>
        </w:tc>
      </w:tr>
      <w:tr>
        <w:tblPrEx>
          <w:tblCellMar>
            <w:top w:w="0" w:type="dxa"/>
            <w:left w:w="108" w:type="dxa"/>
            <w:bottom w:w="0" w:type="dxa"/>
            <w:right w:w="108" w:type="dxa"/>
          </w:tblCellMar>
        </w:tblPrEx>
        <w:trPr>
          <w:trHeight w:val="132" w:hRule="atLeast"/>
          <w:jc w:val="center"/>
        </w:trPr>
        <w:tc>
          <w:tcPr>
            <w:tcW w:w="958" w:type="pct"/>
            <w:tcBorders>
              <w:top w:val="nil"/>
              <w:left w:val="nil"/>
              <w:bottom w:val="nil"/>
              <w:right w:val="nil"/>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单位名称</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达川区实验幼儿园</w:t>
            </w:r>
          </w:p>
        </w:tc>
        <w:tc>
          <w:tcPr>
            <w:tcW w:w="146" w:type="pct"/>
            <w:tcBorders>
              <w:top w:val="nil"/>
              <w:left w:val="nil"/>
              <w:bottom w:val="nil"/>
              <w:right w:val="nil"/>
            </w:tcBorders>
            <w:shd w:val="clear" w:color="auto" w:fill="auto"/>
            <w:noWrap/>
            <w:vAlign w:val="center"/>
          </w:tcPr>
          <w:p>
            <w:pPr>
              <w:widowControl/>
              <w:adjustRightInd w:val="0"/>
              <w:jc w:val="right"/>
              <w:rPr>
                <w:rFonts w:ascii="宋体" w:hAnsi="宋体" w:cs="宋体"/>
                <w:color w:val="000000"/>
                <w:sz w:val="20"/>
                <w:szCs w:val="20"/>
              </w:rPr>
            </w:pPr>
          </w:p>
        </w:tc>
        <w:tc>
          <w:tcPr>
            <w:tcW w:w="146" w:type="pct"/>
            <w:tcBorders>
              <w:top w:val="nil"/>
              <w:left w:val="nil"/>
              <w:bottom w:val="nil"/>
              <w:right w:val="nil"/>
            </w:tcBorders>
            <w:shd w:val="clear" w:color="auto" w:fill="auto"/>
            <w:noWrap/>
            <w:vAlign w:val="center"/>
          </w:tcPr>
          <w:p>
            <w:pPr>
              <w:widowControl/>
              <w:adjustRightInd w:val="0"/>
              <w:jc w:val="right"/>
              <w:rPr>
                <w:rFonts w:ascii="宋体" w:hAnsi="宋体" w:cs="宋体"/>
                <w:color w:val="000000"/>
                <w:sz w:val="20"/>
                <w:szCs w:val="20"/>
              </w:rPr>
            </w:pPr>
          </w:p>
        </w:tc>
        <w:tc>
          <w:tcPr>
            <w:tcW w:w="1275" w:type="pct"/>
            <w:tcBorders>
              <w:top w:val="nil"/>
              <w:left w:val="nil"/>
              <w:bottom w:val="nil"/>
              <w:right w:val="nil"/>
            </w:tcBorders>
            <w:shd w:val="clear" w:color="auto" w:fill="auto"/>
            <w:noWrap/>
            <w:vAlign w:val="center"/>
          </w:tcPr>
          <w:p>
            <w:pPr>
              <w:widowControl/>
              <w:adjustRightInd w:val="0"/>
              <w:jc w:val="right"/>
              <w:rPr>
                <w:rFonts w:ascii="宋体" w:hAnsi="宋体" w:cs="宋体"/>
                <w:color w:val="000000"/>
                <w:sz w:val="20"/>
                <w:szCs w:val="20"/>
              </w:rPr>
            </w:pPr>
          </w:p>
        </w:tc>
        <w:tc>
          <w:tcPr>
            <w:tcW w:w="383" w:type="pct"/>
            <w:tcBorders>
              <w:top w:val="nil"/>
              <w:left w:val="nil"/>
              <w:bottom w:val="nil"/>
              <w:right w:val="nil"/>
            </w:tcBorders>
            <w:shd w:val="clear" w:color="auto" w:fill="auto"/>
            <w:noWrap/>
            <w:vAlign w:val="center"/>
          </w:tcPr>
          <w:p>
            <w:pPr>
              <w:widowControl/>
              <w:adjustRightInd w:val="0"/>
              <w:jc w:val="right"/>
              <w:rPr>
                <w:rFonts w:ascii="宋体" w:hAnsi="宋体" w:cs="宋体"/>
                <w:color w:val="000000"/>
                <w:sz w:val="20"/>
                <w:szCs w:val="20"/>
              </w:rPr>
            </w:pPr>
          </w:p>
        </w:tc>
        <w:tc>
          <w:tcPr>
            <w:tcW w:w="383" w:type="pct"/>
            <w:tcBorders>
              <w:top w:val="nil"/>
              <w:left w:val="nil"/>
              <w:bottom w:val="nil"/>
              <w:right w:val="nil"/>
            </w:tcBorders>
            <w:shd w:val="clear" w:color="auto" w:fill="auto"/>
            <w:noWrap/>
            <w:vAlign w:val="center"/>
          </w:tcPr>
          <w:p>
            <w:pPr>
              <w:widowControl/>
              <w:adjustRightInd w:val="0"/>
              <w:jc w:val="right"/>
              <w:rPr>
                <w:rFonts w:ascii="宋体" w:hAnsi="宋体" w:cs="宋体"/>
                <w:color w:val="000000"/>
                <w:sz w:val="20"/>
                <w:szCs w:val="20"/>
              </w:rPr>
            </w:pPr>
          </w:p>
        </w:tc>
        <w:tc>
          <w:tcPr>
            <w:tcW w:w="307" w:type="pct"/>
            <w:tcBorders>
              <w:top w:val="nil"/>
              <w:left w:val="nil"/>
              <w:bottom w:val="nil"/>
              <w:right w:val="nil"/>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nil"/>
              <w:left w:val="nil"/>
              <w:bottom w:val="nil"/>
              <w:right w:val="nil"/>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nil"/>
              <w:left w:val="nil"/>
              <w:bottom w:val="nil"/>
              <w:right w:val="nil"/>
            </w:tcBorders>
            <w:shd w:val="clear" w:color="auto" w:fill="auto"/>
            <w:noWrap/>
            <w:vAlign w:val="center"/>
          </w:tcPr>
          <w:p>
            <w:pPr>
              <w:widowControl/>
              <w:adjustRightInd w:val="0"/>
              <w:jc w:val="right"/>
              <w:rPr>
                <w:rFonts w:ascii="宋体" w:hAnsi="宋体" w:cs="宋体"/>
                <w:color w:val="000000"/>
                <w:sz w:val="20"/>
                <w:szCs w:val="20"/>
              </w:rPr>
            </w:pPr>
          </w:p>
        </w:tc>
        <w:tc>
          <w:tcPr>
            <w:tcW w:w="372" w:type="pct"/>
            <w:tcBorders>
              <w:top w:val="nil"/>
              <w:left w:val="nil"/>
              <w:bottom w:val="nil"/>
              <w:right w:val="nil"/>
            </w:tcBorders>
            <w:shd w:val="clear" w:color="auto" w:fill="auto"/>
            <w:noWrap/>
            <w:vAlign w:val="center"/>
          </w:tcPr>
          <w:p>
            <w:pPr>
              <w:widowControl/>
              <w:adjustRightInd w:val="0"/>
              <w:jc w:val="right"/>
              <w:rPr>
                <w:rFonts w:ascii="宋体" w:hAnsi="宋体" w:cs="宋体"/>
                <w:color w:val="000000"/>
                <w:sz w:val="20"/>
                <w:szCs w:val="20"/>
              </w:rPr>
            </w:pPr>
          </w:p>
        </w:tc>
        <w:tc>
          <w:tcPr>
            <w:tcW w:w="540" w:type="pct"/>
            <w:tcBorders>
              <w:top w:val="nil"/>
              <w:left w:val="nil"/>
              <w:bottom w:val="nil"/>
              <w:right w:val="nil"/>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万元</w:t>
            </w:r>
          </w:p>
        </w:tc>
      </w:tr>
      <w:tr>
        <w:tblPrEx>
          <w:tblCellMar>
            <w:top w:w="0" w:type="dxa"/>
            <w:left w:w="108" w:type="dxa"/>
            <w:bottom w:w="0" w:type="dxa"/>
            <w:right w:w="108" w:type="dxa"/>
          </w:tblCellMar>
        </w:tblPrEx>
        <w:trPr>
          <w:trHeight w:val="312" w:hRule="atLeast"/>
          <w:jc w:val="center"/>
        </w:trPr>
        <w:tc>
          <w:tcPr>
            <w:tcW w:w="1251" w:type="pct"/>
            <w:gridSpan w:val="3"/>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1275" w:type="pct"/>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383"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val="0"/>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本年收入合计</w:t>
            </w:r>
          </w:p>
        </w:tc>
        <w:tc>
          <w:tcPr>
            <w:tcW w:w="383"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val="0"/>
              <w:jc w:val="center"/>
              <w:textAlignment w:val="center"/>
              <w:rPr>
                <w:rFonts w:ascii="宋体" w:hAnsi="宋体" w:cs="宋体"/>
                <w:color w:val="000000"/>
                <w:sz w:val="20"/>
                <w:szCs w:val="20"/>
              </w:rPr>
            </w:pPr>
            <w:r>
              <w:rPr>
                <w:rFonts w:hint="eastAsia" w:ascii="宋体" w:hAnsi="宋体" w:cs="宋体"/>
                <w:color w:val="000000"/>
                <w:kern w:val="0"/>
                <w:sz w:val="20"/>
                <w:szCs w:val="20"/>
              </w:rPr>
              <w:t>财政拨款收入</w:t>
            </w:r>
          </w:p>
        </w:tc>
        <w:tc>
          <w:tcPr>
            <w:tcW w:w="307"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val="0"/>
              <w:jc w:val="center"/>
              <w:textAlignment w:val="center"/>
              <w:rPr>
                <w:rFonts w:ascii="宋体" w:hAnsi="宋体" w:cs="宋体"/>
                <w:color w:val="000000"/>
                <w:sz w:val="20"/>
                <w:szCs w:val="20"/>
              </w:rPr>
            </w:pPr>
            <w:r>
              <w:rPr>
                <w:rFonts w:hint="eastAsia" w:ascii="宋体" w:hAnsi="宋体" w:cs="宋体"/>
                <w:color w:val="000000"/>
                <w:kern w:val="0"/>
                <w:sz w:val="20"/>
                <w:szCs w:val="20"/>
              </w:rPr>
              <w:t>上级补助收入</w:t>
            </w:r>
          </w:p>
        </w:tc>
        <w:tc>
          <w:tcPr>
            <w:tcW w:w="242"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val="0"/>
              <w:jc w:val="center"/>
              <w:textAlignment w:val="center"/>
              <w:rPr>
                <w:rFonts w:ascii="宋体" w:hAnsi="宋体" w:cs="宋体"/>
                <w:color w:val="000000"/>
                <w:sz w:val="20"/>
                <w:szCs w:val="20"/>
              </w:rPr>
            </w:pPr>
            <w:r>
              <w:rPr>
                <w:rFonts w:hint="eastAsia" w:ascii="宋体" w:hAnsi="宋体" w:cs="宋体"/>
                <w:color w:val="000000"/>
                <w:kern w:val="0"/>
                <w:sz w:val="20"/>
                <w:szCs w:val="20"/>
              </w:rPr>
              <w:t>事业收入</w:t>
            </w:r>
          </w:p>
        </w:tc>
        <w:tc>
          <w:tcPr>
            <w:tcW w:w="242"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val="0"/>
              <w:jc w:val="center"/>
              <w:textAlignment w:val="center"/>
              <w:rPr>
                <w:rFonts w:ascii="宋体" w:hAnsi="宋体" w:cs="宋体"/>
                <w:color w:val="000000"/>
                <w:sz w:val="20"/>
                <w:szCs w:val="20"/>
              </w:rPr>
            </w:pPr>
            <w:r>
              <w:rPr>
                <w:rFonts w:hint="eastAsia" w:ascii="宋体" w:hAnsi="宋体" w:cs="宋体"/>
                <w:color w:val="000000"/>
                <w:kern w:val="0"/>
                <w:sz w:val="20"/>
                <w:szCs w:val="20"/>
              </w:rPr>
              <w:t>经营收入</w:t>
            </w:r>
          </w:p>
        </w:tc>
        <w:tc>
          <w:tcPr>
            <w:tcW w:w="372"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val="0"/>
              <w:jc w:val="center"/>
              <w:textAlignment w:val="center"/>
              <w:rPr>
                <w:rFonts w:ascii="宋体" w:hAnsi="宋体" w:cs="宋体"/>
                <w:color w:val="000000"/>
                <w:sz w:val="20"/>
                <w:szCs w:val="20"/>
              </w:rPr>
            </w:pPr>
            <w:r>
              <w:rPr>
                <w:rFonts w:hint="eastAsia" w:ascii="宋体" w:hAnsi="宋体" w:cs="宋体"/>
                <w:color w:val="000000"/>
                <w:kern w:val="0"/>
                <w:sz w:val="20"/>
                <w:szCs w:val="20"/>
              </w:rPr>
              <w:t>附属单位上缴收入</w:t>
            </w:r>
          </w:p>
        </w:tc>
        <w:tc>
          <w:tcPr>
            <w:tcW w:w="540"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val="0"/>
              <w:jc w:val="center"/>
              <w:textAlignment w:val="center"/>
              <w:rPr>
                <w:rFonts w:ascii="宋体" w:hAnsi="宋体" w:cs="宋体"/>
                <w:color w:val="000000"/>
                <w:sz w:val="20"/>
                <w:szCs w:val="20"/>
              </w:rPr>
            </w:pPr>
            <w:r>
              <w:rPr>
                <w:rFonts w:hint="eastAsia" w:ascii="宋体" w:hAnsi="宋体" w:cs="宋体"/>
                <w:color w:val="000000"/>
                <w:kern w:val="0"/>
                <w:sz w:val="20"/>
                <w:szCs w:val="20"/>
              </w:rPr>
              <w:t>其他收入</w:t>
            </w:r>
          </w:p>
        </w:tc>
      </w:tr>
      <w:tr>
        <w:tblPrEx>
          <w:tblCellMar>
            <w:top w:w="0" w:type="dxa"/>
            <w:left w:w="108" w:type="dxa"/>
            <w:bottom w:w="0" w:type="dxa"/>
            <w:right w:w="108" w:type="dxa"/>
          </w:tblCellMar>
        </w:tblPrEx>
        <w:trPr>
          <w:trHeight w:val="312" w:hRule="atLeast"/>
          <w:jc w:val="center"/>
        </w:trPr>
        <w:tc>
          <w:tcPr>
            <w:tcW w:w="1251" w:type="pct"/>
            <w:gridSpan w:val="3"/>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center"/>
              <w:rPr>
                <w:rFonts w:ascii="宋体" w:hAnsi="宋体" w:cs="宋体"/>
                <w:color w:val="000000"/>
                <w:sz w:val="20"/>
                <w:szCs w:val="20"/>
              </w:rPr>
            </w:pPr>
          </w:p>
        </w:tc>
        <w:tc>
          <w:tcPr>
            <w:tcW w:w="1275" w:type="pct"/>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center"/>
              <w:rPr>
                <w:rFonts w:ascii="宋体" w:hAnsi="宋体" w:cs="宋体"/>
                <w:color w:val="000000"/>
                <w:sz w:val="20"/>
                <w:szCs w:val="20"/>
              </w:rPr>
            </w:pPr>
          </w:p>
        </w:tc>
        <w:tc>
          <w:tcPr>
            <w:tcW w:w="383"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djustRightInd w:val="0"/>
              <w:jc w:val="center"/>
              <w:rPr>
                <w:rFonts w:ascii="宋体" w:hAnsi="宋体" w:cs="宋体"/>
                <w:color w:val="000000"/>
                <w:sz w:val="20"/>
                <w:szCs w:val="20"/>
              </w:rPr>
            </w:pPr>
          </w:p>
        </w:tc>
        <w:tc>
          <w:tcPr>
            <w:tcW w:w="383"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djustRightInd w:val="0"/>
              <w:jc w:val="center"/>
              <w:rPr>
                <w:rFonts w:ascii="宋体" w:hAnsi="宋体" w:cs="宋体"/>
                <w:color w:val="000000"/>
                <w:sz w:val="20"/>
                <w:szCs w:val="20"/>
              </w:rPr>
            </w:pPr>
          </w:p>
        </w:tc>
        <w:tc>
          <w:tcPr>
            <w:tcW w:w="307"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djustRightInd w:val="0"/>
              <w:jc w:val="center"/>
              <w:rPr>
                <w:rFonts w:ascii="宋体" w:hAnsi="宋体" w:cs="宋体"/>
                <w:color w:val="000000"/>
                <w:sz w:val="20"/>
                <w:szCs w:val="20"/>
              </w:rPr>
            </w:pPr>
          </w:p>
        </w:tc>
        <w:tc>
          <w:tcPr>
            <w:tcW w:w="242"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djustRightInd w:val="0"/>
              <w:jc w:val="center"/>
              <w:rPr>
                <w:rFonts w:ascii="宋体" w:hAnsi="宋体" w:cs="宋体"/>
                <w:color w:val="000000"/>
                <w:sz w:val="20"/>
                <w:szCs w:val="20"/>
              </w:rPr>
            </w:pPr>
          </w:p>
        </w:tc>
        <w:tc>
          <w:tcPr>
            <w:tcW w:w="242"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djustRightInd w:val="0"/>
              <w:jc w:val="center"/>
              <w:rPr>
                <w:rFonts w:ascii="宋体" w:hAnsi="宋体" w:cs="宋体"/>
                <w:color w:val="000000"/>
                <w:sz w:val="20"/>
                <w:szCs w:val="20"/>
              </w:rPr>
            </w:pPr>
          </w:p>
        </w:tc>
        <w:tc>
          <w:tcPr>
            <w:tcW w:w="372"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djustRightInd w:val="0"/>
              <w:jc w:val="center"/>
              <w:rPr>
                <w:rFonts w:ascii="宋体" w:hAnsi="宋体" w:cs="宋体"/>
                <w:color w:val="000000"/>
                <w:sz w:val="20"/>
                <w:szCs w:val="20"/>
              </w:rPr>
            </w:pPr>
          </w:p>
        </w:tc>
        <w:tc>
          <w:tcPr>
            <w:tcW w:w="540"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djustRightInd w:val="0"/>
              <w:jc w:val="center"/>
              <w:rPr>
                <w:rFonts w:ascii="宋体" w:hAnsi="宋体" w:cs="宋体"/>
                <w:color w:val="000000"/>
                <w:sz w:val="20"/>
                <w:szCs w:val="20"/>
              </w:rPr>
            </w:pPr>
          </w:p>
        </w:tc>
      </w:tr>
      <w:tr>
        <w:tblPrEx>
          <w:tblCellMar>
            <w:top w:w="0" w:type="dxa"/>
            <w:left w:w="108" w:type="dxa"/>
            <w:bottom w:w="0" w:type="dxa"/>
            <w:right w:w="108" w:type="dxa"/>
          </w:tblCellMar>
        </w:tblPrEx>
        <w:trPr>
          <w:trHeight w:val="312" w:hRule="exact"/>
          <w:jc w:val="center"/>
        </w:trPr>
        <w:tc>
          <w:tcPr>
            <w:tcW w:w="1251" w:type="pct"/>
            <w:gridSpan w:val="3"/>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center"/>
              <w:rPr>
                <w:rFonts w:ascii="宋体" w:hAnsi="宋体" w:cs="宋体"/>
                <w:color w:val="000000"/>
                <w:sz w:val="20"/>
                <w:szCs w:val="20"/>
              </w:rPr>
            </w:pPr>
          </w:p>
        </w:tc>
        <w:tc>
          <w:tcPr>
            <w:tcW w:w="1275" w:type="pct"/>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center"/>
              <w:rPr>
                <w:rFonts w:ascii="宋体" w:hAnsi="宋体" w:cs="宋体"/>
                <w:color w:val="000000"/>
                <w:sz w:val="20"/>
                <w:szCs w:val="20"/>
              </w:rPr>
            </w:pPr>
          </w:p>
        </w:tc>
        <w:tc>
          <w:tcPr>
            <w:tcW w:w="383"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djustRightInd w:val="0"/>
              <w:jc w:val="center"/>
              <w:rPr>
                <w:rFonts w:ascii="宋体" w:hAnsi="宋体" w:cs="宋体"/>
                <w:color w:val="000000"/>
                <w:sz w:val="20"/>
                <w:szCs w:val="20"/>
              </w:rPr>
            </w:pPr>
          </w:p>
        </w:tc>
        <w:tc>
          <w:tcPr>
            <w:tcW w:w="383"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djustRightInd w:val="0"/>
              <w:jc w:val="center"/>
              <w:rPr>
                <w:rFonts w:ascii="宋体" w:hAnsi="宋体" w:cs="宋体"/>
                <w:color w:val="000000"/>
                <w:sz w:val="20"/>
                <w:szCs w:val="20"/>
              </w:rPr>
            </w:pPr>
          </w:p>
        </w:tc>
        <w:tc>
          <w:tcPr>
            <w:tcW w:w="307"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djustRightInd w:val="0"/>
              <w:jc w:val="center"/>
              <w:rPr>
                <w:rFonts w:ascii="宋体" w:hAnsi="宋体" w:cs="宋体"/>
                <w:color w:val="000000"/>
                <w:sz w:val="20"/>
                <w:szCs w:val="20"/>
              </w:rPr>
            </w:pPr>
          </w:p>
        </w:tc>
        <w:tc>
          <w:tcPr>
            <w:tcW w:w="242"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djustRightInd w:val="0"/>
              <w:jc w:val="center"/>
              <w:rPr>
                <w:rFonts w:ascii="宋体" w:hAnsi="宋体" w:cs="宋体"/>
                <w:color w:val="000000"/>
                <w:sz w:val="20"/>
                <w:szCs w:val="20"/>
              </w:rPr>
            </w:pPr>
          </w:p>
        </w:tc>
        <w:tc>
          <w:tcPr>
            <w:tcW w:w="242"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djustRightInd w:val="0"/>
              <w:jc w:val="center"/>
              <w:rPr>
                <w:rFonts w:ascii="宋体" w:hAnsi="宋体" w:cs="宋体"/>
                <w:color w:val="000000"/>
                <w:sz w:val="20"/>
                <w:szCs w:val="20"/>
              </w:rPr>
            </w:pPr>
          </w:p>
        </w:tc>
        <w:tc>
          <w:tcPr>
            <w:tcW w:w="372"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djustRightInd w:val="0"/>
              <w:jc w:val="center"/>
              <w:rPr>
                <w:rFonts w:ascii="宋体" w:hAnsi="宋体" w:cs="宋体"/>
                <w:color w:val="000000"/>
                <w:sz w:val="20"/>
                <w:szCs w:val="20"/>
              </w:rPr>
            </w:pPr>
          </w:p>
        </w:tc>
        <w:tc>
          <w:tcPr>
            <w:tcW w:w="540"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djustRightInd w:val="0"/>
              <w:jc w:val="center"/>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958" w:type="pct"/>
            <w:vMerge w:val="restar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center"/>
              <w:textAlignment w:val="center"/>
              <w:rPr>
                <w:rFonts w:ascii="宋体" w:hAnsi="宋体" w:cs="宋体"/>
                <w:color w:val="000000"/>
                <w:sz w:val="20"/>
                <w:szCs w:val="20"/>
              </w:rPr>
            </w:pPr>
            <w:r>
              <w:rPr>
                <w:rFonts w:hint="eastAsia" w:ascii="宋体" w:hAnsi="宋体" w:cs="宋体"/>
                <w:color w:val="000000"/>
                <w:kern w:val="0"/>
                <w:sz w:val="20"/>
                <w:szCs w:val="20"/>
              </w:rPr>
              <w:t>类</w:t>
            </w:r>
          </w:p>
        </w:tc>
        <w:tc>
          <w:tcPr>
            <w:tcW w:w="146" w:type="pct"/>
            <w:vMerge w:val="restar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center"/>
              <w:textAlignment w:val="center"/>
              <w:rPr>
                <w:rFonts w:ascii="宋体" w:hAnsi="宋体" w:cs="宋体"/>
                <w:color w:val="000000"/>
                <w:sz w:val="20"/>
                <w:szCs w:val="20"/>
              </w:rPr>
            </w:pPr>
            <w:r>
              <w:rPr>
                <w:rFonts w:hint="eastAsia" w:ascii="宋体" w:hAnsi="宋体" w:cs="宋体"/>
                <w:color w:val="000000"/>
                <w:kern w:val="0"/>
                <w:sz w:val="20"/>
                <w:szCs w:val="20"/>
              </w:rPr>
              <w:t>款</w:t>
            </w:r>
          </w:p>
        </w:tc>
        <w:tc>
          <w:tcPr>
            <w:tcW w:w="146" w:type="pct"/>
            <w:vMerge w:val="restar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1275"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383"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djustRightInd w:val="0"/>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3"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djustRightInd w:val="0"/>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07"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djustRightInd w:val="0"/>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42"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djustRightInd w:val="0"/>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242"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djustRightInd w:val="0"/>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372"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djustRightInd w:val="0"/>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540"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djustRightInd w:val="0"/>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r>
      <w:tr>
        <w:tblPrEx>
          <w:tblCellMar>
            <w:top w:w="0" w:type="dxa"/>
            <w:left w:w="108" w:type="dxa"/>
            <w:bottom w:w="0" w:type="dxa"/>
            <w:right w:w="108" w:type="dxa"/>
          </w:tblCellMar>
        </w:tblPrEx>
        <w:trPr>
          <w:trHeight w:val="300" w:hRule="atLeast"/>
          <w:jc w:val="center"/>
        </w:trPr>
        <w:tc>
          <w:tcPr>
            <w:tcW w:w="958" w:type="pct"/>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center"/>
              <w:rPr>
                <w:rFonts w:ascii="宋体" w:hAnsi="宋体" w:cs="宋体"/>
                <w:color w:val="000000"/>
                <w:sz w:val="20"/>
                <w:szCs w:val="20"/>
              </w:rPr>
            </w:pPr>
          </w:p>
        </w:tc>
        <w:tc>
          <w:tcPr>
            <w:tcW w:w="146" w:type="pct"/>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center"/>
              <w:rPr>
                <w:rFonts w:ascii="宋体" w:hAnsi="宋体" w:cs="宋体"/>
                <w:color w:val="000000"/>
                <w:sz w:val="20"/>
                <w:szCs w:val="20"/>
              </w:rPr>
            </w:pPr>
          </w:p>
        </w:tc>
        <w:tc>
          <w:tcPr>
            <w:tcW w:w="146" w:type="pct"/>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center"/>
              <w:rPr>
                <w:rFonts w:ascii="宋体" w:hAnsi="宋体" w:cs="宋体"/>
                <w:color w:val="000000"/>
                <w:sz w:val="20"/>
                <w:szCs w:val="20"/>
              </w:rPr>
            </w:pPr>
          </w:p>
        </w:tc>
        <w:tc>
          <w:tcPr>
            <w:tcW w:w="1275"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915.83</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915.83</w:t>
            </w:r>
          </w:p>
        </w:tc>
        <w:tc>
          <w:tcPr>
            <w:tcW w:w="30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54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1251"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205</w:t>
            </w:r>
          </w:p>
        </w:tc>
        <w:tc>
          <w:tcPr>
            <w:tcW w:w="1275"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教育支出</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793.49</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793.49</w:t>
            </w:r>
          </w:p>
        </w:tc>
        <w:tc>
          <w:tcPr>
            <w:tcW w:w="30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54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1251"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20502</w:t>
            </w:r>
          </w:p>
        </w:tc>
        <w:tc>
          <w:tcPr>
            <w:tcW w:w="1275"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普通教育</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493.49</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493.49</w:t>
            </w:r>
          </w:p>
        </w:tc>
        <w:tc>
          <w:tcPr>
            <w:tcW w:w="30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54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1251"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2050201</w:t>
            </w:r>
          </w:p>
        </w:tc>
        <w:tc>
          <w:tcPr>
            <w:tcW w:w="1275"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学前教育</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493.49</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493.49</w:t>
            </w:r>
          </w:p>
        </w:tc>
        <w:tc>
          <w:tcPr>
            <w:tcW w:w="30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54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r>
      <w:tr>
        <w:tblPrEx>
          <w:tblCellMar>
            <w:top w:w="0" w:type="dxa"/>
            <w:left w:w="108" w:type="dxa"/>
            <w:bottom w:w="0" w:type="dxa"/>
            <w:right w:w="108" w:type="dxa"/>
          </w:tblCellMar>
        </w:tblPrEx>
        <w:trPr>
          <w:trHeight w:val="319" w:hRule="atLeast"/>
          <w:jc w:val="center"/>
        </w:trPr>
        <w:tc>
          <w:tcPr>
            <w:tcW w:w="1251"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20509</w:t>
            </w:r>
          </w:p>
        </w:tc>
        <w:tc>
          <w:tcPr>
            <w:tcW w:w="1275"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教育费附加安排的支出</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c>
          <w:tcPr>
            <w:tcW w:w="30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54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1251"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2050999</w:t>
            </w:r>
          </w:p>
        </w:tc>
        <w:tc>
          <w:tcPr>
            <w:tcW w:w="1275"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其他教育费附加安排的支出</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c>
          <w:tcPr>
            <w:tcW w:w="30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54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1251"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208</w:t>
            </w:r>
          </w:p>
        </w:tc>
        <w:tc>
          <w:tcPr>
            <w:tcW w:w="1275"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社会保障和就业支出</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56.86</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56.86</w:t>
            </w:r>
          </w:p>
        </w:tc>
        <w:tc>
          <w:tcPr>
            <w:tcW w:w="30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54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1251"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20805</w:t>
            </w:r>
          </w:p>
        </w:tc>
        <w:tc>
          <w:tcPr>
            <w:tcW w:w="1275"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行政事业单位养老支出</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54.15</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54.15</w:t>
            </w:r>
          </w:p>
        </w:tc>
        <w:tc>
          <w:tcPr>
            <w:tcW w:w="30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54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1251"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2080505</w:t>
            </w:r>
          </w:p>
        </w:tc>
        <w:tc>
          <w:tcPr>
            <w:tcW w:w="1275"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机关事业单位基本养老保险缴费支出</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54.15</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54.15</w:t>
            </w:r>
          </w:p>
        </w:tc>
        <w:tc>
          <w:tcPr>
            <w:tcW w:w="30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54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1251"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20899</w:t>
            </w:r>
          </w:p>
        </w:tc>
        <w:tc>
          <w:tcPr>
            <w:tcW w:w="1275"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其他社会保障和就业支出</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2.71</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2.71</w:t>
            </w:r>
          </w:p>
        </w:tc>
        <w:tc>
          <w:tcPr>
            <w:tcW w:w="30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54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1251"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2089999</w:t>
            </w:r>
          </w:p>
        </w:tc>
        <w:tc>
          <w:tcPr>
            <w:tcW w:w="1275"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其他社会保障和就业支出</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2.71</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2.71</w:t>
            </w:r>
          </w:p>
        </w:tc>
        <w:tc>
          <w:tcPr>
            <w:tcW w:w="30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54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1251"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210</w:t>
            </w:r>
          </w:p>
        </w:tc>
        <w:tc>
          <w:tcPr>
            <w:tcW w:w="1275"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卫生健康支出</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24.87</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24.87</w:t>
            </w:r>
          </w:p>
        </w:tc>
        <w:tc>
          <w:tcPr>
            <w:tcW w:w="30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54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1251"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21011</w:t>
            </w:r>
          </w:p>
        </w:tc>
        <w:tc>
          <w:tcPr>
            <w:tcW w:w="1275"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行政事业单位医疗</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24.87</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24.87</w:t>
            </w:r>
          </w:p>
        </w:tc>
        <w:tc>
          <w:tcPr>
            <w:tcW w:w="30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54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1251"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2101102</w:t>
            </w:r>
          </w:p>
        </w:tc>
        <w:tc>
          <w:tcPr>
            <w:tcW w:w="1275"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事业单位医疗</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24.87</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24.87</w:t>
            </w:r>
          </w:p>
        </w:tc>
        <w:tc>
          <w:tcPr>
            <w:tcW w:w="30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54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1251"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221</w:t>
            </w:r>
          </w:p>
        </w:tc>
        <w:tc>
          <w:tcPr>
            <w:tcW w:w="1275"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住房保障支出</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40.61</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40.61</w:t>
            </w:r>
          </w:p>
        </w:tc>
        <w:tc>
          <w:tcPr>
            <w:tcW w:w="30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54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1251"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22102</w:t>
            </w:r>
          </w:p>
        </w:tc>
        <w:tc>
          <w:tcPr>
            <w:tcW w:w="1275"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住房改革支出</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40.61</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40.61</w:t>
            </w:r>
          </w:p>
        </w:tc>
        <w:tc>
          <w:tcPr>
            <w:tcW w:w="30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54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1251"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2210201</w:t>
            </w:r>
          </w:p>
        </w:tc>
        <w:tc>
          <w:tcPr>
            <w:tcW w:w="1275"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住房公积金</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40.61</w:t>
            </w:r>
          </w:p>
        </w:tc>
        <w:tc>
          <w:tcPr>
            <w:tcW w:w="38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textAlignment w:val="center"/>
              <w:rPr>
                <w:rFonts w:ascii="宋体" w:hAnsi="宋体" w:cs="宋体"/>
                <w:color w:val="000000"/>
                <w:sz w:val="20"/>
                <w:szCs w:val="20"/>
              </w:rPr>
            </w:pPr>
            <w:r>
              <w:rPr>
                <w:rFonts w:hint="eastAsia" w:ascii="宋体" w:hAnsi="宋体" w:cs="宋体"/>
                <w:color w:val="000000"/>
                <w:kern w:val="0"/>
                <w:sz w:val="20"/>
                <w:szCs w:val="20"/>
              </w:rPr>
              <w:t>40.61</w:t>
            </w:r>
          </w:p>
        </w:tc>
        <w:tc>
          <w:tcPr>
            <w:tcW w:w="30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c>
          <w:tcPr>
            <w:tcW w:w="54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adjustRightInd w:val="0"/>
              <w:jc w:val="right"/>
              <w:rPr>
                <w:rFonts w:ascii="宋体" w:hAnsi="宋体" w:cs="宋体"/>
                <w:color w:val="000000"/>
                <w:sz w:val="20"/>
                <w:szCs w:val="20"/>
              </w:rPr>
            </w:pPr>
          </w:p>
        </w:tc>
      </w:tr>
    </w:tbl>
    <w:tbl>
      <w:tblPr>
        <w:tblStyle w:val="15"/>
        <w:tblpPr w:leftFromText="180" w:rightFromText="180" w:vertAnchor="text" w:horzAnchor="page" w:tblpX="1509" w:tblpY="106"/>
        <w:tblOverlap w:val="never"/>
        <w:tblW w:w="14262" w:type="dxa"/>
        <w:tblInd w:w="0" w:type="dxa"/>
        <w:tblLayout w:type="fixed"/>
        <w:tblCellMar>
          <w:top w:w="0" w:type="dxa"/>
          <w:left w:w="108" w:type="dxa"/>
          <w:bottom w:w="0" w:type="dxa"/>
          <w:right w:w="108" w:type="dxa"/>
        </w:tblCellMar>
      </w:tblPr>
      <w:tblGrid>
        <w:gridCol w:w="2716"/>
        <w:gridCol w:w="416"/>
        <w:gridCol w:w="416"/>
        <w:gridCol w:w="3616"/>
        <w:gridCol w:w="1543"/>
        <w:gridCol w:w="1065"/>
        <w:gridCol w:w="1304"/>
        <w:gridCol w:w="822"/>
        <w:gridCol w:w="822"/>
        <w:gridCol w:w="1542"/>
      </w:tblGrid>
      <w:tr>
        <w:tblPrEx>
          <w:tblCellMar>
            <w:top w:w="0" w:type="dxa"/>
            <w:left w:w="108" w:type="dxa"/>
            <w:bottom w:w="0" w:type="dxa"/>
            <w:right w:w="108" w:type="dxa"/>
          </w:tblCellMar>
        </w:tblPrEx>
        <w:trPr>
          <w:trHeight w:val="396" w:hRule="atLeast"/>
        </w:trPr>
        <w:tc>
          <w:tcPr>
            <w:tcW w:w="14262" w:type="dxa"/>
            <w:gridSpan w:val="10"/>
            <w:tcBorders>
              <w:top w:val="nil"/>
              <w:left w:val="nil"/>
              <w:bottom w:val="nil"/>
              <w:right w:val="nil"/>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黑体_GBK" w:hAnsi="方正黑体_GBK" w:eastAsia="方正黑体_GBK" w:cs="方正黑体_GBK"/>
                <w:color w:val="000000"/>
                <w:kern w:val="0"/>
                <w:sz w:val="32"/>
                <w:szCs w:val="32"/>
              </w:rPr>
              <w:t>三、支出决算表</w:t>
            </w:r>
          </w:p>
        </w:tc>
      </w:tr>
      <w:tr>
        <w:tblPrEx>
          <w:tblCellMar>
            <w:top w:w="0" w:type="dxa"/>
            <w:left w:w="108" w:type="dxa"/>
            <w:bottom w:w="0" w:type="dxa"/>
            <w:right w:w="108" w:type="dxa"/>
          </w:tblCellMar>
        </w:tblPrEx>
        <w:trPr>
          <w:trHeight w:val="255" w:hRule="atLeast"/>
        </w:trPr>
        <w:tc>
          <w:tcPr>
            <w:tcW w:w="2716"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16"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16"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616"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543"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065"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304"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822"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822"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542"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财决公开03表</w:t>
            </w:r>
          </w:p>
        </w:tc>
      </w:tr>
      <w:tr>
        <w:tblPrEx>
          <w:tblCellMar>
            <w:top w:w="0" w:type="dxa"/>
            <w:left w:w="108" w:type="dxa"/>
            <w:bottom w:w="0" w:type="dxa"/>
            <w:right w:w="108" w:type="dxa"/>
          </w:tblCellMar>
        </w:tblPrEx>
        <w:trPr>
          <w:trHeight w:val="255" w:hRule="atLeast"/>
        </w:trPr>
        <w:tc>
          <w:tcPr>
            <w:tcW w:w="2716" w:type="dxa"/>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单位名称</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达川区实验幼儿园</w:t>
            </w:r>
          </w:p>
        </w:tc>
        <w:tc>
          <w:tcPr>
            <w:tcW w:w="416"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16"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616"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543"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065"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304"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822"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822"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542"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万元</w:t>
            </w:r>
          </w:p>
        </w:tc>
      </w:tr>
      <w:tr>
        <w:tblPrEx>
          <w:tblCellMar>
            <w:top w:w="0" w:type="dxa"/>
            <w:left w:w="108" w:type="dxa"/>
            <w:bottom w:w="0" w:type="dxa"/>
            <w:right w:w="108" w:type="dxa"/>
          </w:tblCellMar>
        </w:tblPrEx>
        <w:trPr>
          <w:trHeight w:val="312" w:hRule="atLeast"/>
        </w:trPr>
        <w:tc>
          <w:tcPr>
            <w:tcW w:w="3548" w:type="dxa"/>
            <w:gridSpan w:val="3"/>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3616"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54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本年支出合计</w:t>
            </w:r>
          </w:p>
        </w:tc>
        <w:tc>
          <w:tcPr>
            <w:tcW w:w="106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130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c>
          <w:tcPr>
            <w:tcW w:w="82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上缴上级支出</w:t>
            </w:r>
          </w:p>
        </w:tc>
        <w:tc>
          <w:tcPr>
            <w:tcW w:w="82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经营支出</w:t>
            </w:r>
          </w:p>
        </w:tc>
        <w:tc>
          <w:tcPr>
            <w:tcW w:w="154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对附属单位补助支出</w:t>
            </w:r>
          </w:p>
        </w:tc>
      </w:tr>
      <w:tr>
        <w:tblPrEx>
          <w:tblCellMar>
            <w:top w:w="0" w:type="dxa"/>
            <w:left w:w="108" w:type="dxa"/>
            <w:bottom w:w="0" w:type="dxa"/>
            <w:right w:w="108" w:type="dxa"/>
          </w:tblCellMar>
        </w:tblPrEx>
        <w:trPr>
          <w:trHeight w:val="312" w:hRule="atLeast"/>
        </w:trPr>
        <w:tc>
          <w:tcPr>
            <w:tcW w:w="3548" w:type="dxa"/>
            <w:gridSpan w:val="3"/>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3616" w:type="dxa"/>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54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000000"/>
                <w:sz w:val="20"/>
                <w:szCs w:val="20"/>
              </w:rPr>
            </w:pPr>
          </w:p>
        </w:tc>
        <w:tc>
          <w:tcPr>
            <w:tcW w:w="1065"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000000"/>
                <w:sz w:val="20"/>
                <w:szCs w:val="20"/>
              </w:rPr>
            </w:pPr>
          </w:p>
        </w:tc>
        <w:tc>
          <w:tcPr>
            <w:tcW w:w="130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000000"/>
                <w:sz w:val="20"/>
                <w:szCs w:val="20"/>
              </w:rPr>
            </w:pPr>
          </w:p>
        </w:tc>
        <w:tc>
          <w:tcPr>
            <w:tcW w:w="822"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000000"/>
                <w:sz w:val="20"/>
                <w:szCs w:val="20"/>
              </w:rPr>
            </w:pPr>
          </w:p>
        </w:tc>
        <w:tc>
          <w:tcPr>
            <w:tcW w:w="822"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000000"/>
                <w:sz w:val="20"/>
                <w:szCs w:val="20"/>
              </w:rPr>
            </w:pPr>
          </w:p>
        </w:tc>
        <w:tc>
          <w:tcPr>
            <w:tcW w:w="1542"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2716" w:type="dxa"/>
            <w:vMerge w:val="restar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类</w:t>
            </w:r>
          </w:p>
        </w:tc>
        <w:tc>
          <w:tcPr>
            <w:tcW w:w="416" w:type="dxa"/>
            <w:vMerge w:val="restar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款</w:t>
            </w:r>
          </w:p>
        </w:tc>
        <w:tc>
          <w:tcPr>
            <w:tcW w:w="416" w:type="dxa"/>
            <w:vMerge w:val="restar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361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543"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6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304"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822"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822"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542"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310" w:hRule="atLeast"/>
        </w:trPr>
        <w:tc>
          <w:tcPr>
            <w:tcW w:w="2716" w:type="dxa"/>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16" w:type="dxa"/>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16" w:type="dxa"/>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361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54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915.83</w:t>
            </w:r>
          </w:p>
        </w:tc>
        <w:tc>
          <w:tcPr>
            <w:tcW w:w="106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615.83</w:t>
            </w:r>
          </w:p>
        </w:tc>
        <w:tc>
          <w:tcPr>
            <w:tcW w:w="130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54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3548" w:type="dxa"/>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205</w:t>
            </w:r>
          </w:p>
        </w:tc>
        <w:tc>
          <w:tcPr>
            <w:tcW w:w="361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教育支出</w:t>
            </w:r>
          </w:p>
        </w:tc>
        <w:tc>
          <w:tcPr>
            <w:tcW w:w="154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793.49</w:t>
            </w:r>
          </w:p>
        </w:tc>
        <w:tc>
          <w:tcPr>
            <w:tcW w:w="106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493.49</w:t>
            </w:r>
          </w:p>
        </w:tc>
        <w:tc>
          <w:tcPr>
            <w:tcW w:w="130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54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3548" w:type="dxa"/>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20502</w:t>
            </w:r>
          </w:p>
        </w:tc>
        <w:tc>
          <w:tcPr>
            <w:tcW w:w="361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普通教育</w:t>
            </w:r>
          </w:p>
        </w:tc>
        <w:tc>
          <w:tcPr>
            <w:tcW w:w="154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493.49</w:t>
            </w:r>
          </w:p>
        </w:tc>
        <w:tc>
          <w:tcPr>
            <w:tcW w:w="106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493.49</w:t>
            </w:r>
          </w:p>
        </w:tc>
        <w:tc>
          <w:tcPr>
            <w:tcW w:w="130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54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3548" w:type="dxa"/>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2050201</w:t>
            </w:r>
          </w:p>
        </w:tc>
        <w:tc>
          <w:tcPr>
            <w:tcW w:w="361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学前教育</w:t>
            </w:r>
          </w:p>
        </w:tc>
        <w:tc>
          <w:tcPr>
            <w:tcW w:w="154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493.49</w:t>
            </w:r>
          </w:p>
        </w:tc>
        <w:tc>
          <w:tcPr>
            <w:tcW w:w="106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493.49</w:t>
            </w:r>
          </w:p>
        </w:tc>
        <w:tc>
          <w:tcPr>
            <w:tcW w:w="130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54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3548" w:type="dxa"/>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20509</w:t>
            </w:r>
          </w:p>
        </w:tc>
        <w:tc>
          <w:tcPr>
            <w:tcW w:w="361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教育费附加安排的支出</w:t>
            </w:r>
          </w:p>
        </w:tc>
        <w:tc>
          <w:tcPr>
            <w:tcW w:w="154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c>
          <w:tcPr>
            <w:tcW w:w="106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30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54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3548" w:type="dxa"/>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2050999</w:t>
            </w:r>
          </w:p>
        </w:tc>
        <w:tc>
          <w:tcPr>
            <w:tcW w:w="361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其他教育费附加安排的支出</w:t>
            </w:r>
          </w:p>
        </w:tc>
        <w:tc>
          <w:tcPr>
            <w:tcW w:w="154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c>
          <w:tcPr>
            <w:tcW w:w="106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30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54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3548" w:type="dxa"/>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208</w:t>
            </w:r>
          </w:p>
        </w:tc>
        <w:tc>
          <w:tcPr>
            <w:tcW w:w="361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社会保障和就业支出</w:t>
            </w:r>
          </w:p>
        </w:tc>
        <w:tc>
          <w:tcPr>
            <w:tcW w:w="154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56.86</w:t>
            </w:r>
          </w:p>
        </w:tc>
        <w:tc>
          <w:tcPr>
            <w:tcW w:w="106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56.86</w:t>
            </w:r>
          </w:p>
        </w:tc>
        <w:tc>
          <w:tcPr>
            <w:tcW w:w="130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54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3548" w:type="dxa"/>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20805</w:t>
            </w:r>
          </w:p>
        </w:tc>
        <w:tc>
          <w:tcPr>
            <w:tcW w:w="361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行政事业单位养老支出</w:t>
            </w:r>
          </w:p>
        </w:tc>
        <w:tc>
          <w:tcPr>
            <w:tcW w:w="154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54.15</w:t>
            </w:r>
          </w:p>
        </w:tc>
        <w:tc>
          <w:tcPr>
            <w:tcW w:w="106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54.15</w:t>
            </w:r>
          </w:p>
        </w:tc>
        <w:tc>
          <w:tcPr>
            <w:tcW w:w="130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54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3548" w:type="dxa"/>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2080505</w:t>
            </w:r>
          </w:p>
        </w:tc>
        <w:tc>
          <w:tcPr>
            <w:tcW w:w="361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机关事业单位基本养老保险缴费支出</w:t>
            </w:r>
          </w:p>
        </w:tc>
        <w:tc>
          <w:tcPr>
            <w:tcW w:w="154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54.15</w:t>
            </w:r>
          </w:p>
        </w:tc>
        <w:tc>
          <w:tcPr>
            <w:tcW w:w="106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54.15</w:t>
            </w:r>
          </w:p>
        </w:tc>
        <w:tc>
          <w:tcPr>
            <w:tcW w:w="130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54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3548" w:type="dxa"/>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20899</w:t>
            </w:r>
          </w:p>
        </w:tc>
        <w:tc>
          <w:tcPr>
            <w:tcW w:w="361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其他社会保障和就业支出</w:t>
            </w:r>
          </w:p>
        </w:tc>
        <w:tc>
          <w:tcPr>
            <w:tcW w:w="154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2.71</w:t>
            </w:r>
          </w:p>
        </w:tc>
        <w:tc>
          <w:tcPr>
            <w:tcW w:w="106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2.71</w:t>
            </w:r>
          </w:p>
        </w:tc>
        <w:tc>
          <w:tcPr>
            <w:tcW w:w="130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54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3548" w:type="dxa"/>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2089999</w:t>
            </w:r>
          </w:p>
        </w:tc>
        <w:tc>
          <w:tcPr>
            <w:tcW w:w="361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其他社会保障和就业支出</w:t>
            </w:r>
          </w:p>
        </w:tc>
        <w:tc>
          <w:tcPr>
            <w:tcW w:w="154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2.71</w:t>
            </w:r>
          </w:p>
        </w:tc>
        <w:tc>
          <w:tcPr>
            <w:tcW w:w="106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2.71</w:t>
            </w:r>
          </w:p>
        </w:tc>
        <w:tc>
          <w:tcPr>
            <w:tcW w:w="130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54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3548" w:type="dxa"/>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210</w:t>
            </w:r>
          </w:p>
        </w:tc>
        <w:tc>
          <w:tcPr>
            <w:tcW w:w="361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卫生健康支出</w:t>
            </w:r>
          </w:p>
        </w:tc>
        <w:tc>
          <w:tcPr>
            <w:tcW w:w="154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24.87</w:t>
            </w:r>
          </w:p>
        </w:tc>
        <w:tc>
          <w:tcPr>
            <w:tcW w:w="106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24.87</w:t>
            </w:r>
          </w:p>
        </w:tc>
        <w:tc>
          <w:tcPr>
            <w:tcW w:w="130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54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3548" w:type="dxa"/>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21011</w:t>
            </w:r>
          </w:p>
        </w:tc>
        <w:tc>
          <w:tcPr>
            <w:tcW w:w="361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行政事业单位医疗</w:t>
            </w:r>
          </w:p>
        </w:tc>
        <w:tc>
          <w:tcPr>
            <w:tcW w:w="154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24.87</w:t>
            </w:r>
          </w:p>
        </w:tc>
        <w:tc>
          <w:tcPr>
            <w:tcW w:w="106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24.87</w:t>
            </w:r>
          </w:p>
        </w:tc>
        <w:tc>
          <w:tcPr>
            <w:tcW w:w="130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54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3548" w:type="dxa"/>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2101102</w:t>
            </w:r>
          </w:p>
        </w:tc>
        <w:tc>
          <w:tcPr>
            <w:tcW w:w="361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事业单位医疗</w:t>
            </w:r>
          </w:p>
        </w:tc>
        <w:tc>
          <w:tcPr>
            <w:tcW w:w="154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24.87</w:t>
            </w:r>
          </w:p>
        </w:tc>
        <w:tc>
          <w:tcPr>
            <w:tcW w:w="106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24.87</w:t>
            </w:r>
          </w:p>
        </w:tc>
        <w:tc>
          <w:tcPr>
            <w:tcW w:w="130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54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3548" w:type="dxa"/>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221</w:t>
            </w:r>
          </w:p>
        </w:tc>
        <w:tc>
          <w:tcPr>
            <w:tcW w:w="361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住房保障支出</w:t>
            </w:r>
          </w:p>
        </w:tc>
        <w:tc>
          <w:tcPr>
            <w:tcW w:w="154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40.61</w:t>
            </w:r>
          </w:p>
        </w:tc>
        <w:tc>
          <w:tcPr>
            <w:tcW w:w="106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40.61</w:t>
            </w:r>
          </w:p>
        </w:tc>
        <w:tc>
          <w:tcPr>
            <w:tcW w:w="130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54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3548" w:type="dxa"/>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22102</w:t>
            </w:r>
          </w:p>
        </w:tc>
        <w:tc>
          <w:tcPr>
            <w:tcW w:w="361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住房改革支出</w:t>
            </w:r>
          </w:p>
        </w:tc>
        <w:tc>
          <w:tcPr>
            <w:tcW w:w="154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40.61</w:t>
            </w:r>
          </w:p>
        </w:tc>
        <w:tc>
          <w:tcPr>
            <w:tcW w:w="106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40.61</w:t>
            </w:r>
          </w:p>
        </w:tc>
        <w:tc>
          <w:tcPr>
            <w:tcW w:w="130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54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3548" w:type="dxa"/>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2210201</w:t>
            </w:r>
          </w:p>
        </w:tc>
        <w:tc>
          <w:tcPr>
            <w:tcW w:w="361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住房公积金</w:t>
            </w:r>
          </w:p>
        </w:tc>
        <w:tc>
          <w:tcPr>
            <w:tcW w:w="154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40.61</w:t>
            </w:r>
          </w:p>
        </w:tc>
        <w:tc>
          <w:tcPr>
            <w:tcW w:w="106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40.61</w:t>
            </w:r>
          </w:p>
        </w:tc>
        <w:tc>
          <w:tcPr>
            <w:tcW w:w="130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2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54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宋体" w:hAnsi="宋体" w:cs="宋体"/>
                <w:color w:val="000000"/>
                <w:sz w:val="20"/>
                <w:szCs w:val="20"/>
              </w:rPr>
            </w:pPr>
          </w:p>
        </w:tc>
      </w:tr>
    </w:tbl>
    <w:tbl>
      <w:tblPr>
        <w:tblStyle w:val="15"/>
        <w:tblW w:w="5000" w:type="pct"/>
        <w:tblInd w:w="0" w:type="dxa"/>
        <w:tblLayout w:type="autofit"/>
        <w:tblCellMar>
          <w:top w:w="0" w:type="dxa"/>
          <w:left w:w="108" w:type="dxa"/>
          <w:bottom w:w="0" w:type="dxa"/>
          <w:right w:w="108" w:type="dxa"/>
        </w:tblCellMar>
      </w:tblPr>
      <w:tblGrid>
        <w:gridCol w:w="3039"/>
        <w:gridCol w:w="448"/>
        <w:gridCol w:w="954"/>
        <w:gridCol w:w="3216"/>
        <w:gridCol w:w="448"/>
        <w:gridCol w:w="1424"/>
        <w:gridCol w:w="1424"/>
        <w:gridCol w:w="1424"/>
        <w:gridCol w:w="1616"/>
      </w:tblGrid>
      <w:tr>
        <w:tblPrEx>
          <w:tblCellMar>
            <w:top w:w="0" w:type="dxa"/>
            <w:left w:w="108" w:type="dxa"/>
            <w:bottom w:w="0" w:type="dxa"/>
            <w:right w:w="108" w:type="dxa"/>
          </w:tblCellMar>
        </w:tblPrEx>
        <w:trPr>
          <w:trHeight w:val="405" w:hRule="atLeast"/>
        </w:trPr>
        <w:tc>
          <w:tcPr>
            <w:tcW w:w="5000" w:type="pct"/>
            <w:gridSpan w:val="9"/>
            <w:tcBorders>
              <w:top w:val="nil"/>
              <w:left w:val="nil"/>
              <w:bottom w:val="nil"/>
              <w:right w:val="nil"/>
            </w:tcBorders>
            <w:shd w:val="clear" w:color="auto" w:fill="auto"/>
            <w:noWrap/>
            <w:vAlign w:val="center"/>
          </w:tcPr>
          <w:p>
            <w:pPr>
              <w:widowControl/>
              <w:jc w:val="center"/>
              <w:textAlignment w:val="center"/>
              <w:rPr>
                <w:rFonts w:hint="eastAsia" w:ascii="方正小标宋简体" w:hAnsi="方正小标宋简体" w:eastAsia="方正小标宋简体" w:cs="方正小标宋简体"/>
                <w:color w:val="000000"/>
                <w:kern w:val="0"/>
                <w:sz w:val="32"/>
                <w:szCs w:val="32"/>
              </w:rPr>
            </w:pPr>
          </w:p>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黑体_GBK" w:hAnsi="方正黑体_GBK" w:eastAsia="方正黑体_GBK" w:cs="方正黑体_GBK"/>
                <w:color w:val="000000"/>
                <w:kern w:val="0"/>
                <w:sz w:val="32"/>
                <w:szCs w:val="32"/>
              </w:rPr>
              <w:t>四、财政拨款收入支出决算总表</w:t>
            </w:r>
          </w:p>
        </w:tc>
      </w:tr>
      <w:tr>
        <w:tblPrEx>
          <w:tblCellMar>
            <w:top w:w="0" w:type="dxa"/>
            <w:left w:w="108" w:type="dxa"/>
            <w:bottom w:w="0" w:type="dxa"/>
            <w:right w:w="108" w:type="dxa"/>
          </w:tblCellMar>
        </w:tblPrEx>
        <w:trPr>
          <w:trHeight w:val="255" w:hRule="atLeast"/>
        </w:trPr>
        <w:tc>
          <w:tcPr>
            <w:tcW w:w="1111"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85"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65"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00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85"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34"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34"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34"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37"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财决公开04表</w:t>
            </w:r>
          </w:p>
        </w:tc>
      </w:tr>
      <w:tr>
        <w:tblPrEx>
          <w:tblCellMar>
            <w:top w:w="0" w:type="dxa"/>
            <w:left w:w="108" w:type="dxa"/>
            <w:bottom w:w="0" w:type="dxa"/>
            <w:right w:w="108" w:type="dxa"/>
          </w:tblCellMar>
        </w:tblPrEx>
        <w:trPr>
          <w:trHeight w:val="255" w:hRule="atLeast"/>
        </w:trPr>
        <w:tc>
          <w:tcPr>
            <w:tcW w:w="1111" w:type="pct"/>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单位名称</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达川区实验幼儿园</w:t>
            </w:r>
          </w:p>
        </w:tc>
        <w:tc>
          <w:tcPr>
            <w:tcW w:w="185"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65"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00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85"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34"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34"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34"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37"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万元</w:t>
            </w:r>
          </w:p>
        </w:tc>
      </w:tr>
      <w:tr>
        <w:tblPrEx>
          <w:tblCellMar>
            <w:top w:w="0" w:type="dxa"/>
            <w:left w:w="108" w:type="dxa"/>
            <w:bottom w:w="0" w:type="dxa"/>
            <w:right w:w="108" w:type="dxa"/>
          </w:tblCellMar>
        </w:tblPrEx>
        <w:trPr>
          <w:trHeight w:val="310" w:hRule="atLeast"/>
        </w:trPr>
        <w:tc>
          <w:tcPr>
            <w:tcW w:w="16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收入</w:t>
            </w:r>
          </w:p>
        </w:tc>
        <w:tc>
          <w:tcPr>
            <w:tcW w:w="33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支出</w:t>
            </w:r>
          </w:p>
        </w:tc>
      </w:tr>
      <w:tr>
        <w:tblPrEx>
          <w:tblCellMar>
            <w:top w:w="0" w:type="dxa"/>
            <w:left w:w="108" w:type="dxa"/>
            <w:bottom w:w="0" w:type="dxa"/>
            <w:right w:w="108" w:type="dxa"/>
          </w:tblCellMar>
        </w:tblPrEx>
        <w:trPr>
          <w:trHeight w:val="312" w:hRule="atLeast"/>
        </w:trPr>
        <w:tc>
          <w:tcPr>
            <w:tcW w:w="11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1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金额</w:t>
            </w:r>
          </w:p>
        </w:tc>
        <w:tc>
          <w:tcPr>
            <w:tcW w:w="10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1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一般公共预算财政拨款</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政府性基金预算财政拨款</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国有资本经营预算财政拨款</w:t>
            </w:r>
          </w:p>
        </w:tc>
      </w:tr>
      <w:tr>
        <w:tblPrEx>
          <w:tblCellMar>
            <w:top w:w="0" w:type="dxa"/>
            <w:left w:w="108" w:type="dxa"/>
            <w:bottom w:w="0" w:type="dxa"/>
            <w:right w:w="108" w:type="dxa"/>
          </w:tblCellMar>
        </w:tblPrEx>
        <w:trPr>
          <w:trHeight w:val="312" w:hRule="atLeast"/>
        </w:trPr>
        <w:tc>
          <w:tcPr>
            <w:tcW w:w="1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一、一般公共预算财政拨款</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915.83</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一、一般公共服务支出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31</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二、政府性基金预算财政拨款</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二、外交支出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三、国有资本经营预算财政拨款</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三、国防支出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四、公共安全支出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34</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五、教育支出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793.49</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793.49</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六、科学技术支出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七、文化旅游体育与传媒支出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37</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八、社会保障和就业支出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56.86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56.86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九、卫生健康支出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39</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24.87</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24.87</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十、节能环保支出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十一、城乡社区支出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41</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十二、农林水支出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42</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十三、交通运输支出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十四、资源勘探工业信息等支出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44</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十五、商业服务业等支出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45</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十六、金融支出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十七、援助其他地区支出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47</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十八、自然资源</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海洋气象等支出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十九、住房保障支出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49</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40.61</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40.61</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二十、粮油物资储备支出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二十一、国有资本经营预算支出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51</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二十二、灾害防治及应急管理支出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52</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二十三、其他支出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二十四、债务还本支出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54</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二十五、债务付息支出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二十六、抗疫特别国债安排的支出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本年收入合计</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915.83</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本年支出合计</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57</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915.83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915.83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年初财政拨款结转和结余</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年末财政拨款结转和结余</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一、一般公共预算财政拨款</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59</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二、政府性基金预算财政拨款</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三、国有资本经营预算财政拨款</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61</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总计</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915.83</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总计</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62</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915.83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915.83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bl>
    <w:p>
      <w:pPr>
        <w:rPr>
          <w:rStyle w:val="30"/>
          <w:rFonts w:ascii="Times New Roman" w:hAnsi="Times New Roman" w:eastAsia="仿宋" w:cs="Times New Roman"/>
          <w:bCs w:val="0"/>
        </w:rPr>
      </w:pPr>
    </w:p>
    <w:p>
      <w:pPr>
        <w:rPr>
          <w:rStyle w:val="30"/>
          <w:rFonts w:ascii="Times New Roman" w:hAnsi="Times New Roman" w:eastAsia="仿宋" w:cs="Times New Roman"/>
          <w:bCs w:val="0"/>
        </w:rPr>
      </w:pPr>
    </w:p>
    <w:p>
      <w:pPr>
        <w:rPr>
          <w:rStyle w:val="30"/>
          <w:rFonts w:ascii="Times New Roman" w:hAnsi="Times New Roman" w:eastAsia="仿宋" w:cs="Times New Roman"/>
          <w:bCs w:val="0"/>
        </w:rPr>
      </w:pPr>
    </w:p>
    <w:p>
      <w:pPr>
        <w:rPr>
          <w:rStyle w:val="30"/>
          <w:rFonts w:ascii="Times New Roman" w:hAnsi="Times New Roman" w:eastAsia="仿宋" w:cs="Times New Roman"/>
          <w:bCs w:val="0"/>
        </w:rPr>
      </w:pPr>
    </w:p>
    <w:p>
      <w:pPr>
        <w:rPr>
          <w:rStyle w:val="30"/>
          <w:rFonts w:ascii="Times New Roman" w:hAnsi="Times New Roman" w:eastAsia="仿宋" w:cs="Times New Roman"/>
          <w:bCs w:val="0"/>
        </w:rPr>
      </w:pPr>
    </w:p>
    <w:p>
      <w:pPr>
        <w:rPr>
          <w:rStyle w:val="30"/>
          <w:rFonts w:ascii="Times New Roman" w:hAnsi="Times New Roman" w:eastAsia="仿宋" w:cs="Times New Roman"/>
          <w:bCs w:val="0"/>
        </w:rPr>
      </w:pPr>
    </w:p>
    <w:p>
      <w:pPr>
        <w:rPr>
          <w:rStyle w:val="30"/>
          <w:rFonts w:ascii="Times New Roman" w:hAnsi="Times New Roman" w:eastAsia="仿宋" w:cs="Times New Roman"/>
          <w:bCs w:val="0"/>
        </w:rPr>
      </w:pPr>
    </w:p>
    <w:tbl>
      <w:tblPr>
        <w:tblStyle w:val="15"/>
        <w:tblW w:w="5052" w:type="pct"/>
        <w:jc w:val="center"/>
        <w:tblLayout w:type="fixed"/>
        <w:tblCellMar>
          <w:top w:w="0" w:type="dxa"/>
          <w:left w:w="108" w:type="dxa"/>
          <w:bottom w:w="0" w:type="dxa"/>
          <w:right w:w="108" w:type="dxa"/>
        </w:tblCellMar>
      </w:tblPr>
      <w:tblGrid>
        <w:gridCol w:w="1847"/>
        <w:gridCol w:w="236"/>
        <w:gridCol w:w="236"/>
        <w:gridCol w:w="2710"/>
        <w:gridCol w:w="818"/>
        <w:gridCol w:w="937"/>
        <w:gridCol w:w="901"/>
        <w:gridCol w:w="1051"/>
        <w:gridCol w:w="1057"/>
        <w:gridCol w:w="412"/>
        <w:gridCol w:w="683"/>
        <w:gridCol w:w="582"/>
        <w:gridCol w:w="471"/>
        <w:gridCol w:w="494"/>
        <w:gridCol w:w="1704"/>
      </w:tblGrid>
      <w:tr>
        <w:tblPrEx>
          <w:tblCellMar>
            <w:top w:w="0" w:type="dxa"/>
            <w:left w:w="108" w:type="dxa"/>
            <w:bottom w:w="0" w:type="dxa"/>
            <w:right w:w="108" w:type="dxa"/>
          </w:tblCellMar>
        </w:tblPrEx>
        <w:trPr>
          <w:trHeight w:val="405" w:hRule="atLeast"/>
          <w:jc w:val="center"/>
        </w:trPr>
        <w:tc>
          <w:tcPr>
            <w:tcW w:w="5000" w:type="pct"/>
            <w:gridSpan w:val="15"/>
            <w:tcBorders>
              <w:top w:val="nil"/>
              <w:left w:val="nil"/>
              <w:bottom w:val="nil"/>
              <w:right w:val="nil"/>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黑体_GBK" w:hAnsi="方正黑体_GBK" w:eastAsia="方正黑体_GBK" w:cs="方正黑体_GBK"/>
                <w:color w:val="000000"/>
                <w:kern w:val="0"/>
                <w:sz w:val="32"/>
                <w:szCs w:val="32"/>
                <w:lang w:val="en-US" w:eastAsia="zh-CN"/>
              </w:rPr>
              <w:t>五、</w:t>
            </w:r>
            <w:r>
              <w:rPr>
                <w:rFonts w:hint="eastAsia" w:ascii="方正黑体_GBK" w:hAnsi="方正黑体_GBK" w:eastAsia="方正黑体_GBK" w:cs="方正黑体_GBK"/>
                <w:color w:val="000000"/>
                <w:kern w:val="0"/>
                <w:sz w:val="32"/>
                <w:szCs w:val="32"/>
              </w:rPr>
              <w:t>财政拨款支出决算明细表</w:t>
            </w:r>
          </w:p>
        </w:tc>
      </w:tr>
      <w:tr>
        <w:tblPrEx>
          <w:tblCellMar>
            <w:top w:w="0" w:type="dxa"/>
            <w:left w:w="108" w:type="dxa"/>
            <w:bottom w:w="0" w:type="dxa"/>
            <w:right w:w="108" w:type="dxa"/>
          </w:tblCellMar>
        </w:tblPrEx>
        <w:trPr>
          <w:trHeight w:val="255" w:hRule="atLeast"/>
          <w:jc w:val="center"/>
        </w:trPr>
        <w:tc>
          <w:tcPr>
            <w:tcW w:w="654"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77"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83"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958"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90"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32"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1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72"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72"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46"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42"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05"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67"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75"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99"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财决公开05表</w:t>
            </w:r>
          </w:p>
        </w:tc>
      </w:tr>
      <w:tr>
        <w:tblPrEx>
          <w:tblCellMar>
            <w:top w:w="0" w:type="dxa"/>
            <w:left w:w="108" w:type="dxa"/>
            <w:bottom w:w="0" w:type="dxa"/>
            <w:right w:w="108" w:type="dxa"/>
          </w:tblCellMar>
        </w:tblPrEx>
        <w:trPr>
          <w:trHeight w:val="255" w:hRule="atLeast"/>
          <w:jc w:val="center"/>
        </w:trPr>
        <w:tc>
          <w:tcPr>
            <w:tcW w:w="1774" w:type="pct"/>
            <w:gridSpan w:val="4"/>
            <w:tcBorders>
              <w:top w:val="nil"/>
              <w:left w:val="nil"/>
              <w:bottom w:val="nil"/>
              <w:right w:val="nil"/>
            </w:tcBorders>
            <w:shd w:val="clear" w:color="auto" w:fill="auto"/>
            <w:noWrap/>
            <w:vAlign w:val="center"/>
          </w:tcPr>
          <w:p>
            <w:pPr>
              <w:jc w:val="left"/>
              <w:rPr>
                <w:rFonts w:ascii="宋体" w:hAnsi="宋体" w:cs="宋体"/>
                <w:color w:val="000000"/>
                <w:sz w:val="20"/>
                <w:szCs w:val="20"/>
              </w:rPr>
            </w:pPr>
            <w:r>
              <w:rPr>
                <w:rFonts w:hint="eastAsia" w:ascii="宋体" w:hAnsi="宋体" w:cs="宋体"/>
                <w:color w:val="000000"/>
                <w:kern w:val="0"/>
                <w:sz w:val="20"/>
                <w:szCs w:val="20"/>
              </w:rPr>
              <w:t>单位名称</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达川区实验幼儿园</w:t>
            </w:r>
          </w:p>
        </w:tc>
        <w:tc>
          <w:tcPr>
            <w:tcW w:w="290"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32"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1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72"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72"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46"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42"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05"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67"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75"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99"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万元</w:t>
            </w:r>
          </w:p>
        </w:tc>
      </w:tr>
      <w:tr>
        <w:tblPrEx>
          <w:tblCellMar>
            <w:top w:w="0" w:type="dxa"/>
            <w:left w:w="108" w:type="dxa"/>
            <w:bottom w:w="0" w:type="dxa"/>
            <w:right w:w="108" w:type="dxa"/>
          </w:tblCellMar>
        </w:tblPrEx>
        <w:trPr>
          <w:trHeight w:val="420" w:hRule="atLeast"/>
          <w:jc w:val="center"/>
        </w:trPr>
        <w:tc>
          <w:tcPr>
            <w:tcW w:w="177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0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一般公共预算财政拨款</w:t>
            </w:r>
          </w:p>
        </w:tc>
        <w:tc>
          <w:tcPr>
            <w:tcW w:w="5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政府性基金预算财政拨款</w:t>
            </w:r>
          </w:p>
        </w:tc>
        <w:tc>
          <w:tcPr>
            <w:tcW w:w="9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国有资本经营预算财政拨款</w:t>
            </w:r>
          </w:p>
        </w:tc>
      </w:tr>
      <w:tr>
        <w:tblPrEx>
          <w:tblCellMar>
            <w:top w:w="0" w:type="dxa"/>
            <w:left w:w="108" w:type="dxa"/>
            <w:bottom w:w="0" w:type="dxa"/>
            <w:right w:w="108" w:type="dxa"/>
          </w:tblCellMar>
        </w:tblPrEx>
        <w:trPr>
          <w:trHeight w:val="420" w:hRule="atLeast"/>
          <w:jc w:val="center"/>
        </w:trPr>
        <w:tc>
          <w:tcPr>
            <w:tcW w:w="81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经济分类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r>
      <w:tr>
        <w:tblPrEx>
          <w:tblCellMar>
            <w:top w:w="0" w:type="dxa"/>
            <w:left w:w="108" w:type="dxa"/>
            <w:bottom w:w="0" w:type="dxa"/>
            <w:right w:w="108" w:type="dxa"/>
          </w:tblCellMar>
        </w:tblPrEx>
        <w:trPr>
          <w:trHeight w:val="420" w:hRule="atLeast"/>
          <w:jc w:val="center"/>
        </w:trPr>
        <w:tc>
          <w:tcPr>
            <w:tcW w:w="81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915.83</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915.83</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615.83</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工资福利支出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564.58</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564.58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564.58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30101</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基本工资</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133.21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133.21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133.21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30102</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津贴补贴</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5.99</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5.99</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5.99</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30103</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奖金</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73.82</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73.82</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73.82</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30106</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伙食补助费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30107</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绩效工资</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73.73</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73.73</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73.73</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30108</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机关事业单位基本养老保险费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54.15</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54.15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54.15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30109</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职业年金缴费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30110</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职工基本医疗保险缴费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24.87</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24.87</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24.87</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30111</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公务员医疗补助缴费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30112</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其他社会保障缴费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2.71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2.71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2.71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30113</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住房公积金</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40.61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40.61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40.61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30114</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医疗费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30199</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其他工资福利支出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155.49</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155.49</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155.49</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商品和服务支出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42.45</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42.45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42.45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30201</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办公费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7.43</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7.43</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7.43</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30202</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印刷费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30203</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咨询费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30204</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手续费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30205</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水费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1.67</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1.67</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1.67</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30206</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8.99</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8.99</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8.99</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30207</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邮电费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2.10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2.10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2.10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30208</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取暖费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30209</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物业管理费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1.96</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1.96</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1.96</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30211</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差旅费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30212</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因公出国（境）费用</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30213</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维修（护）费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3.32</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3.32</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3.32</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30214</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租赁费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30215</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会议费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0.62</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0.62</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0.62</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30216</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培训费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31</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3.38</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3.38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3.38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30217</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公务接待费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30218</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专用材料费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30224</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被装购置费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34</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30225</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专用燃料费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30226</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劳务费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36</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3.17</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3.17</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3.17</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30227</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委托业务费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37</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30228</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工会经费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38</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5.39</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5.39</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5.39</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30229</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福利费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39</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4.41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4.41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4.41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30231</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公务用车运行维护费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30239</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其他交通费用</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41</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30240</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税金及附加费用</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42</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30299</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其他商品和服务支出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43</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对个人和家庭的补助</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44</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8.80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8.80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8.80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30301</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离休费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45</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30302</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退休费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46</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30303</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退职（役）费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47</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30304</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抚恤金</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48</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30305</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生活补助</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49</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8.80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8.80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8.80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30306</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救济费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30307</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医疗费补助</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51</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30308</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助学金</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52</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30309</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奖励金</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53</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30310</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个人农业生产补贴</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54</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30311</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代缴社会保险费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30399</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其他个人和家庭的补助支出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56</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债务利息及费用支出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57</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30701</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国内债务付息</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58</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30702</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国外债务付息</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59</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30703</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国内债务发行费用</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30704</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国外债务发行费用</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61</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309</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资本性支出（基本建设）</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62</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30901</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房屋建筑物购建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63</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30902</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办公设备购置</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64</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30903</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专用设备购置</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65</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30905</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基础设施建设</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30906</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大型修缮</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67</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30907</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信息网络及软件购置更新</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68</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30908</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物资储备</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69</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30913</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公务用车购置</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30919</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其他交通工具购置</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71</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30921</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文物和陈列品购置</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72</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30922</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无形资产购置</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73</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30999</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其他基本建设支出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74</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资本性支出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75</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31001</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房屋建筑物购建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76</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31002</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办公设备购置</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77</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31003</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专用设备购置</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78</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31005</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基础设施建设</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79</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200.00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200.00</w:t>
            </w: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31006</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大型修缮</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31007</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信息网络及软件购置更新</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81</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31008</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物资储备</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82</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31009</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土地补偿</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83</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31010</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安置补助</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84</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31011</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地上附着物和青苗补偿</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85</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31012</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拆迁补偿</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86</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31013</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公务用车购置</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87</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31019</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其他交通工具购置</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88</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31021</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文物和陈列品购置</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89</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31022</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无形资产购置</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31099</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其他资本性支出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91</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311</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对企业补助（基本建设）</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92</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31101</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资本金注入</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93</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31199</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其他对企业补助</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94</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对企业补助</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31201</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资本金注入</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96</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31203</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政府投资基金股权投资</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97</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31204</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费用补贴</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98</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31205</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利息补贴</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99</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312099</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其他对企业补助</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313</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对社会保障基金补助</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101</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31302</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对社会保险基金补助</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102</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31303</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补充全国社会保障基金</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103</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31304</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对机关事业单位职业年金的补助</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104</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105</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39907</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国家赔偿费用支出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106</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39908</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对民间非营利组织和群众性自治组织补贴</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107</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39909</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经常性赠与</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108</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39910</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资本性赠与</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109</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jc w:val="center"/>
        </w:trPr>
        <w:tc>
          <w:tcPr>
            <w:tcW w:w="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39999</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bl>
    <w:p>
      <w:pPr>
        <w:rPr>
          <w:rStyle w:val="30"/>
          <w:rFonts w:ascii="Times New Roman" w:hAnsi="Times New Roman" w:eastAsia="仿宋" w:cs="Times New Roman"/>
          <w:bCs w:val="0"/>
        </w:rPr>
      </w:pPr>
    </w:p>
    <w:p>
      <w:pPr>
        <w:rPr>
          <w:rStyle w:val="30"/>
          <w:rFonts w:ascii="Times New Roman" w:hAnsi="Times New Roman" w:eastAsia="仿宋" w:cs="Times New Roman"/>
          <w:bCs w:val="0"/>
        </w:rPr>
      </w:pPr>
    </w:p>
    <w:p>
      <w:pPr>
        <w:rPr>
          <w:rStyle w:val="30"/>
          <w:rFonts w:ascii="Times New Roman" w:hAnsi="Times New Roman" w:eastAsia="仿宋" w:cs="Times New Roman"/>
          <w:bCs w:val="0"/>
        </w:rPr>
      </w:pPr>
    </w:p>
    <w:p>
      <w:pPr>
        <w:rPr>
          <w:rStyle w:val="30"/>
          <w:rFonts w:ascii="Times New Roman" w:hAnsi="Times New Roman" w:eastAsia="仿宋" w:cs="Times New Roman"/>
          <w:bCs w:val="0"/>
        </w:rPr>
      </w:pPr>
    </w:p>
    <w:p>
      <w:pPr>
        <w:rPr>
          <w:rStyle w:val="30"/>
          <w:rFonts w:ascii="Times New Roman" w:hAnsi="Times New Roman" w:eastAsia="仿宋" w:cs="Times New Roman"/>
          <w:bCs w:val="0"/>
        </w:rPr>
      </w:pPr>
    </w:p>
    <w:p>
      <w:pPr>
        <w:rPr>
          <w:rStyle w:val="30"/>
          <w:rFonts w:ascii="Times New Roman" w:hAnsi="Times New Roman" w:eastAsia="仿宋" w:cs="Times New Roman"/>
          <w:bCs w:val="0"/>
        </w:rPr>
      </w:pPr>
    </w:p>
    <w:tbl>
      <w:tblPr>
        <w:tblStyle w:val="15"/>
        <w:tblW w:w="14174" w:type="dxa"/>
        <w:tblInd w:w="0" w:type="dxa"/>
        <w:tblLayout w:type="autofit"/>
        <w:tblCellMar>
          <w:top w:w="0" w:type="dxa"/>
          <w:left w:w="108" w:type="dxa"/>
          <w:bottom w:w="0" w:type="dxa"/>
          <w:right w:w="108" w:type="dxa"/>
        </w:tblCellMar>
      </w:tblPr>
      <w:tblGrid>
        <w:gridCol w:w="96"/>
        <w:gridCol w:w="316"/>
        <w:gridCol w:w="412"/>
        <w:gridCol w:w="412"/>
        <w:gridCol w:w="2557"/>
        <w:gridCol w:w="302"/>
        <w:gridCol w:w="302"/>
        <w:gridCol w:w="115"/>
        <w:gridCol w:w="756"/>
        <w:gridCol w:w="756"/>
        <w:gridCol w:w="766"/>
        <w:gridCol w:w="596"/>
        <w:gridCol w:w="666"/>
        <w:gridCol w:w="437"/>
        <w:gridCol w:w="681"/>
        <w:gridCol w:w="148"/>
        <w:gridCol w:w="636"/>
        <w:gridCol w:w="447"/>
        <w:gridCol w:w="28"/>
        <w:gridCol w:w="715"/>
        <w:gridCol w:w="478"/>
        <w:gridCol w:w="190"/>
        <w:gridCol w:w="447"/>
        <w:gridCol w:w="692"/>
        <w:gridCol w:w="416"/>
        <w:gridCol w:w="508"/>
        <w:gridCol w:w="299"/>
      </w:tblGrid>
      <w:tr>
        <w:tblPrEx>
          <w:tblCellMar>
            <w:top w:w="0" w:type="dxa"/>
            <w:left w:w="108" w:type="dxa"/>
            <w:bottom w:w="0" w:type="dxa"/>
            <w:right w:w="108" w:type="dxa"/>
          </w:tblCellMar>
        </w:tblPrEx>
        <w:trPr>
          <w:gridBefore w:val="1"/>
          <w:gridAfter w:val="1"/>
          <w:wBefore w:w="96" w:type="dxa"/>
          <w:wAfter w:w="299" w:type="dxa"/>
          <w:trHeight w:val="405" w:hRule="atLeast"/>
        </w:trPr>
        <w:tc>
          <w:tcPr>
            <w:tcW w:w="13779" w:type="dxa"/>
            <w:gridSpan w:val="25"/>
            <w:tcBorders>
              <w:top w:val="nil"/>
              <w:left w:val="nil"/>
              <w:bottom w:val="nil"/>
              <w:right w:val="nil"/>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黑体_GBK" w:hAnsi="方正黑体_GBK" w:eastAsia="方正黑体_GBK" w:cs="方正黑体_GBK"/>
                <w:color w:val="000000"/>
                <w:kern w:val="0"/>
                <w:sz w:val="32"/>
                <w:szCs w:val="32"/>
              </w:rPr>
              <w:t>六、一般公共预算财政拨款支出决算表</w:t>
            </w:r>
          </w:p>
        </w:tc>
      </w:tr>
      <w:tr>
        <w:tblPrEx>
          <w:tblCellMar>
            <w:top w:w="0" w:type="dxa"/>
            <w:left w:w="108" w:type="dxa"/>
            <w:bottom w:w="0" w:type="dxa"/>
            <w:right w:w="108" w:type="dxa"/>
          </w:tblCellMar>
        </w:tblPrEx>
        <w:trPr>
          <w:gridBefore w:val="1"/>
          <w:gridAfter w:val="1"/>
          <w:wBefore w:w="96" w:type="dxa"/>
          <w:wAfter w:w="299" w:type="dxa"/>
          <w:trHeight w:val="255" w:hRule="atLeast"/>
        </w:trPr>
        <w:tc>
          <w:tcPr>
            <w:tcW w:w="3697" w:type="dxa"/>
            <w:gridSpan w:val="4"/>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02"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02"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921" w:type="dxa"/>
            <w:gridSpan w:val="9"/>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111" w:type="dxa"/>
            <w:gridSpan w:val="3"/>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383" w:type="dxa"/>
            <w:gridSpan w:val="3"/>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063" w:type="dxa"/>
            <w:gridSpan w:val="4"/>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财决公开06表</w:t>
            </w:r>
          </w:p>
        </w:tc>
      </w:tr>
      <w:tr>
        <w:tblPrEx>
          <w:tblCellMar>
            <w:top w:w="0" w:type="dxa"/>
            <w:left w:w="108" w:type="dxa"/>
            <w:bottom w:w="0" w:type="dxa"/>
            <w:right w:w="108" w:type="dxa"/>
          </w:tblCellMar>
        </w:tblPrEx>
        <w:trPr>
          <w:gridBefore w:val="1"/>
          <w:gridAfter w:val="1"/>
          <w:wBefore w:w="96" w:type="dxa"/>
          <w:wAfter w:w="299" w:type="dxa"/>
          <w:trHeight w:val="255" w:hRule="atLeast"/>
        </w:trPr>
        <w:tc>
          <w:tcPr>
            <w:tcW w:w="3697" w:type="dxa"/>
            <w:gridSpan w:val="4"/>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单位名称</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达川区实验幼儿园</w:t>
            </w:r>
          </w:p>
        </w:tc>
        <w:tc>
          <w:tcPr>
            <w:tcW w:w="302"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02"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921" w:type="dxa"/>
            <w:gridSpan w:val="9"/>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111" w:type="dxa"/>
            <w:gridSpan w:val="3"/>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383" w:type="dxa"/>
            <w:gridSpan w:val="3"/>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063" w:type="dxa"/>
            <w:gridSpan w:val="4"/>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万元</w:t>
            </w:r>
          </w:p>
        </w:tc>
      </w:tr>
      <w:tr>
        <w:tblPrEx>
          <w:tblCellMar>
            <w:top w:w="0" w:type="dxa"/>
            <w:left w:w="108" w:type="dxa"/>
            <w:bottom w:w="0" w:type="dxa"/>
            <w:right w:w="108" w:type="dxa"/>
          </w:tblCellMar>
        </w:tblPrEx>
        <w:trPr>
          <w:gridBefore w:val="1"/>
          <w:gridAfter w:val="1"/>
          <w:wBefore w:w="96" w:type="dxa"/>
          <w:wAfter w:w="299" w:type="dxa"/>
          <w:trHeight w:val="310" w:hRule="atLeast"/>
        </w:trPr>
        <w:tc>
          <w:tcPr>
            <w:tcW w:w="9222"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4557"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w:t>
            </w:r>
          </w:p>
        </w:tc>
      </w:tr>
      <w:tr>
        <w:tblPrEx>
          <w:tblCellMar>
            <w:top w:w="0" w:type="dxa"/>
            <w:left w:w="108" w:type="dxa"/>
            <w:bottom w:w="0" w:type="dxa"/>
            <w:right w:w="108" w:type="dxa"/>
          </w:tblCellMar>
        </w:tblPrEx>
        <w:trPr>
          <w:gridBefore w:val="1"/>
          <w:gridAfter w:val="1"/>
          <w:wBefore w:w="96" w:type="dxa"/>
          <w:wAfter w:w="299" w:type="dxa"/>
          <w:trHeight w:val="312" w:hRule="atLeast"/>
        </w:trPr>
        <w:tc>
          <w:tcPr>
            <w:tcW w:w="4301" w:type="dxa"/>
            <w:gridSpan w:val="6"/>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科目代码</w:t>
            </w:r>
          </w:p>
        </w:tc>
        <w:tc>
          <w:tcPr>
            <w:tcW w:w="4921" w:type="dxa"/>
            <w:gridSpan w:val="9"/>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111" w:type="dxa"/>
            <w:gridSpan w:val="3"/>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383" w:type="dxa"/>
            <w:gridSpan w:val="3"/>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2063" w:type="dxa"/>
            <w:gridSpan w:val="4"/>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r>
      <w:tr>
        <w:tblPrEx>
          <w:tblCellMar>
            <w:top w:w="0" w:type="dxa"/>
            <w:left w:w="108" w:type="dxa"/>
            <w:bottom w:w="0" w:type="dxa"/>
            <w:right w:w="108" w:type="dxa"/>
          </w:tblCellMar>
        </w:tblPrEx>
        <w:trPr>
          <w:gridBefore w:val="1"/>
          <w:gridAfter w:val="1"/>
          <w:wBefore w:w="96" w:type="dxa"/>
          <w:wAfter w:w="299" w:type="dxa"/>
          <w:trHeight w:val="312" w:hRule="atLeast"/>
        </w:trPr>
        <w:tc>
          <w:tcPr>
            <w:tcW w:w="430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921"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1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3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06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gridBefore w:val="1"/>
          <w:gridAfter w:val="1"/>
          <w:wBefore w:w="96" w:type="dxa"/>
          <w:wAfter w:w="299" w:type="dxa"/>
          <w:trHeight w:val="310" w:hRule="atLeast"/>
        </w:trPr>
        <w:tc>
          <w:tcPr>
            <w:tcW w:w="9222"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1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gridBefore w:val="1"/>
          <w:gridAfter w:val="1"/>
          <w:wBefore w:w="96" w:type="dxa"/>
          <w:wAfter w:w="299" w:type="dxa"/>
          <w:trHeight w:val="310" w:hRule="atLeast"/>
        </w:trPr>
        <w:tc>
          <w:tcPr>
            <w:tcW w:w="9222"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111"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915.83</w:t>
            </w:r>
          </w:p>
        </w:tc>
        <w:tc>
          <w:tcPr>
            <w:tcW w:w="1383"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615.83</w:t>
            </w:r>
          </w:p>
        </w:tc>
        <w:tc>
          <w:tcPr>
            <w:tcW w:w="2063" w:type="dxa"/>
            <w:gridSpan w:val="4"/>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r>
      <w:tr>
        <w:tblPrEx>
          <w:tblCellMar>
            <w:top w:w="0" w:type="dxa"/>
            <w:left w:w="108" w:type="dxa"/>
            <w:bottom w:w="0" w:type="dxa"/>
            <w:right w:w="108" w:type="dxa"/>
          </w:tblCellMar>
        </w:tblPrEx>
        <w:trPr>
          <w:gridBefore w:val="1"/>
          <w:gridAfter w:val="1"/>
          <w:wBefore w:w="96" w:type="dxa"/>
          <w:wAfter w:w="299" w:type="dxa"/>
          <w:trHeight w:val="310" w:hRule="atLeast"/>
        </w:trPr>
        <w:tc>
          <w:tcPr>
            <w:tcW w:w="43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205</w:t>
            </w:r>
          </w:p>
        </w:tc>
        <w:tc>
          <w:tcPr>
            <w:tcW w:w="492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教育支出</w:t>
            </w:r>
          </w:p>
        </w:tc>
        <w:tc>
          <w:tcPr>
            <w:tcW w:w="11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793.49</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493.49</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r>
      <w:tr>
        <w:tblPrEx>
          <w:tblCellMar>
            <w:top w:w="0" w:type="dxa"/>
            <w:left w:w="108" w:type="dxa"/>
            <w:bottom w:w="0" w:type="dxa"/>
            <w:right w:w="108" w:type="dxa"/>
          </w:tblCellMar>
        </w:tblPrEx>
        <w:trPr>
          <w:gridBefore w:val="1"/>
          <w:gridAfter w:val="1"/>
          <w:wBefore w:w="96" w:type="dxa"/>
          <w:wAfter w:w="299" w:type="dxa"/>
          <w:trHeight w:val="310" w:hRule="atLeast"/>
        </w:trPr>
        <w:tc>
          <w:tcPr>
            <w:tcW w:w="43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20502</w:t>
            </w:r>
          </w:p>
        </w:tc>
        <w:tc>
          <w:tcPr>
            <w:tcW w:w="492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普通教育</w:t>
            </w:r>
          </w:p>
        </w:tc>
        <w:tc>
          <w:tcPr>
            <w:tcW w:w="11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493.49</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493.49</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gridBefore w:val="1"/>
          <w:gridAfter w:val="1"/>
          <w:wBefore w:w="96" w:type="dxa"/>
          <w:wAfter w:w="299" w:type="dxa"/>
          <w:trHeight w:val="310" w:hRule="atLeast"/>
        </w:trPr>
        <w:tc>
          <w:tcPr>
            <w:tcW w:w="43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2050201</w:t>
            </w:r>
          </w:p>
        </w:tc>
        <w:tc>
          <w:tcPr>
            <w:tcW w:w="492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学前教育</w:t>
            </w:r>
          </w:p>
        </w:tc>
        <w:tc>
          <w:tcPr>
            <w:tcW w:w="11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493.49</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493.49</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gridBefore w:val="1"/>
          <w:gridAfter w:val="1"/>
          <w:wBefore w:w="96" w:type="dxa"/>
          <w:wAfter w:w="299" w:type="dxa"/>
          <w:trHeight w:val="310" w:hRule="atLeast"/>
        </w:trPr>
        <w:tc>
          <w:tcPr>
            <w:tcW w:w="43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20509</w:t>
            </w:r>
          </w:p>
        </w:tc>
        <w:tc>
          <w:tcPr>
            <w:tcW w:w="492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教育费附加安排的支出</w:t>
            </w:r>
          </w:p>
        </w:tc>
        <w:tc>
          <w:tcPr>
            <w:tcW w:w="11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r>
      <w:tr>
        <w:tblPrEx>
          <w:tblCellMar>
            <w:top w:w="0" w:type="dxa"/>
            <w:left w:w="108" w:type="dxa"/>
            <w:bottom w:w="0" w:type="dxa"/>
            <w:right w:w="108" w:type="dxa"/>
          </w:tblCellMar>
        </w:tblPrEx>
        <w:trPr>
          <w:gridBefore w:val="1"/>
          <w:gridAfter w:val="1"/>
          <w:wBefore w:w="96" w:type="dxa"/>
          <w:wAfter w:w="299" w:type="dxa"/>
          <w:trHeight w:val="310" w:hRule="atLeast"/>
        </w:trPr>
        <w:tc>
          <w:tcPr>
            <w:tcW w:w="43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2050999</w:t>
            </w:r>
          </w:p>
        </w:tc>
        <w:tc>
          <w:tcPr>
            <w:tcW w:w="492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其他教育费附加安排的支出</w:t>
            </w:r>
          </w:p>
        </w:tc>
        <w:tc>
          <w:tcPr>
            <w:tcW w:w="11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r>
      <w:tr>
        <w:tblPrEx>
          <w:tblCellMar>
            <w:top w:w="0" w:type="dxa"/>
            <w:left w:w="108" w:type="dxa"/>
            <w:bottom w:w="0" w:type="dxa"/>
            <w:right w:w="108" w:type="dxa"/>
          </w:tblCellMar>
        </w:tblPrEx>
        <w:trPr>
          <w:gridBefore w:val="1"/>
          <w:gridAfter w:val="1"/>
          <w:wBefore w:w="96" w:type="dxa"/>
          <w:wAfter w:w="299" w:type="dxa"/>
          <w:trHeight w:val="310" w:hRule="atLeast"/>
        </w:trPr>
        <w:tc>
          <w:tcPr>
            <w:tcW w:w="43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208</w:t>
            </w:r>
          </w:p>
        </w:tc>
        <w:tc>
          <w:tcPr>
            <w:tcW w:w="492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社会保障和就业支出</w:t>
            </w:r>
          </w:p>
        </w:tc>
        <w:tc>
          <w:tcPr>
            <w:tcW w:w="11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56.86</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56.86</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gridBefore w:val="1"/>
          <w:gridAfter w:val="1"/>
          <w:wBefore w:w="96" w:type="dxa"/>
          <w:wAfter w:w="299" w:type="dxa"/>
          <w:trHeight w:val="310" w:hRule="atLeast"/>
        </w:trPr>
        <w:tc>
          <w:tcPr>
            <w:tcW w:w="43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20805</w:t>
            </w:r>
          </w:p>
        </w:tc>
        <w:tc>
          <w:tcPr>
            <w:tcW w:w="492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行政事业单位养老支出</w:t>
            </w:r>
          </w:p>
        </w:tc>
        <w:tc>
          <w:tcPr>
            <w:tcW w:w="11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54.15</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54.15</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gridBefore w:val="1"/>
          <w:gridAfter w:val="1"/>
          <w:wBefore w:w="96" w:type="dxa"/>
          <w:wAfter w:w="299" w:type="dxa"/>
          <w:trHeight w:val="310" w:hRule="atLeast"/>
        </w:trPr>
        <w:tc>
          <w:tcPr>
            <w:tcW w:w="43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2080505</w:t>
            </w:r>
          </w:p>
        </w:tc>
        <w:tc>
          <w:tcPr>
            <w:tcW w:w="492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机关事业单位基本养老保险缴费支出</w:t>
            </w:r>
          </w:p>
        </w:tc>
        <w:tc>
          <w:tcPr>
            <w:tcW w:w="11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54.15</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54.15</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gridBefore w:val="1"/>
          <w:gridAfter w:val="1"/>
          <w:wBefore w:w="96" w:type="dxa"/>
          <w:wAfter w:w="299" w:type="dxa"/>
          <w:trHeight w:val="310" w:hRule="atLeast"/>
        </w:trPr>
        <w:tc>
          <w:tcPr>
            <w:tcW w:w="43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20899</w:t>
            </w:r>
          </w:p>
        </w:tc>
        <w:tc>
          <w:tcPr>
            <w:tcW w:w="492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其他社会保障和就业支出</w:t>
            </w:r>
          </w:p>
        </w:tc>
        <w:tc>
          <w:tcPr>
            <w:tcW w:w="11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2.71</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2.71</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gridBefore w:val="1"/>
          <w:gridAfter w:val="1"/>
          <w:wBefore w:w="96" w:type="dxa"/>
          <w:wAfter w:w="299" w:type="dxa"/>
          <w:trHeight w:val="310" w:hRule="atLeast"/>
        </w:trPr>
        <w:tc>
          <w:tcPr>
            <w:tcW w:w="43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2089999</w:t>
            </w:r>
          </w:p>
        </w:tc>
        <w:tc>
          <w:tcPr>
            <w:tcW w:w="492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其他社会保障和就业支出</w:t>
            </w:r>
          </w:p>
        </w:tc>
        <w:tc>
          <w:tcPr>
            <w:tcW w:w="11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2.71</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2.71</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gridBefore w:val="1"/>
          <w:gridAfter w:val="1"/>
          <w:wBefore w:w="96" w:type="dxa"/>
          <w:wAfter w:w="299" w:type="dxa"/>
          <w:trHeight w:val="310" w:hRule="atLeast"/>
        </w:trPr>
        <w:tc>
          <w:tcPr>
            <w:tcW w:w="43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210</w:t>
            </w:r>
          </w:p>
        </w:tc>
        <w:tc>
          <w:tcPr>
            <w:tcW w:w="492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卫生健康支出</w:t>
            </w:r>
          </w:p>
        </w:tc>
        <w:tc>
          <w:tcPr>
            <w:tcW w:w="11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24.87</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24.87</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gridBefore w:val="1"/>
          <w:gridAfter w:val="1"/>
          <w:wBefore w:w="96" w:type="dxa"/>
          <w:wAfter w:w="299" w:type="dxa"/>
          <w:trHeight w:val="310" w:hRule="atLeast"/>
        </w:trPr>
        <w:tc>
          <w:tcPr>
            <w:tcW w:w="43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21011</w:t>
            </w:r>
          </w:p>
        </w:tc>
        <w:tc>
          <w:tcPr>
            <w:tcW w:w="492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行政事业单位医疗</w:t>
            </w:r>
          </w:p>
        </w:tc>
        <w:tc>
          <w:tcPr>
            <w:tcW w:w="11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24.87</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24.87</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gridBefore w:val="1"/>
          <w:gridAfter w:val="1"/>
          <w:wBefore w:w="96" w:type="dxa"/>
          <w:wAfter w:w="299" w:type="dxa"/>
          <w:trHeight w:val="310" w:hRule="atLeast"/>
        </w:trPr>
        <w:tc>
          <w:tcPr>
            <w:tcW w:w="43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2101102</w:t>
            </w:r>
          </w:p>
        </w:tc>
        <w:tc>
          <w:tcPr>
            <w:tcW w:w="492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事业单位医疗</w:t>
            </w:r>
          </w:p>
        </w:tc>
        <w:tc>
          <w:tcPr>
            <w:tcW w:w="11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24.87</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24.87</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gridBefore w:val="1"/>
          <w:gridAfter w:val="1"/>
          <w:wBefore w:w="96" w:type="dxa"/>
          <w:wAfter w:w="299" w:type="dxa"/>
          <w:trHeight w:val="310" w:hRule="atLeast"/>
        </w:trPr>
        <w:tc>
          <w:tcPr>
            <w:tcW w:w="43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221</w:t>
            </w:r>
          </w:p>
        </w:tc>
        <w:tc>
          <w:tcPr>
            <w:tcW w:w="492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住房保障支出</w:t>
            </w:r>
          </w:p>
        </w:tc>
        <w:tc>
          <w:tcPr>
            <w:tcW w:w="11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40.61</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40.61</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gridBefore w:val="1"/>
          <w:gridAfter w:val="1"/>
          <w:wBefore w:w="96" w:type="dxa"/>
          <w:wAfter w:w="299" w:type="dxa"/>
          <w:trHeight w:val="310" w:hRule="atLeast"/>
        </w:trPr>
        <w:tc>
          <w:tcPr>
            <w:tcW w:w="43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22102</w:t>
            </w:r>
          </w:p>
        </w:tc>
        <w:tc>
          <w:tcPr>
            <w:tcW w:w="492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住房改革支出</w:t>
            </w:r>
          </w:p>
        </w:tc>
        <w:tc>
          <w:tcPr>
            <w:tcW w:w="11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40.61</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40.61</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gridBefore w:val="1"/>
          <w:gridAfter w:val="1"/>
          <w:wBefore w:w="96" w:type="dxa"/>
          <w:wAfter w:w="299" w:type="dxa"/>
          <w:trHeight w:val="310" w:hRule="atLeast"/>
        </w:trPr>
        <w:tc>
          <w:tcPr>
            <w:tcW w:w="43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2210201</w:t>
            </w:r>
          </w:p>
        </w:tc>
        <w:tc>
          <w:tcPr>
            <w:tcW w:w="492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住房公积金</w:t>
            </w:r>
          </w:p>
        </w:tc>
        <w:tc>
          <w:tcPr>
            <w:tcW w:w="11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40.61</w:t>
            </w:r>
          </w:p>
        </w:tc>
        <w:tc>
          <w:tcPr>
            <w:tcW w:w="13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40.61</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405" w:hRule="atLeast"/>
        </w:trPr>
        <w:tc>
          <w:tcPr>
            <w:tcW w:w="14174" w:type="dxa"/>
            <w:gridSpan w:val="27"/>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color w:val="000000"/>
                <w:kern w:val="0"/>
                <w:sz w:val="32"/>
                <w:szCs w:val="32"/>
              </w:rPr>
            </w:pPr>
          </w:p>
          <w:p>
            <w:pPr>
              <w:jc w:val="center"/>
              <w:rPr>
                <w:rFonts w:ascii="方正小标宋简体" w:hAnsi="方正小标宋简体" w:eastAsia="方正小标宋简体" w:cs="方正小标宋简体"/>
                <w:color w:val="000000"/>
                <w:sz w:val="32"/>
                <w:szCs w:val="32"/>
              </w:rPr>
            </w:pPr>
            <w:r>
              <w:rPr>
                <w:rFonts w:hint="eastAsia" w:ascii="方正黑体_GBK" w:hAnsi="方正黑体_GBK" w:eastAsia="方正黑体_GBK" w:cs="方正黑体_GBK"/>
                <w:color w:val="000000"/>
                <w:kern w:val="0"/>
                <w:sz w:val="32"/>
                <w:szCs w:val="32"/>
              </w:rPr>
              <w:t>七、一般公共预算财政拨款支出决算明细表</w:t>
            </w:r>
          </w:p>
        </w:tc>
      </w:tr>
      <w:tr>
        <w:tblPrEx>
          <w:tblCellMar>
            <w:top w:w="0" w:type="dxa"/>
            <w:left w:w="108" w:type="dxa"/>
            <w:bottom w:w="0" w:type="dxa"/>
            <w:right w:w="108" w:type="dxa"/>
          </w:tblCellMar>
        </w:tblPrEx>
        <w:trPr>
          <w:trHeight w:val="255" w:hRule="atLeast"/>
        </w:trPr>
        <w:tc>
          <w:tcPr>
            <w:tcW w:w="412" w:type="dxa"/>
            <w:gridSpan w:val="2"/>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12"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12"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276" w:type="dxa"/>
            <w:gridSpan w:val="4"/>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756"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756"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766"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96"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666"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37"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681"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784" w:type="dxa"/>
            <w:gridSpan w:val="2"/>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47"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743" w:type="dxa"/>
            <w:gridSpan w:val="2"/>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78"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637" w:type="dxa"/>
            <w:gridSpan w:val="2"/>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915" w:type="dxa"/>
            <w:gridSpan w:val="4"/>
            <w:tcBorders>
              <w:top w:val="nil"/>
              <w:left w:val="nil"/>
              <w:bottom w:val="nil"/>
              <w:right w:val="nil"/>
            </w:tcBorders>
            <w:shd w:val="clear" w:color="auto" w:fill="auto"/>
            <w:noWrap/>
            <w:vAlign w:val="center"/>
          </w:tcPr>
          <w:p>
            <w:pPr>
              <w:jc w:val="right"/>
              <w:rPr>
                <w:rFonts w:ascii="宋体" w:hAnsi="宋体" w:cs="宋体"/>
                <w:color w:val="000000"/>
                <w:sz w:val="20"/>
                <w:szCs w:val="20"/>
              </w:rPr>
            </w:pPr>
            <w:r>
              <w:rPr>
                <w:rFonts w:hint="eastAsia" w:ascii="宋体" w:hAnsi="宋体" w:cs="宋体"/>
                <w:color w:val="000000"/>
                <w:kern w:val="0"/>
                <w:sz w:val="20"/>
                <w:szCs w:val="20"/>
              </w:rPr>
              <w:t>财决公开07表</w:t>
            </w:r>
          </w:p>
        </w:tc>
      </w:tr>
      <w:tr>
        <w:tblPrEx>
          <w:tblCellMar>
            <w:top w:w="0" w:type="dxa"/>
            <w:left w:w="108" w:type="dxa"/>
            <w:bottom w:w="0" w:type="dxa"/>
            <w:right w:w="108" w:type="dxa"/>
          </w:tblCellMar>
        </w:tblPrEx>
        <w:trPr>
          <w:trHeight w:val="255" w:hRule="atLeast"/>
        </w:trPr>
        <w:tc>
          <w:tcPr>
            <w:tcW w:w="4512" w:type="dxa"/>
            <w:gridSpan w:val="8"/>
            <w:tcBorders>
              <w:top w:val="nil"/>
              <w:left w:val="nil"/>
              <w:bottom w:val="nil"/>
              <w:right w:val="nil"/>
            </w:tcBorders>
            <w:shd w:val="clear" w:color="auto" w:fill="auto"/>
            <w:noWrap/>
            <w:vAlign w:val="center"/>
          </w:tcPr>
          <w:p>
            <w:pPr>
              <w:jc w:val="left"/>
              <w:rPr>
                <w:rFonts w:ascii="宋体" w:hAnsi="宋体" w:cs="宋体"/>
                <w:color w:val="000000"/>
                <w:sz w:val="18"/>
                <w:szCs w:val="18"/>
              </w:rPr>
            </w:pPr>
            <w:r>
              <w:rPr>
                <w:rFonts w:hint="eastAsia" w:ascii="宋体" w:hAnsi="宋体" w:cs="宋体"/>
                <w:color w:val="000000"/>
                <w:kern w:val="0"/>
                <w:sz w:val="18"/>
                <w:szCs w:val="18"/>
              </w:rPr>
              <w:t>单位名称</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达川区实验幼儿园</w:t>
            </w:r>
          </w:p>
        </w:tc>
        <w:tc>
          <w:tcPr>
            <w:tcW w:w="756" w:type="dxa"/>
            <w:tcBorders>
              <w:top w:val="nil"/>
              <w:left w:val="nil"/>
              <w:bottom w:val="nil"/>
              <w:right w:val="nil"/>
            </w:tcBorders>
            <w:shd w:val="clear" w:color="auto" w:fill="auto"/>
            <w:noWrap/>
            <w:vAlign w:val="center"/>
          </w:tcPr>
          <w:p>
            <w:pPr>
              <w:jc w:val="right"/>
              <w:rPr>
                <w:rFonts w:ascii="宋体" w:hAnsi="宋体" w:cs="宋体"/>
                <w:color w:val="000000"/>
                <w:sz w:val="18"/>
                <w:szCs w:val="18"/>
              </w:rPr>
            </w:pPr>
          </w:p>
        </w:tc>
        <w:tc>
          <w:tcPr>
            <w:tcW w:w="756" w:type="dxa"/>
            <w:tcBorders>
              <w:top w:val="nil"/>
              <w:left w:val="nil"/>
              <w:bottom w:val="nil"/>
              <w:right w:val="nil"/>
            </w:tcBorders>
            <w:shd w:val="clear" w:color="auto" w:fill="auto"/>
            <w:noWrap/>
            <w:vAlign w:val="center"/>
          </w:tcPr>
          <w:p>
            <w:pPr>
              <w:jc w:val="right"/>
              <w:rPr>
                <w:rFonts w:ascii="宋体" w:hAnsi="宋体" w:cs="宋体"/>
                <w:color w:val="000000"/>
                <w:sz w:val="18"/>
                <w:szCs w:val="18"/>
              </w:rPr>
            </w:pPr>
          </w:p>
        </w:tc>
        <w:tc>
          <w:tcPr>
            <w:tcW w:w="766" w:type="dxa"/>
            <w:tcBorders>
              <w:top w:val="nil"/>
              <w:left w:val="nil"/>
              <w:bottom w:val="nil"/>
              <w:right w:val="nil"/>
            </w:tcBorders>
            <w:shd w:val="clear" w:color="auto" w:fill="auto"/>
            <w:noWrap/>
            <w:vAlign w:val="center"/>
          </w:tcPr>
          <w:p>
            <w:pPr>
              <w:jc w:val="right"/>
              <w:rPr>
                <w:rFonts w:ascii="宋体" w:hAnsi="宋体" w:cs="宋体"/>
                <w:color w:val="000000"/>
                <w:sz w:val="18"/>
                <w:szCs w:val="18"/>
              </w:rPr>
            </w:pPr>
          </w:p>
        </w:tc>
        <w:tc>
          <w:tcPr>
            <w:tcW w:w="596" w:type="dxa"/>
            <w:tcBorders>
              <w:top w:val="nil"/>
              <w:left w:val="nil"/>
              <w:bottom w:val="nil"/>
              <w:right w:val="nil"/>
            </w:tcBorders>
            <w:shd w:val="clear" w:color="auto" w:fill="auto"/>
            <w:noWrap/>
            <w:vAlign w:val="center"/>
          </w:tcPr>
          <w:p>
            <w:pPr>
              <w:jc w:val="right"/>
              <w:rPr>
                <w:rFonts w:ascii="宋体" w:hAnsi="宋体" w:cs="宋体"/>
                <w:color w:val="000000"/>
                <w:sz w:val="18"/>
                <w:szCs w:val="18"/>
              </w:rPr>
            </w:pPr>
          </w:p>
        </w:tc>
        <w:tc>
          <w:tcPr>
            <w:tcW w:w="666" w:type="dxa"/>
            <w:tcBorders>
              <w:top w:val="nil"/>
              <w:left w:val="nil"/>
              <w:bottom w:val="nil"/>
              <w:right w:val="nil"/>
            </w:tcBorders>
            <w:shd w:val="clear" w:color="auto" w:fill="auto"/>
            <w:noWrap/>
            <w:vAlign w:val="center"/>
          </w:tcPr>
          <w:p>
            <w:pPr>
              <w:jc w:val="right"/>
              <w:rPr>
                <w:rFonts w:ascii="宋体" w:hAnsi="宋体" w:cs="宋体"/>
                <w:color w:val="000000"/>
                <w:sz w:val="18"/>
                <w:szCs w:val="18"/>
              </w:rPr>
            </w:pPr>
          </w:p>
        </w:tc>
        <w:tc>
          <w:tcPr>
            <w:tcW w:w="437" w:type="dxa"/>
            <w:tcBorders>
              <w:top w:val="nil"/>
              <w:left w:val="nil"/>
              <w:bottom w:val="nil"/>
              <w:right w:val="nil"/>
            </w:tcBorders>
            <w:shd w:val="clear" w:color="auto" w:fill="auto"/>
            <w:noWrap/>
            <w:vAlign w:val="center"/>
          </w:tcPr>
          <w:p>
            <w:pPr>
              <w:jc w:val="right"/>
              <w:rPr>
                <w:rFonts w:ascii="宋体" w:hAnsi="宋体" w:cs="宋体"/>
                <w:color w:val="000000"/>
                <w:sz w:val="18"/>
                <w:szCs w:val="18"/>
              </w:rPr>
            </w:pPr>
          </w:p>
        </w:tc>
        <w:tc>
          <w:tcPr>
            <w:tcW w:w="681" w:type="dxa"/>
            <w:tcBorders>
              <w:top w:val="nil"/>
              <w:left w:val="nil"/>
              <w:bottom w:val="nil"/>
              <w:right w:val="nil"/>
            </w:tcBorders>
            <w:shd w:val="clear" w:color="auto" w:fill="auto"/>
            <w:noWrap/>
            <w:vAlign w:val="center"/>
          </w:tcPr>
          <w:p>
            <w:pPr>
              <w:jc w:val="right"/>
              <w:rPr>
                <w:rFonts w:ascii="宋体" w:hAnsi="宋体" w:cs="宋体"/>
                <w:color w:val="000000"/>
                <w:sz w:val="18"/>
                <w:szCs w:val="18"/>
              </w:rPr>
            </w:pPr>
          </w:p>
        </w:tc>
        <w:tc>
          <w:tcPr>
            <w:tcW w:w="784" w:type="dxa"/>
            <w:gridSpan w:val="2"/>
            <w:tcBorders>
              <w:top w:val="nil"/>
              <w:left w:val="nil"/>
              <w:bottom w:val="nil"/>
              <w:right w:val="nil"/>
            </w:tcBorders>
            <w:shd w:val="clear" w:color="auto" w:fill="auto"/>
            <w:noWrap/>
            <w:vAlign w:val="center"/>
          </w:tcPr>
          <w:p>
            <w:pPr>
              <w:jc w:val="right"/>
              <w:rPr>
                <w:rFonts w:ascii="宋体" w:hAnsi="宋体" w:cs="宋体"/>
                <w:color w:val="000000"/>
                <w:sz w:val="18"/>
                <w:szCs w:val="18"/>
              </w:rPr>
            </w:pPr>
          </w:p>
        </w:tc>
        <w:tc>
          <w:tcPr>
            <w:tcW w:w="447" w:type="dxa"/>
            <w:tcBorders>
              <w:top w:val="nil"/>
              <w:left w:val="nil"/>
              <w:bottom w:val="nil"/>
              <w:right w:val="nil"/>
            </w:tcBorders>
            <w:shd w:val="clear" w:color="auto" w:fill="auto"/>
            <w:noWrap/>
            <w:vAlign w:val="center"/>
          </w:tcPr>
          <w:p>
            <w:pPr>
              <w:jc w:val="right"/>
              <w:rPr>
                <w:rFonts w:ascii="宋体" w:hAnsi="宋体" w:cs="宋体"/>
                <w:color w:val="000000"/>
                <w:sz w:val="18"/>
                <w:szCs w:val="18"/>
              </w:rPr>
            </w:pPr>
          </w:p>
        </w:tc>
        <w:tc>
          <w:tcPr>
            <w:tcW w:w="743" w:type="dxa"/>
            <w:gridSpan w:val="2"/>
            <w:tcBorders>
              <w:top w:val="nil"/>
              <w:left w:val="nil"/>
              <w:bottom w:val="nil"/>
              <w:right w:val="nil"/>
            </w:tcBorders>
            <w:shd w:val="clear" w:color="auto" w:fill="auto"/>
            <w:noWrap/>
            <w:vAlign w:val="center"/>
          </w:tcPr>
          <w:p>
            <w:pPr>
              <w:jc w:val="right"/>
              <w:rPr>
                <w:rFonts w:ascii="宋体" w:hAnsi="宋体" w:cs="宋体"/>
                <w:color w:val="000000"/>
                <w:sz w:val="18"/>
                <w:szCs w:val="18"/>
              </w:rPr>
            </w:pPr>
          </w:p>
        </w:tc>
        <w:tc>
          <w:tcPr>
            <w:tcW w:w="478" w:type="dxa"/>
            <w:tcBorders>
              <w:top w:val="nil"/>
              <w:left w:val="nil"/>
              <w:bottom w:val="nil"/>
              <w:right w:val="nil"/>
            </w:tcBorders>
            <w:shd w:val="clear" w:color="auto" w:fill="auto"/>
            <w:noWrap/>
            <w:vAlign w:val="center"/>
          </w:tcPr>
          <w:p>
            <w:pPr>
              <w:jc w:val="right"/>
              <w:rPr>
                <w:rFonts w:ascii="宋体" w:hAnsi="宋体" w:cs="宋体"/>
                <w:color w:val="000000"/>
                <w:sz w:val="18"/>
                <w:szCs w:val="18"/>
              </w:rPr>
            </w:pPr>
          </w:p>
        </w:tc>
        <w:tc>
          <w:tcPr>
            <w:tcW w:w="637" w:type="dxa"/>
            <w:gridSpan w:val="2"/>
            <w:tcBorders>
              <w:top w:val="nil"/>
              <w:left w:val="nil"/>
              <w:bottom w:val="nil"/>
              <w:right w:val="nil"/>
            </w:tcBorders>
            <w:shd w:val="clear" w:color="auto" w:fill="auto"/>
            <w:noWrap/>
            <w:vAlign w:val="center"/>
          </w:tcPr>
          <w:p>
            <w:pPr>
              <w:jc w:val="right"/>
              <w:rPr>
                <w:rFonts w:ascii="宋体" w:hAnsi="宋体" w:cs="宋体"/>
                <w:color w:val="000000"/>
                <w:sz w:val="18"/>
                <w:szCs w:val="18"/>
              </w:rPr>
            </w:pPr>
          </w:p>
        </w:tc>
        <w:tc>
          <w:tcPr>
            <w:tcW w:w="1915" w:type="dxa"/>
            <w:gridSpan w:val="4"/>
            <w:tcBorders>
              <w:top w:val="nil"/>
              <w:left w:val="nil"/>
              <w:bottom w:val="nil"/>
              <w:right w:val="nil"/>
            </w:tcBorders>
            <w:shd w:val="clear" w:color="auto" w:fill="auto"/>
            <w:noWrap/>
            <w:vAlign w:val="center"/>
          </w:tcPr>
          <w:p>
            <w:pPr>
              <w:jc w:val="right"/>
              <w:rPr>
                <w:rFonts w:ascii="宋体" w:hAnsi="宋体" w:cs="宋体"/>
                <w:color w:val="000000"/>
                <w:sz w:val="18"/>
                <w:szCs w:val="18"/>
              </w:rPr>
            </w:pPr>
            <w:r>
              <w:rPr>
                <w:rFonts w:hint="eastAsia" w:ascii="宋体" w:hAnsi="宋体" w:cs="宋体"/>
                <w:color w:val="000000"/>
                <w:kern w:val="0"/>
                <w:sz w:val="20"/>
                <w:szCs w:val="20"/>
              </w:rPr>
              <w:t>金额单位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万元</w:t>
            </w:r>
          </w:p>
        </w:tc>
      </w:tr>
      <w:tr>
        <w:tblPrEx>
          <w:tblCellMar>
            <w:top w:w="0" w:type="dxa"/>
            <w:left w:w="108" w:type="dxa"/>
            <w:bottom w:w="0" w:type="dxa"/>
            <w:right w:w="108" w:type="dxa"/>
          </w:tblCellMar>
        </w:tblPrEx>
        <w:trPr>
          <w:trHeight w:val="310" w:hRule="atLeast"/>
        </w:trPr>
        <w:tc>
          <w:tcPr>
            <w:tcW w:w="451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8906"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工资福利支出</w:t>
            </w:r>
          </w:p>
        </w:tc>
      </w:tr>
      <w:tr>
        <w:tblPrEx>
          <w:tblCellMar>
            <w:top w:w="0" w:type="dxa"/>
            <w:left w:w="108" w:type="dxa"/>
            <w:bottom w:w="0" w:type="dxa"/>
            <w:right w:w="108" w:type="dxa"/>
          </w:tblCellMar>
        </w:tblPrEx>
        <w:trPr>
          <w:trHeight w:val="312" w:hRule="atLeast"/>
        </w:trPr>
        <w:tc>
          <w:tcPr>
            <w:tcW w:w="123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支出功能分类科目代码</w:t>
            </w:r>
          </w:p>
        </w:tc>
        <w:tc>
          <w:tcPr>
            <w:tcW w:w="327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基本工资</w:t>
            </w: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津贴补贴</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奖金</w:t>
            </w:r>
          </w:p>
        </w:tc>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伙食补助费</w:t>
            </w: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绩效工资</w:t>
            </w:r>
          </w:p>
        </w:tc>
        <w:tc>
          <w:tcPr>
            <w:tcW w:w="7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w:t>
            </w:r>
          </w:p>
        </w:tc>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职业年金缴费</w:t>
            </w:r>
          </w:p>
        </w:tc>
        <w:tc>
          <w:tcPr>
            <w:tcW w:w="7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职工基本医疗保险缴费</w:t>
            </w:r>
          </w:p>
        </w:tc>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公务员医疗补助缴费</w:t>
            </w:r>
          </w:p>
        </w:tc>
        <w:tc>
          <w:tcPr>
            <w:tcW w:w="6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其他社会保障缴费</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住房公积金</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医疗费</w:t>
            </w:r>
          </w:p>
        </w:tc>
        <w:tc>
          <w:tcPr>
            <w:tcW w:w="8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其他工资福利支出</w:t>
            </w:r>
          </w:p>
        </w:tc>
      </w:tr>
      <w:tr>
        <w:tblPrEx>
          <w:tblCellMar>
            <w:top w:w="0" w:type="dxa"/>
            <w:left w:w="108" w:type="dxa"/>
            <w:bottom w:w="0" w:type="dxa"/>
            <w:right w:w="108" w:type="dxa"/>
          </w:tblCellMar>
        </w:tblPrEx>
        <w:trPr>
          <w:trHeight w:val="312" w:hRule="atLeast"/>
        </w:trPr>
        <w:tc>
          <w:tcPr>
            <w:tcW w:w="123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27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12" w:hRule="atLeast"/>
        </w:trPr>
        <w:tc>
          <w:tcPr>
            <w:tcW w:w="123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27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48" w:hRule="atLeast"/>
        </w:trPr>
        <w:tc>
          <w:tcPr>
            <w:tcW w:w="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类</w:t>
            </w:r>
          </w:p>
        </w:tc>
        <w:tc>
          <w:tcPr>
            <w:tcW w:w="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款</w:t>
            </w:r>
          </w:p>
        </w:tc>
        <w:tc>
          <w:tcPr>
            <w:tcW w:w="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r>
      <w:tr>
        <w:tblPrEx>
          <w:tblCellMar>
            <w:top w:w="0" w:type="dxa"/>
            <w:left w:w="108" w:type="dxa"/>
            <w:bottom w:w="0" w:type="dxa"/>
            <w:right w:w="108" w:type="dxa"/>
          </w:tblCellMar>
        </w:tblPrEx>
        <w:trPr>
          <w:trHeight w:val="562" w:hRule="atLeast"/>
        </w:trPr>
        <w:tc>
          <w:tcPr>
            <w:tcW w:w="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915.83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564.58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133.21</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5.99</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73.82</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73.73</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54.15</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24.87</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40.61</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155.49</w:t>
            </w:r>
          </w:p>
        </w:tc>
      </w:tr>
      <w:tr>
        <w:tblPrEx>
          <w:tblCellMar>
            <w:top w:w="0" w:type="dxa"/>
            <w:left w:w="108" w:type="dxa"/>
            <w:bottom w:w="0" w:type="dxa"/>
            <w:right w:w="108" w:type="dxa"/>
          </w:tblCellMar>
        </w:tblPrEx>
        <w:trPr>
          <w:trHeight w:val="425" w:hRule="atLeast"/>
        </w:trPr>
        <w:tc>
          <w:tcPr>
            <w:tcW w:w="12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205</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教育支出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793.49</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442.24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133.21</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5.99</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73.82</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73.73</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155.49</w:t>
            </w:r>
          </w:p>
        </w:tc>
      </w:tr>
      <w:tr>
        <w:tblPrEx>
          <w:tblCellMar>
            <w:top w:w="0" w:type="dxa"/>
            <w:left w:w="108" w:type="dxa"/>
            <w:bottom w:w="0" w:type="dxa"/>
            <w:right w:w="108" w:type="dxa"/>
          </w:tblCellMar>
        </w:tblPrEx>
        <w:trPr>
          <w:trHeight w:val="425" w:hRule="atLeast"/>
        </w:trPr>
        <w:tc>
          <w:tcPr>
            <w:tcW w:w="12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20502</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普通教育</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493.49</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442.24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133.21</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5.99</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73.82</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73.73</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155.49</w:t>
            </w:r>
          </w:p>
        </w:tc>
      </w:tr>
      <w:tr>
        <w:tblPrEx>
          <w:tblCellMar>
            <w:top w:w="0" w:type="dxa"/>
            <w:left w:w="108" w:type="dxa"/>
            <w:bottom w:w="0" w:type="dxa"/>
            <w:right w:w="108" w:type="dxa"/>
          </w:tblCellMar>
        </w:tblPrEx>
        <w:trPr>
          <w:trHeight w:val="425" w:hRule="atLeast"/>
        </w:trPr>
        <w:tc>
          <w:tcPr>
            <w:tcW w:w="12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2050201</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学前教育</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493.49</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442.24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133.21</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5.99</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73.82</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73.73</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155.49</w:t>
            </w:r>
          </w:p>
        </w:tc>
      </w:tr>
      <w:tr>
        <w:tblPrEx>
          <w:tblCellMar>
            <w:top w:w="0" w:type="dxa"/>
            <w:left w:w="108" w:type="dxa"/>
            <w:bottom w:w="0" w:type="dxa"/>
            <w:right w:w="108" w:type="dxa"/>
          </w:tblCellMar>
        </w:tblPrEx>
        <w:trPr>
          <w:trHeight w:val="425" w:hRule="atLeast"/>
        </w:trPr>
        <w:tc>
          <w:tcPr>
            <w:tcW w:w="12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20509</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教育费附加安排的支出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5" w:hRule="atLeast"/>
        </w:trPr>
        <w:tc>
          <w:tcPr>
            <w:tcW w:w="12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2050999</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其他教育费附加安排的支出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5" w:hRule="atLeast"/>
        </w:trPr>
        <w:tc>
          <w:tcPr>
            <w:tcW w:w="12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社会保障和就业支出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56.86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56.86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54.15</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5" w:hRule="atLeast"/>
        </w:trPr>
        <w:tc>
          <w:tcPr>
            <w:tcW w:w="12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行政事业单位养老支出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54.15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54.15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54.15</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5" w:hRule="atLeast"/>
        </w:trPr>
        <w:tc>
          <w:tcPr>
            <w:tcW w:w="12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2080505</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机关事业单位基本养老保险缴费支出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54.15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54.15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54.15</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5" w:hRule="atLeast"/>
        </w:trPr>
        <w:tc>
          <w:tcPr>
            <w:tcW w:w="12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20899</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其他社会保障和就业支出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5" w:hRule="atLeast"/>
        </w:trPr>
        <w:tc>
          <w:tcPr>
            <w:tcW w:w="12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2089999</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其他社会保障和就业支出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5" w:hRule="atLeast"/>
        </w:trPr>
        <w:tc>
          <w:tcPr>
            <w:tcW w:w="12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卫生健康支出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24.87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24.87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24.87</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5" w:hRule="atLeast"/>
        </w:trPr>
        <w:tc>
          <w:tcPr>
            <w:tcW w:w="12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21011</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行政事业单位医疗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24.87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24.87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24.87</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5" w:hRule="atLeast"/>
        </w:trPr>
        <w:tc>
          <w:tcPr>
            <w:tcW w:w="12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2101102</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事业单位医疗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24.87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24.87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24.87</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5" w:hRule="atLeast"/>
        </w:trPr>
        <w:tc>
          <w:tcPr>
            <w:tcW w:w="12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住房保障支出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40.61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40.61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40.61</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5" w:hRule="atLeast"/>
        </w:trPr>
        <w:tc>
          <w:tcPr>
            <w:tcW w:w="12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住房改革支出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40.61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40.61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40.61</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5" w:hRule="atLeast"/>
        </w:trPr>
        <w:tc>
          <w:tcPr>
            <w:tcW w:w="12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2210201</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住房公积金</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40.61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40.61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40.61</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bl>
    <w:p>
      <w:pPr>
        <w:rPr>
          <w:rStyle w:val="30"/>
          <w:rFonts w:ascii="Times New Roman" w:hAnsi="Times New Roman" w:eastAsia="仿宋" w:cs="Times New Roman"/>
          <w:bCs w:val="0"/>
        </w:rPr>
      </w:pPr>
    </w:p>
    <w:p>
      <w:pPr>
        <w:rPr>
          <w:rStyle w:val="30"/>
          <w:rFonts w:ascii="Times New Roman" w:hAnsi="Times New Roman" w:eastAsia="仿宋" w:cs="Times New Roman"/>
          <w:bCs w:val="0"/>
        </w:rPr>
      </w:pPr>
    </w:p>
    <w:p>
      <w:pPr>
        <w:rPr>
          <w:rStyle w:val="30"/>
          <w:rFonts w:ascii="Times New Roman" w:hAnsi="Times New Roman" w:eastAsia="仿宋" w:cs="Times New Roman"/>
          <w:bCs w:val="0"/>
        </w:rPr>
      </w:pPr>
    </w:p>
    <w:p>
      <w:pPr>
        <w:rPr>
          <w:rStyle w:val="30"/>
          <w:rFonts w:ascii="Times New Roman" w:hAnsi="Times New Roman" w:eastAsia="仿宋" w:cs="Times New Roman"/>
          <w:bCs w:val="0"/>
        </w:rPr>
      </w:pPr>
    </w:p>
    <w:p>
      <w:pPr>
        <w:rPr>
          <w:rStyle w:val="30"/>
          <w:rFonts w:ascii="Times New Roman" w:hAnsi="Times New Roman" w:eastAsia="仿宋" w:cs="Times New Roman"/>
          <w:bCs w:val="0"/>
        </w:rPr>
      </w:pPr>
    </w:p>
    <w:p>
      <w:pPr>
        <w:rPr>
          <w:rStyle w:val="30"/>
          <w:rFonts w:ascii="Times New Roman" w:hAnsi="Times New Roman" w:eastAsia="仿宋" w:cs="Times New Roman"/>
          <w:bCs w:val="0"/>
        </w:rPr>
      </w:pPr>
    </w:p>
    <w:p>
      <w:pPr>
        <w:rPr>
          <w:rStyle w:val="30"/>
          <w:rFonts w:ascii="Times New Roman" w:hAnsi="Times New Roman" w:eastAsia="仿宋" w:cs="Times New Roman"/>
          <w:bCs w:val="0"/>
        </w:rPr>
      </w:pPr>
    </w:p>
    <w:tbl>
      <w:tblPr>
        <w:tblStyle w:val="15"/>
        <w:tblW w:w="0" w:type="auto"/>
        <w:tblInd w:w="0" w:type="dxa"/>
        <w:tblLayout w:type="fixed"/>
        <w:tblCellMar>
          <w:top w:w="0" w:type="dxa"/>
          <w:left w:w="108" w:type="dxa"/>
          <w:bottom w:w="0" w:type="dxa"/>
          <w:right w:w="108" w:type="dxa"/>
        </w:tblCellMar>
      </w:tblPr>
      <w:tblGrid>
        <w:gridCol w:w="666"/>
        <w:gridCol w:w="580"/>
        <w:gridCol w:w="403"/>
        <w:gridCol w:w="403"/>
        <w:gridCol w:w="403"/>
        <w:gridCol w:w="576"/>
        <w:gridCol w:w="576"/>
        <w:gridCol w:w="580"/>
        <w:gridCol w:w="403"/>
        <w:gridCol w:w="587"/>
        <w:gridCol w:w="403"/>
        <w:gridCol w:w="777"/>
        <w:gridCol w:w="767"/>
        <w:gridCol w:w="403"/>
        <w:gridCol w:w="580"/>
        <w:gridCol w:w="580"/>
        <w:gridCol w:w="410"/>
        <w:gridCol w:w="410"/>
        <w:gridCol w:w="410"/>
        <w:gridCol w:w="393"/>
        <w:gridCol w:w="609"/>
        <w:gridCol w:w="410"/>
        <w:gridCol w:w="583"/>
        <w:gridCol w:w="580"/>
        <w:gridCol w:w="424"/>
        <w:gridCol w:w="414"/>
        <w:gridCol w:w="417"/>
        <w:gridCol w:w="427"/>
      </w:tblGrid>
      <w:tr>
        <w:tblPrEx>
          <w:tblCellMar>
            <w:top w:w="0" w:type="dxa"/>
            <w:left w:w="108" w:type="dxa"/>
            <w:bottom w:w="0" w:type="dxa"/>
            <w:right w:w="108" w:type="dxa"/>
          </w:tblCellMar>
        </w:tblPrEx>
        <w:trPr>
          <w:trHeight w:val="405" w:hRule="atLeast"/>
        </w:trPr>
        <w:tc>
          <w:tcPr>
            <w:tcW w:w="14174" w:type="dxa"/>
            <w:gridSpan w:val="28"/>
            <w:tcBorders>
              <w:top w:val="nil"/>
              <w:left w:val="nil"/>
              <w:bottom w:val="nil"/>
              <w:right w:val="nil"/>
            </w:tcBorders>
            <w:shd w:val="clear" w:color="auto" w:fill="auto"/>
            <w:noWrap/>
            <w:vAlign w:val="center"/>
          </w:tcPr>
          <w:p>
            <w:pPr>
              <w:jc w:val="center"/>
              <w:rPr>
                <w:rFonts w:ascii="方正小标宋简体" w:hAnsi="方正小标宋简体" w:eastAsia="方正小标宋简体" w:cs="方正小标宋简体"/>
                <w:color w:val="000000"/>
                <w:sz w:val="32"/>
                <w:szCs w:val="32"/>
              </w:rPr>
            </w:pPr>
            <w:r>
              <w:rPr>
                <w:rFonts w:hint="eastAsia" w:ascii="方正黑体_GBK" w:hAnsi="方正黑体_GBK" w:eastAsia="方正黑体_GBK" w:cs="方正黑体_GBK"/>
                <w:color w:val="000000"/>
                <w:kern w:val="0"/>
                <w:sz w:val="32"/>
                <w:szCs w:val="32"/>
              </w:rPr>
              <w:t>七、一般公共预算财政拨款支出决算明细表（续一）</w:t>
            </w:r>
          </w:p>
        </w:tc>
      </w:tr>
      <w:tr>
        <w:tblPrEx>
          <w:tblCellMar>
            <w:top w:w="0" w:type="dxa"/>
            <w:left w:w="108" w:type="dxa"/>
            <w:bottom w:w="0" w:type="dxa"/>
            <w:right w:w="108" w:type="dxa"/>
          </w:tblCellMar>
        </w:tblPrEx>
        <w:trPr>
          <w:trHeight w:val="255" w:hRule="atLeast"/>
        </w:trPr>
        <w:tc>
          <w:tcPr>
            <w:tcW w:w="666"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80"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03"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03"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03"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76"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76"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80"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03"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87"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03"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777"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767"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03"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80"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80"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10"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10"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10"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93"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609"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10"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83"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80"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682" w:type="dxa"/>
            <w:gridSpan w:val="4"/>
            <w:tcBorders>
              <w:top w:val="nil"/>
              <w:left w:val="nil"/>
              <w:bottom w:val="nil"/>
              <w:right w:val="nil"/>
            </w:tcBorders>
            <w:shd w:val="clear" w:color="auto" w:fill="auto"/>
            <w:noWrap/>
            <w:vAlign w:val="center"/>
          </w:tcPr>
          <w:p>
            <w:pPr>
              <w:jc w:val="right"/>
              <w:rPr>
                <w:rFonts w:ascii="宋体" w:hAnsi="宋体" w:cs="宋体"/>
                <w:color w:val="000000"/>
                <w:sz w:val="20"/>
                <w:szCs w:val="20"/>
              </w:rPr>
            </w:pPr>
            <w:r>
              <w:rPr>
                <w:rFonts w:hint="eastAsia" w:ascii="宋体" w:hAnsi="宋体" w:cs="宋体"/>
                <w:color w:val="000000"/>
                <w:kern w:val="0"/>
                <w:sz w:val="20"/>
                <w:szCs w:val="20"/>
              </w:rPr>
              <w:t>财决公开07表</w:t>
            </w:r>
          </w:p>
        </w:tc>
      </w:tr>
      <w:tr>
        <w:tblPrEx>
          <w:tblCellMar>
            <w:top w:w="0" w:type="dxa"/>
            <w:left w:w="108" w:type="dxa"/>
            <w:bottom w:w="0" w:type="dxa"/>
            <w:right w:w="108" w:type="dxa"/>
          </w:tblCellMar>
        </w:tblPrEx>
        <w:trPr>
          <w:trHeight w:val="255" w:hRule="atLeast"/>
        </w:trPr>
        <w:tc>
          <w:tcPr>
            <w:tcW w:w="666"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80"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03"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03"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03"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76"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76"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80"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03"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87"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03"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777"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767"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03"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80"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80"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10"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10"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10"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93"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609"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10"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83"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80"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682" w:type="dxa"/>
            <w:gridSpan w:val="4"/>
            <w:tcBorders>
              <w:top w:val="nil"/>
              <w:left w:val="nil"/>
              <w:bottom w:val="nil"/>
              <w:right w:val="nil"/>
            </w:tcBorders>
            <w:shd w:val="clear" w:color="auto" w:fill="auto"/>
            <w:noWrap/>
            <w:vAlign w:val="center"/>
          </w:tcPr>
          <w:p>
            <w:pPr>
              <w:jc w:val="right"/>
              <w:rPr>
                <w:rFonts w:ascii="宋体" w:hAnsi="宋体" w:cs="宋体"/>
                <w:color w:val="000000"/>
                <w:sz w:val="20"/>
                <w:szCs w:val="20"/>
              </w:rPr>
            </w:pPr>
            <w:r>
              <w:rPr>
                <w:rFonts w:hint="eastAsia" w:ascii="宋体" w:hAnsi="宋体" w:cs="宋体"/>
                <w:color w:val="000000"/>
                <w:kern w:val="0"/>
                <w:sz w:val="20"/>
                <w:szCs w:val="20"/>
              </w:rPr>
              <w:t>金额单位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万元</w:t>
            </w:r>
          </w:p>
        </w:tc>
      </w:tr>
      <w:tr>
        <w:tblPrEx>
          <w:tblCellMar>
            <w:top w:w="0" w:type="dxa"/>
            <w:left w:w="108" w:type="dxa"/>
            <w:bottom w:w="0" w:type="dxa"/>
            <w:right w:w="108" w:type="dxa"/>
          </w:tblCellMar>
        </w:tblPrEx>
        <w:trPr>
          <w:trHeight w:val="310" w:hRule="atLeast"/>
        </w:trPr>
        <w:tc>
          <w:tcPr>
            <w:tcW w:w="1417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商品和服务支出</w:t>
            </w:r>
          </w:p>
        </w:tc>
      </w:tr>
      <w:tr>
        <w:tblPrEx>
          <w:tblCellMar>
            <w:top w:w="0" w:type="dxa"/>
            <w:left w:w="108" w:type="dxa"/>
            <w:bottom w:w="0" w:type="dxa"/>
            <w:right w:w="108" w:type="dxa"/>
          </w:tblCellMar>
        </w:tblPrEx>
        <w:trPr>
          <w:trHeight w:val="312"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办公费</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印刷费</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咨询费</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手续费</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水费</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电费</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邮电费</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取暖费</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物业管理费</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差旅费</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因公出国（境）费用</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维修（护）费</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租赁费</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会议费</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培训费</w:t>
            </w: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公务接待费</w:t>
            </w: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专用材料费</w:t>
            </w: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被装购置费</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专用燃料费</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劳务费</w:t>
            </w: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委托业务费</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工会经费</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福利费</w:t>
            </w:r>
          </w:p>
        </w:tc>
        <w:tc>
          <w:tcPr>
            <w:tcW w:w="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公务用车运行维护费</w:t>
            </w: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其他交通费用</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税金及附加费用</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其他商品和服务支出</w:t>
            </w:r>
          </w:p>
        </w:tc>
      </w:tr>
      <w:tr>
        <w:tblPrEx>
          <w:tblCellMar>
            <w:top w:w="0" w:type="dxa"/>
            <w:left w:w="108" w:type="dxa"/>
            <w:bottom w:w="0" w:type="dxa"/>
            <w:right w:w="108" w:type="dxa"/>
          </w:tblCellMar>
        </w:tblPrEx>
        <w:trPr>
          <w:trHeight w:val="312"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12"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1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w:t>
            </w:r>
          </w:p>
        </w:tc>
      </w:tr>
      <w:tr>
        <w:tblPrEx>
          <w:tblCellMar>
            <w:top w:w="0" w:type="dxa"/>
            <w:left w:w="108" w:type="dxa"/>
            <w:bottom w:w="0" w:type="dxa"/>
            <w:right w:w="108" w:type="dxa"/>
          </w:tblCellMar>
        </w:tblPrEx>
        <w:trPr>
          <w:trHeight w:val="42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42.45</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7.43</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8.99</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3.32</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0.62</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3.38</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3.17</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5.39</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4.41</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42.45</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7.43</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8.99</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3.32</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0.62</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3.38</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3.17</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5.39</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4.41</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42.45</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7.43</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8.99</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3.32</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0.62</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3.38</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3.17</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5.39</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4.41</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42.45</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7.43</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8.99</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3.32</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0.62</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3.38</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3.17</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5.39</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4.41</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bl>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tbl>
      <w:tblPr>
        <w:tblStyle w:val="15"/>
        <w:tblW w:w="13584" w:type="dxa"/>
        <w:tblInd w:w="96" w:type="dxa"/>
        <w:tblLayout w:type="autofit"/>
        <w:tblCellMar>
          <w:top w:w="0" w:type="dxa"/>
          <w:left w:w="108" w:type="dxa"/>
          <w:bottom w:w="0" w:type="dxa"/>
          <w:right w:w="108" w:type="dxa"/>
        </w:tblCellMar>
      </w:tblPr>
      <w:tblGrid>
        <w:gridCol w:w="732"/>
        <w:gridCol w:w="732"/>
        <w:gridCol w:w="732"/>
        <w:gridCol w:w="816"/>
        <w:gridCol w:w="732"/>
        <w:gridCol w:w="732"/>
        <w:gridCol w:w="732"/>
        <w:gridCol w:w="732"/>
        <w:gridCol w:w="732"/>
        <w:gridCol w:w="732"/>
        <w:gridCol w:w="732"/>
        <w:gridCol w:w="732"/>
        <w:gridCol w:w="1056"/>
        <w:gridCol w:w="732"/>
        <w:gridCol w:w="732"/>
        <w:gridCol w:w="732"/>
        <w:gridCol w:w="732"/>
        <w:gridCol w:w="732"/>
      </w:tblGrid>
      <w:tr>
        <w:tblPrEx>
          <w:tblCellMar>
            <w:top w:w="0" w:type="dxa"/>
            <w:left w:w="108" w:type="dxa"/>
            <w:bottom w:w="0" w:type="dxa"/>
            <w:right w:w="108" w:type="dxa"/>
          </w:tblCellMar>
        </w:tblPrEx>
        <w:trPr>
          <w:trHeight w:val="405" w:hRule="atLeast"/>
        </w:trPr>
        <w:tc>
          <w:tcPr>
            <w:tcW w:w="13584" w:type="dxa"/>
            <w:gridSpan w:val="18"/>
            <w:tcBorders>
              <w:top w:val="nil"/>
              <w:left w:val="nil"/>
              <w:bottom w:val="nil"/>
              <w:right w:val="nil"/>
            </w:tcBorders>
            <w:shd w:val="clear" w:color="auto" w:fill="auto"/>
            <w:noWrap/>
            <w:vAlign w:val="center"/>
          </w:tcPr>
          <w:p>
            <w:pPr>
              <w:jc w:val="center"/>
              <w:rPr>
                <w:rFonts w:ascii="方正小标宋简体" w:hAnsi="方正小标宋简体" w:eastAsia="方正小标宋简体" w:cs="方正小标宋简体"/>
                <w:color w:val="000000"/>
                <w:sz w:val="32"/>
                <w:szCs w:val="32"/>
              </w:rPr>
            </w:pPr>
            <w:r>
              <w:rPr>
                <w:rFonts w:hint="eastAsia" w:ascii="方正黑体_GBK" w:hAnsi="方正黑体_GBK" w:eastAsia="方正黑体_GBK" w:cs="方正黑体_GBK"/>
                <w:color w:val="000000"/>
                <w:kern w:val="0"/>
                <w:sz w:val="32"/>
                <w:szCs w:val="32"/>
              </w:rPr>
              <w:t>七、一般公共预算财政拨款支出决算明细表（续二）</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196" w:type="dxa"/>
            <w:gridSpan w:val="3"/>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196" w:type="dxa"/>
            <w:gridSpan w:val="3"/>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0" w:type="auto"/>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对个人和家庭的补助</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债务利息及费用支出</w:t>
            </w:r>
          </w:p>
        </w:tc>
      </w:tr>
      <w:tr>
        <w:tblPrEx>
          <w:tblCellMar>
            <w:top w:w="0" w:type="dxa"/>
            <w:left w:w="108" w:type="dxa"/>
            <w:bottom w:w="0" w:type="dxa"/>
            <w:right w:w="108" w:type="dxa"/>
          </w:tblCellMar>
        </w:tblPrEx>
        <w:trPr>
          <w:trHeight w:val="312"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离休费</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退休费</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退职（役）费</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抚恤金</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生活补助</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救济费</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医疗费补助</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助学金</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奖励金</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个人农业生产补贴</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代缴社会保险费</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其他对个人和家庭的补助</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国内债务付息</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国外债务付息</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国内债务发行费用</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国外债务发行费用</w:t>
            </w:r>
          </w:p>
        </w:tc>
      </w:tr>
      <w:tr>
        <w:tblPrEx>
          <w:tblCellMar>
            <w:top w:w="0" w:type="dxa"/>
            <w:left w:w="108" w:type="dxa"/>
            <w:bottom w:w="0" w:type="dxa"/>
            <w:right w:w="108" w:type="dxa"/>
          </w:tblCellMar>
        </w:tblPrEx>
        <w:trPr>
          <w:trHeight w:val="312"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12"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47</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49</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57</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59</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61</w:t>
            </w:r>
          </w:p>
        </w:tc>
      </w:tr>
      <w:tr>
        <w:tblPrEx>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bl>
    <w:p>
      <w:pPr>
        <w:rPr>
          <w:rStyle w:val="30"/>
          <w:rFonts w:ascii="Times New Roman" w:hAnsi="Times New Roman" w:eastAsia="仿宋" w:cs="Times New Roman"/>
          <w:bCs w:val="0"/>
          <w:sz w:val="18"/>
          <w:szCs w:val="18"/>
        </w:rPr>
      </w:pPr>
    </w:p>
    <w:tbl>
      <w:tblPr>
        <w:tblStyle w:val="15"/>
        <w:tblW w:w="0" w:type="auto"/>
        <w:tblInd w:w="0" w:type="dxa"/>
        <w:tblLayout w:type="autofit"/>
        <w:tblCellMar>
          <w:top w:w="0" w:type="dxa"/>
          <w:left w:w="108" w:type="dxa"/>
          <w:bottom w:w="0" w:type="dxa"/>
          <w:right w:w="108" w:type="dxa"/>
        </w:tblCellMar>
      </w:tblPr>
      <w:tblGrid>
        <w:gridCol w:w="418"/>
        <w:gridCol w:w="429"/>
        <w:gridCol w:w="426"/>
        <w:gridCol w:w="426"/>
        <w:gridCol w:w="426"/>
        <w:gridCol w:w="422"/>
        <w:gridCol w:w="437"/>
        <w:gridCol w:w="422"/>
        <w:gridCol w:w="426"/>
        <w:gridCol w:w="431"/>
        <w:gridCol w:w="431"/>
        <w:gridCol w:w="426"/>
        <w:gridCol w:w="431"/>
        <w:gridCol w:w="816"/>
        <w:gridCol w:w="429"/>
        <w:gridCol w:w="426"/>
        <w:gridCol w:w="822"/>
        <w:gridCol w:w="822"/>
        <w:gridCol w:w="422"/>
        <w:gridCol w:w="437"/>
        <w:gridCol w:w="422"/>
        <w:gridCol w:w="422"/>
        <w:gridCol w:w="422"/>
        <w:gridCol w:w="435"/>
        <w:gridCol w:w="422"/>
        <w:gridCol w:w="426"/>
        <w:gridCol w:w="431"/>
        <w:gridCol w:w="431"/>
        <w:gridCol w:w="427"/>
        <w:gridCol w:w="430"/>
      </w:tblGrid>
      <w:tr>
        <w:tblPrEx>
          <w:tblCellMar>
            <w:top w:w="0" w:type="dxa"/>
            <w:left w:w="108" w:type="dxa"/>
            <w:bottom w:w="0" w:type="dxa"/>
            <w:right w:w="108" w:type="dxa"/>
          </w:tblCellMar>
        </w:tblPrEx>
        <w:trPr>
          <w:trHeight w:val="405" w:hRule="atLeast"/>
        </w:trPr>
        <w:tc>
          <w:tcPr>
            <w:tcW w:w="0" w:type="auto"/>
            <w:gridSpan w:val="30"/>
            <w:tcBorders>
              <w:top w:val="nil"/>
              <w:left w:val="nil"/>
              <w:bottom w:val="nil"/>
              <w:right w:val="nil"/>
            </w:tcBorders>
            <w:shd w:val="clear" w:color="auto" w:fill="auto"/>
            <w:noWrap/>
            <w:vAlign w:val="center"/>
          </w:tcPr>
          <w:p>
            <w:pPr>
              <w:jc w:val="center"/>
              <w:rPr>
                <w:rFonts w:ascii="方正小标宋简体" w:hAnsi="方正小标宋简体" w:eastAsia="方正小标宋简体" w:cs="方正小标宋简体"/>
                <w:color w:val="000000"/>
                <w:sz w:val="32"/>
                <w:szCs w:val="32"/>
              </w:rPr>
            </w:pPr>
            <w:r>
              <w:rPr>
                <w:rFonts w:hint="eastAsia" w:ascii="方正黑体_GBK" w:hAnsi="方正黑体_GBK" w:eastAsia="方正黑体_GBK" w:cs="方正黑体_GBK"/>
                <w:color w:val="000000"/>
                <w:kern w:val="0"/>
                <w:sz w:val="32"/>
                <w:szCs w:val="32"/>
              </w:rPr>
              <w:t>七、一般公共预算财政拨款支出决算明细表（续三）</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0" w:type="auto"/>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资本性支出（基本建设）</w:t>
            </w:r>
          </w:p>
        </w:tc>
        <w:tc>
          <w:tcPr>
            <w:tcW w:w="0" w:type="auto"/>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资本性支出</w:t>
            </w:r>
          </w:p>
        </w:tc>
      </w:tr>
      <w:tr>
        <w:tblPrEx>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房屋建筑物购建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办公设备购置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专用设备购置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基础设施建设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大型修缮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信息网络及软件购置更新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物资储备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公务用车购置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其他交通工具购置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文物和陈列品购置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无形资产购置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其他基本建设支出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房屋建筑物购建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办公设备购置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专用设备购置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基础设施建设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大型修缮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信息网络及软件购置更新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物资储备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土地补偿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安置补助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地上附着物和青苗补偿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拆迁补偿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公务用车购置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其他交通工具购置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文物和陈列品购置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无形资产购置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其他资本性支出</w:t>
            </w:r>
          </w:p>
        </w:tc>
      </w:tr>
      <w:tr>
        <w:tblPrEx>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91</w:t>
            </w:r>
          </w:p>
        </w:tc>
      </w:tr>
      <w:tr>
        <w:tblPrEx>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bl>
    <w:tbl>
      <w:tblPr>
        <w:tblStyle w:val="15"/>
        <w:tblpPr w:leftFromText="180" w:rightFromText="180" w:vertAnchor="text" w:horzAnchor="page" w:tblpX="1428" w:tblpY="134"/>
        <w:tblOverlap w:val="never"/>
        <w:tblW w:w="4996" w:type="pct"/>
        <w:tblInd w:w="0" w:type="dxa"/>
        <w:tblLayout w:type="autofit"/>
        <w:tblCellMar>
          <w:top w:w="0" w:type="dxa"/>
          <w:left w:w="108" w:type="dxa"/>
          <w:bottom w:w="0" w:type="dxa"/>
          <w:right w:w="108" w:type="dxa"/>
        </w:tblCellMar>
      </w:tblPr>
      <w:tblGrid>
        <w:gridCol w:w="802"/>
        <w:gridCol w:w="802"/>
        <w:gridCol w:w="812"/>
        <w:gridCol w:w="568"/>
        <w:gridCol w:w="571"/>
        <w:gridCol w:w="848"/>
        <w:gridCol w:w="571"/>
        <w:gridCol w:w="572"/>
        <w:gridCol w:w="605"/>
        <w:gridCol w:w="572"/>
        <w:gridCol w:w="572"/>
        <w:gridCol w:w="851"/>
        <w:gridCol w:w="877"/>
        <w:gridCol w:w="572"/>
        <w:gridCol w:w="572"/>
        <w:gridCol w:w="1014"/>
        <w:gridCol w:w="633"/>
        <w:gridCol w:w="552"/>
        <w:gridCol w:w="1616"/>
      </w:tblGrid>
      <w:tr>
        <w:tblPrEx>
          <w:tblCellMar>
            <w:top w:w="0" w:type="dxa"/>
            <w:left w:w="108" w:type="dxa"/>
            <w:bottom w:w="0" w:type="dxa"/>
            <w:right w:w="108" w:type="dxa"/>
          </w:tblCellMar>
        </w:tblPrEx>
        <w:trPr>
          <w:trHeight w:val="405" w:hRule="atLeast"/>
        </w:trPr>
        <w:tc>
          <w:tcPr>
            <w:tcW w:w="5000" w:type="pct"/>
            <w:gridSpan w:val="19"/>
            <w:tcBorders>
              <w:top w:val="nil"/>
              <w:left w:val="nil"/>
              <w:bottom w:val="nil"/>
              <w:right w:val="nil"/>
            </w:tcBorders>
            <w:shd w:val="clear" w:color="auto" w:fill="auto"/>
            <w:noWrap/>
            <w:vAlign w:val="center"/>
          </w:tcPr>
          <w:p>
            <w:pPr>
              <w:jc w:val="center"/>
              <w:rPr>
                <w:rFonts w:ascii="方正小标宋简体" w:hAnsi="方正小标宋简体" w:eastAsia="方正小标宋简体" w:cs="方正小标宋简体"/>
                <w:color w:val="000000"/>
                <w:sz w:val="32"/>
                <w:szCs w:val="32"/>
              </w:rPr>
            </w:pPr>
            <w:r>
              <w:rPr>
                <w:rFonts w:hint="eastAsia" w:ascii="方正黑体_GBK" w:hAnsi="方正黑体_GBK" w:eastAsia="方正黑体_GBK" w:cs="方正黑体_GBK"/>
                <w:color w:val="000000"/>
                <w:kern w:val="0"/>
                <w:sz w:val="32"/>
                <w:szCs w:val="32"/>
              </w:rPr>
              <w:t>七、一般公共预算财政拨款支出决算明细表（续四）</w:t>
            </w:r>
          </w:p>
        </w:tc>
      </w:tr>
      <w:tr>
        <w:tblPrEx>
          <w:tblCellMar>
            <w:top w:w="0" w:type="dxa"/>
            <w:left w:w="108" w:type="dxa"/>
            <w:bottom w:w="0" w:type="dxa"/>
            <w:right w:w="108" w:type="dxa"/>
          </w:tblCellMar>
        </w:tblPrEx>
        <w:trPr>
          <w:trHeight w:val="255" w:hRule="atLeast"/>
        </w:trPr>
        <w:tc>
          <w:tcPr>
            <w:tcW w:w="283"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83"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86"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06"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07"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06"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07"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07"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16"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07"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07"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07"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14"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07"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07"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65"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2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00"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46"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财决公开07表</w:t>
            </w:r>
          </w:p>
        </w:tc>
      </w:tr>
      <w:tr>
        <w:tblPrEx>
          <w:tblCellMar>
            <w:top w:w="0" w:type="dxa"/>
            <w:left w:w="108" w:type="dxa"/>
            <w:bottom w:w="0" w:type="dxa"/>
            <w:right w:w="108" w:type="dxa"/>
          </w:tblCellMar>
        </w:tblPrEx>
        <w:trPr>
          <w:trHeight w:val="255" w:hRule="atLeast"/>
        </w:trPr>
        <w:tc>
          <w:tcPr>
            <w:tcW w:w="283"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83"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86"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06"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07"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06"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07"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07"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16"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07"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07"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07"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14"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07"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07"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65"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2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00"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46"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万元</w:t>
            </w:r>
          </w:p>
        </w:tc>
      </w:tr>
      <w:tr>
        <w:tblPrEx>
          <w:tblCellMar>
            <w:top w:w="0" w:type="dxa"/>
            <w:left w:w="108" w:type="dxa"/>
            <w:bottom w:w="0" w:type="dxa"/>
            <w:right w:w="108" w:type="dxa"/>
          </w:tblCellMar>
        </w:tblPrEx>
        <w:trPr>
          <w:trHeight w:val="310" w:hRule="atLeast"/>
        </w:trPr>
        <w:tc>
          <w:tcPr>
            <w:tcW w:w="85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对企业补助（基本建设）</w:t>
            </w:r>
          </w:p>
        </w:tc>
        <w:tc>
          <w:tcPr>
            <w:tcW w:w="135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对企业补助</w:t>
            </w:r>
          </w:p>
        </w:tc>
        <w:tc>
          <w:tcPr>
            <w:tcW w:w="103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对社会保障基金补助</w:t>
            </w:r>
          </w:p>
        </w:tc>
        <w:tc>
          <w:tcPr>
            <w:tcW w:w="175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其他支出</w:t>
            </w:r>
          </w:p>
        </w:tc>
      </w:tr>
      <w:tr>
        <w:tblPrEx>
          <w:tblCellMar>
            <w:top w:w="0" w:type="dxa"/>
            <w:left w:w="108" w:type="dxa"/>
            <w:bottom w:w="0" w:type="dxa"/>
            <w:right w:w="108" w:type="dxa"/>
          </w:tblCellMar>
        </w:tblPrEx>
        <w:trPr>
          <w:trHeight w:val="312" w:hRule="atLeast"/>
        </w:trPr>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资本金注入</w:t>
            </w:r>
          </w:p>
        </w:tc>
        <w:tc>
          <w:tcPr>
            <w:tcW w:w="2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其他对企业补助</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资本金注入</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政府投资基金股权投资</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费用补贴</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利息补贴</w:t>
            </w: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其他对企业补助</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对社会保险基金补助</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补充全国社会保障基金</w:t>
            </w: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对机关事业单位职业年金的补助</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国家赔偿费用支出</w:t>
            </w:r>
          </w:p>
        </w:tc>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对民间非营利组织和群众性自治组织补贴</w:t>
            </w: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经常性赠与</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资本性赠与</w:t>
            </w: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其他支出</w:t>
            </w:r>
          </w:p>
        </w:tc>
      </w:tr>
      <w:tr>
        <w:tblPrEx>
          <w:tblCellMar>
            <w:top w:w="0" w:type="dxa"/>
            <w:left w:w="108" w:type="dxa"/>
            <w:bottom w:w="0" w:type="dxa"/>
            <w:right w:w="108" w:type="dxa"/>
          </w:tblCellMar>
        </w:tblPrEx>
        <w:trPr>
          <w:trHeight w:val="312"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12"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93</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94</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96</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97</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98</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99</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101</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103</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104</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105</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106</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107</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108</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110</w:t>
            </w:r>
          </w:p>
        </w:tc>
      </w:tr>
      <w:tr>
        <w:tblPrEx>
          <w:tblCellMar>
            <w:top w:w="0" w:type="dxa"/>
            <w:left w:w="108" w:type="dxa"/>
            <w:bottom w:w="0" w:type="dxa"/>
            <w:right w:w="108" w:type="dxa"/>
          </w:tblCellMar>
        </w:tblPrEx>
        <w:trPr>
          <w:trHeight w:val="31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bl>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tbl>
      <w:tblPr>
        <w:tblStyle w:val="15"/>
        <w:tblW w:w="14414" w:type="dxa"/>
        <w:tblInd w:w="0" w:type="dxa"/>
        <w:tblLayout w:type="fixed"/>
        <w:tblCellMar>
          <w:top w:w="0" w:type="dxa"/>
          <w:left w:w="108" w:type="dxa"/>
          <w:bottom w:w="0" w:type="dxa"/>
          <w:right w:w="108" w:type="dxa"/>
        </w:tblCellMar>
      </w:tblPr>
      <w:tblGrid>
        <w:gridCol w:w="2364"/>
        <w:gridCol w:w="2450"/>
        <w:gridCol w:w="1120"/>
        <w:gridCol w:w="813"/>
        <w:gridCol w:w="1640"/>
        <w:gridCol w:w="933"/>
        <w:gridCol w:w="734"/>
        <w:gridCol w:w="2768"/>
        <w:gridCol w:w="1592"/>
      </w:tblGrid>
      <w:tr>
        <w:tblPrEx>
          <w:tblCellMar>
            <w:top w:w="0" w:type="dxa"/>
            <w:left w:w="108" w:type="dxa"/>
            <w:bottom w:w="0" w:type="dxa"/>
            <w:right w:w="108" w:type="dxa"/>
          </w:tblCellMar>
        </w:tblPrEx>
        <w:trPr>
          <w:trHeight w:val="405" w:hRule="atLeast"/>
        </w:trPr>
        <w:tc>
          <w:tcPr>
            <w:tcW w:w="14414" w:type="dxa"/>
            <w:gridSpan w:val="9"/>
            <w:tcBorders>
              <w:top w:val="nil"/>
              <w:left w:val="nil"/>
              <w:bottom w:val="nil"/>
              <w:right w:val="nil"/>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黑体_GBK" w:hAnsi="方正黑体_GBK" w:eastAsia="方正黑体_GBK" w:cs="方正黑体_GBK"/>
                <w:color w:val="000000"/>
                <w:kern w:val="0"/>
                <w:sz w:val="32"/>
                <w:szCs w:val="32"/>
              </w:rPr>
              <w:t>八、一般公共预算财政拨款基本支出决算表</w:t>
            </w:r>
          </w:p>
        </w:tc>
      </w:tr>
      <w:tr>
        <w:tblPrEx>
          <w:tblCellMar>
            <w:top w:w="0" w:type="dxa"/>
            <w:left w:w="108" w:type="dxa"/>
            <w:bottom w:w="0" w:type="dxa"/>
            <w:right w:w="108" w:type="dxa"/>
          </w:tblCellMar>
        </w:tblPrEx>
        <w:trPr>
          <w:trHeight w:val="255" w:hRule="atLeast"/>
        </w:trPr>
        <w:tc>
          <w:tcPr>
            <w:tcW w:w="2364"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450"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120"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813"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640"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933"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734"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768"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592"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财决公开08表</w:t>
            </w:r>
          </w:p>
        </w:tc>
      </w:tr>
      <w:tr>
        <w:tblPrEx>
          <w:tblCellMar>
            <w:top w:w="0" w:type="dxa"/>
            <w:left w:w="108" w:type="dxa"/>
            <w:bottom w:w="0" w:type="dxa"/>
            <w:right w:w="108" w:type="dxa"/>
          </w:tblCellMar>
        </w:tblPrEx>
        <w:trPr>
          <w:trHeight w:val="255" w:hRule="atLeast"/>
        </w:trPr>
        <w:tc>
          <w:tcPr>
            <w:tcW w:w="4814" w:type="dxa"/>
            <w:gridSpan w:val="2"/>
            <w:tcBorders>
              <w:top w:val="nil"/>
              <w:left w:val="nil"/>
              <w:bottom w:val="nil"/>
              <w:right w:val="nil"/>
            </w:tcBorders>
            <w:shd w:val="clear" w:color="auto" w:fill="auto"/>
            <w:noWrap/>
            <w:vAlign w:val="center"/>
          </w:tcPr>
          <w:p>
            <w:pPr>
              <w:jc w:val="left"/>
              <w:rPr>
                <w:rFonts w:ascii="宋体" w:hAnsi="宋体" w:cs="宋体"/>
                <w:color w:val="000000"/>
                <w:sz w:val="20"/>
                <w:szCs w:val="20"/>
              </w:rPr>
            </w:pPr>
            <w:r>
              <w:rPr>
                <w:rFonts w:hint="eastAsia" w:ascii="宋体" w:hAnsi="宋体" w:cs="宋体"/>
                <w:color w:val="000000"/>
                <w:kern w:val="0"/>
                <w:sz w:val="20"/>
                <w:szCs w:val="20"/>
              </w:rPr>
              <w:t>单位名称</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达川区实验幼儿园</w:t>
            </w:r>
          </w:p>
        </w:tc>
        <w:tc>
          <w:tcPr>
            <w:tcW w:w="1120"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813"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640"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933"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734"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768"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592"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万元</w:t>
            </w:r>
          </w:p>
        </w:tc>
      </w:tr>
      <w:tr>
        <w:tblPrEx>
          <w:tblCellMar>
            <w:top w:w="0" w:type="dxa"/>
            <w:left w:w="108" w:type="dxa"/>
            <w:bottom w:w="0" w:type="dxa"/>
            <w:right w:w="108" w:type="dxa"/>
          </w:tblCellMar>
        </w:tblPrEx>
        <w:trPr>
          <w:trHeight w:val="310" w:hRule="atLeast"/>
        </w:trPr>
        <w:tc>
          <w:tcPr>
            <w:tcW w:w="5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人员经费</w:t>
            </w:r>
          </w:p>
        </w:tc>
        <w:tc>
          <w:tcPr>
            <w:tcW w:w="84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公用经费</w:t>
            </w:r>
          </w:p>
        </w:tc>
      </w:tr>
      <w:tr>
        <w:tblPrEx>
          <w:tblCellMar>
            <w:top w:w="0" w:type="dxa"/>
            <w:left w:w="108" w:type="dxa"/>
            <w:bottom w:w="0" w:type="dxa"/>
            <w:right w:w="108" w:type="dxa"/>
          </w:tblCellMar>
        </w:tblPrEx>
        <w:trPr>
          <w:trHeight w:val="312" w:hRule="atLeast"/>
        </w:trPr>
        <w:tc>
          <w:tcPr>
            <w:tcW w:w="2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科目</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编码</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科目</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编码</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科目</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编码</w:t>
            </w:r>
          </w:p>
        </w:tc>
        <w:tc>
          <w:tcPr>
            <w:tcW w:w="27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r>
      <w:tr>
        <w:tblPrEx>
          <w:tblCellMar>
            <w:top w:w="0" w:type="dxa"/>
            <w:left w:w="108" w:type="dxa"/>
            <w:bottom w:w="0" w:type="dxa"/>
            <w:right w:w="108" w:type="dxa"/>
          </w:tblCellMar>
        </w:tblPrEx>
        <w:trPr>
          <w:trHeight w:val="312" w:hRule="atLeast"/>
        </w:trPr>
        <w:tc>
          <w:tcPr>
            <w:tcW w:w="2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工资福利支出</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564.58</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商品和服务支出</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42.45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w:t>
            </w: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债务利息及费用支出</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30101</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基本工资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133.21</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办公费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7.43</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30701</w:t>
            </w: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国内债务付息</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30102</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津贴补贴</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5.99</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30202</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印刷费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30702</w:t>
            </w: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国外债务付息</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30103</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奖金</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73.82</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30203</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咨询费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w:t>
            </w: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资本性支出</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30106</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伙食补助费</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30204</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手续费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31001</w:t>
            </w: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房屋建筑物购建</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30107</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绩效工资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73.73</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30205</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水费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1.67</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31002</w:t>
            </w: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办公设备购置</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30108</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机关事业单位基本养老保险费</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54.15</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30206</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8.99</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31003</w:t>
            </w: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专用设备购置</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30109</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职业年金缴费</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30207</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邮电费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2.10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31005</w:t>
            </w: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基础设施建设</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30110</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职工基本医疗保险缴费</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24.87</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30208</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取暖费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31006</w:t>
            </w: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大型修缮</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30111</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公务员医疗补助缴费</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30209</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物业管理费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1.96</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31007</w:t>
            </w: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信息网络及软件购置更新</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30112</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其他社会保障缴费</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2.71</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差旅费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31008</w:t>
            </w: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物资储备</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30113</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住房公积金</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40.61</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30212</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因公出国（境）费用</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31009</w:t>
            </w: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土地补偿</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30114</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医疗费</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30213</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维修（护）费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3.32</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31010</w:t>
            </w: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安置补助</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30199</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其他工资福利支出</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155.49</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30214</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租赁费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31011</w:t>
            </w: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地上附着物和青苗补偿</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对个人和家庭的补助</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8.80</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30215</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会议费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0.62</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31012</w:t>
            </w: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拆迁补偿</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30301</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离休费</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30216</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培训费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3.38</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31013</w:t>
            </w: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公务用车购置</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30302</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退休费</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30217</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公务接待费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31019</w:t>
            </w: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其他交通工具购置</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30303</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退职（役）费</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30218</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专用材料费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31021</w:t>
            </w: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文物和陈列品购置</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30304</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抚恤金</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30224</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被装购置费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31022</w:t>
            </w: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无形资产购置</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30305</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生活补助</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8.80</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30225</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专用燃料费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31099</w:t>
            </w: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其他资本性支出</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30306</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救济费</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30226</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劳务费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3.17</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w:t>
            </w: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其他支出</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30307</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医疗费补助</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30227</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委托业务费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39907</w:t>
            </w: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国家赔偿费用支出</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30308</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助学金</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30228</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工会经费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5.39</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39908</w:t>
            </w: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对民间非营利组织和群众性自治组织补贴</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30309</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奖励金</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30229</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福利费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4.41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39909</w:t>
            </w: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经常性赠与</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30310</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个人农业生产补贴</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30231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公务用车运行维护费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39910</w:t>
            </w: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资本性赠与</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30311</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代缴社会保险费</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30239</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其他交通费用</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39999</w:t>
            </w: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其他支出</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30399</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其他个人和家庭的补助支出</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30240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税金及附加费用</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30299</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其他商品和服务支出</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69" w:hRule="atLeast"/>
        </w:trPr>
        <w:tc>
          <w:tcPr>
            <w:tcW w:w="48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人员经费合计</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573.38</w:t>
            </w:r>
          </w:p>
        </w:tc>
        <w:tc>
          <w:tcPr>
            <w:tcW w:w="68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办公经费合计</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42.45</w:t>
            </w:r>
          </w:p>
        </w:tc>
      </w:tr>
    </w:tbl>
    <w:p>
      <w:pPr>
        <w:bidi w:val="0"/>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bidi w:val="0"/>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tbl>
      <w:tblPr>
        <w:tblStyle w:val="15"/>
        <w:tblW w:w="5000" w:type="pct"/>
        <w:tblInd w:w="0" w:type="dxa"/>
        <w:tblLayout w:type="autofit"/>
        <w:tblCellMar>
          <w:top w:w="0" w:type="dxa"/>
          <w:left w:w="108" w:type="dxa"/>
          <w:bottom w:w="0" w:type="dxa"/>
          <w:right w:w="108" w:type="dxa"/>
        </w:tblCellMar>
      </w:tblPr>
      <w:tblGrid>
        <w:gridCol w:w="4578"/>
        <w:gridCol w:w="700"/>
        <w:gridCol w:w="702"/>
        <w:gridCol w:w="3736"/>
        <w:gridCol w:w="1713"/>
        <w:gridCol w:w="2564"/>
      </w:tblGrid>
      <w:tr>
        <w:tblPrEx>
          <w:tblCellMar>
            <w:top w:w="0" w:type="dxa"/>
            <w:left w:w="108" w:type="dxa"/>
            <w:bottom w:w="0" w:type="dxa"/>
            <w:right w:w="108" w:type="dxa"/>
          </w:tblCellMar>
        </w:tblPrEx>
        <w:trPr>
          <w:trHeight w:val="405" w:hRule="atLeast"/>
        </w:trPr>
        <w:tc>
          <w:tcPr>
            <w:tcW w:w="5000" w:type="pct"/>
            <w:gridSpan w:val="6"/>
            <w:tcBorders>
              <w:top w:val="nil"/>
              <w:left w:val="nil"/>
              <w:bottom w:val="nil"/>
              <w:right w:val="nil"/>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黑体_GBK" w:hAnsi="方正黑体_GBK" w:eastAsia="方正黑体_GBK" w:cs="方正黑体_GBK"/>
                <w:color w:val="000000"/>
                <w:kern w:val="0"/>
                <w:sz w:val="32"/>
                <w:szCs w:val="32"/>
              </w:rPr>
              <w:t>九、一般公共预算财政拨款项目支出决算表</w:t>
            </w:r>
          </w:p>
        </w:tc>
      </w:tr>
      <w:tr>
        <w:tblPrEx>
          <w:tblCellMar>
            <w:top w:w="0" w:type="dxa"/>
            <w:left w:w="108" w:type="dxa"/>
            <w:bottom w:w="0" w:type="dxa"/>
            <w:right w:w="108" w:type="dxa"/>
          </w:tblCellMar>
        </w:tblPrEx>
        <w:trPr>
          <w:trHeight w:val="255" w:hRule="atLeast"/>
        </w:trPr>
        <w:tc>
          <w:tcPr>
            <w:tcW w:w="1636"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50"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50"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335"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612"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915"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财决公开09表</w:t>
            </w:r>
          </w:p>
        </w:tc>
      </w:tr>
      <w:tr>
        <w:tblPrEx>
          <w:tblCellMar>
            <w:top w:w="0" w:type="dxa"/>
            <w:left w:w="108" w:type="dxa"/>
            <w:bottom w:w="0" w:type="dxa"/>
            <w:right w:w="108" w:type="dxa"/>
          </w:tblCellMar>
        </w:tblPrEx>
        <w:trPr>
          <w:trHeight w:val="255" w:hRule="atLeast"/>
        </w:trPr>
        <w:tc>
          <w:tcPr>
            <w:tcW w:w="1636" w:type="pct"/>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单位名称</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达川区实验幼儿园</w:t>
            </w:r>
          </w:p>
        </w:tc>
        <w:tc>
          <w:tcPr>
            <w:tcW w:w="250"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50"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335"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612"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915"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万元</w:t>
            </w:r>
          </w:p>
        </w:tc>
      </w:tr>
      <w:tr>
        <w:tblPrEx>
          <w:tblCellMar>
            <w:top w:w="0" w:type="dxa"/>
            <w:left w:w="108" w:type="dxa"/>
            <w:bottom w:w="0" w:type="dxa"/>
            <w:right w:w="108" w:type="dxa"/>
          </w:tblCellMar>
        </w:tblPrEx>
        <w:trPr>
          <w:trHeight w:val="312" w:hRule="atLeast"/>
        </w:trPr>
        <w:tc>
          <w:tcPr>
            <w:tcW w:w="213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支出功能分类</w:t>
            </w:r>
          </w:p>
        </w:tc>
        <w:tc>
          <w:tcPr>
            <w:tcW w:w="13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w:t>
            </w:r>
          </w:p>
        </w:tc>
      </w:tr>
      <w:tr>
        <w:tblPrEx>
          <w:tblCellMar>
            <w:top w:w="0" w:type="dxa"/>
            <w:left w:w="108" w:type="dxa"/>
            <w:bottom w:w="0" w:type="dxa"/>
            <w:right w:w="108" w:type="dxa"/>
          </w:tblCellMar>
        </w:tblPrEx>
        <w:trPr>
          <w:trHeight w:val="312" w:hRule="atLeast"/>
        </w:trPr>
        <w:tc>
          <w:tcPr>
            <w:tcW w:w="21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12" w:hRule="atLeast"/>
        </w:trPr>
        <w:tc>
          <w:tcPr>
            <w:tcW w:w="16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类</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款</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1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6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61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c>
          <w:tcPr>
            <w:tcW w:w="91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r>
      <w:tr>
        <w:tblPrEx>
          <w:tblCellMar>
            <w:top w:w="0" w:type="dxa"/>
            <w:left w:w="108" w:type="dxa"/>
            <w:bottom w:w="0" w:type="dxa"/>
            <w:right w:w="108" w:type="dxa"/>
          </w:tblCellMar>
        </w:tblPrEx>
        <w:trPr>
          <w:trHeight w:val="310" w:hRule="atLeast"/>
        </w:trPr>
        <w:tc>
          <w:tcPr>
            <w:tcW w:w="21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205</w:t>
            </w:r>
          </w:p>
        </w:tc>
        <w:tc>
          <w:tcPr>
            <w:tcW w:w="1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教育支出</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r>
      <w:tr>
        <w:tblPrEx>
          <w:tblCellMar>
            <w:top w:w="0" w:type="dxa"/>
            <w:left w:w="108" w:type="dxa"/>
            <w:bottom w:w="0" w:type="dxa"/>
            <w:right w:w="108" w:type="dxa"/>
          </w:tblCellMar>
        </w:tblPrEx>
        <w:trPr>
          <w:trHeight w:val="310" w:hRule="atLeast"/>
        </w:trPr>
        <w:tc>
          <w:tcPr>
            <w:tcW w:w="21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2050201</w:t>
            </w:r>
          </w:p>
        </w:tc>
        <w:tc>
          <w:tcPr>
            <w:tcW w:w="1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学前教育</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310" w:hRule="atLeast"/>
        </w:trPr>
        <w:tc>
          <w:tcPr>
            <w:tcW w:w="21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20509</w:t>
            </w:r>
          </w:p>
        </w:tc>
        <w:tc>
          <w:tcPr>
            <w:tcW w:w="1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教育费附加安排的支出</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300.00</w:t>
            </w:r>
          </w:p>
        </w:tc>
      </w:tr>
    </w:tbl>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tbl>
      <w:tblPr>
        <w:tblStyle w:val="15"/>
        <w:tblW w:w="5000" w:type="pct"/>
        <w:tblInd w:w="0" w:type="dxa"/>
        <w:tblLayout w:type="autofit"/>
        <w:tblCellMar>
          <w:top w:w="0" w:type="dxa"/>
          <w:left w:w="108" w:type="dxa"/>
          <w:bottom w:w="0" w:type="dxa"/>
          <w:right w:w="108" w:type="dxa"/>
        </w:tblCellMar>
      </w:tblPr>
      <w:tblGrid>
        <w:gridCol w:w="3431"/>
        <w:gridCol w:w="277"/>
        <w:gridCol w:w="280"/>
        <w:gridCol w:w="1285"/>
        <w:gridCol w:w="2040"/>
        <w:gridCol w:w="1282"/>
        <w:gridCol w:w="775"/>
        <w:gridCol w:w="1282"/>
        <w:gridCol w:w="1287"/>
        <w:gridCol w:w="2054"/>
      </w:tblGrid>
      <w:tr>
        <w:tblPrEx>
          <w:tblCellMar>
            <w:top w:w="0" w:type="dxa"/>
            <w:left w:w="108" w:type="dxa"/>
            <w:bottom w:w="0" w:type="dxa"/>
            <w:right w:w="108" w:type="dxa"/>
          </w:tblCellMar>
        </w:tblPrEx>
        <w:trPr>
          <w:trHeight w:val="405" w:hRule="atLeast"/>
        </w:trPr>
        <w:tc>
          <w:tcPr>
            <w:tcW w:w="5000" w:type="pct"/>
            <w:gridSpan w:val="10"/>
            <w:tcBorders>
              <w:top w:val="nil"/>
              <w:left w:val="nil"/>
              <w:bottom w:val="nil"/>
              <w:right w:val="nil"/>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黑体_GBK" w:hAnsi="方正黑体_GBK" w:eastAsia="方正黑体_GBK" w:cs="方正黑体_GBK"/>
                <w:color w:val="000000"/>
                <w:kern w:val="0"/>
                <w:sz w:val="32"/>
                <w:szCs w:val="32"/>
              </w:rPr>
              <w:t>十、政府性基金预算财政拨款收入支出决算表</w:t>
            </w:r>
          </w:p>
        </w:tc>
      </w:tr>
      <w:tr>
        <w:tblPrEx>
          <w:tblCellMar>
            <w:top w:w="0" w:type="dxa"/>
            <w:left w:w="108" w:type="dxa"/>
            <w:bottom w:w="0" w:type="dxa"/>
            <w:right w:w="108" w:type="dxa"/>
          </w:tblCellMar>
        </w:tblPrEx>
        <w:trPr>
          <w:trHeight w:val="255" w:hRule="atLeast"/>
        </w:trPr>
        <w:tc>
          <w:tcPr>
            <w:tcW w:w="1226"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9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9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58"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72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58"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77"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58"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58"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732"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财决公开10表</w:t>
            </w:r>
          </w:p>
        </w:tc>
      </w:tr>
      <w:tr>
        <w:tblPrEx>
          <w:tblCellMar>
            <w:top w:w="0" w:type="dxa"/>
            <w:left w:w="108" w:type="dxa"/>
            <w:bottom w:w="0" w:type="dxa"/>
            <w:right w:w="108" w:type="dxa"/>
          </w:tblCellMar>
        </w:tblPrEx>
        <w:trPr>
          <w:trHeight w:val="255" w:hRule="atLeast"/>
        </w:trPr>
        <w:tc>
          <w:tcPr>
            <w:tcW w:w="1226" w:type="pct"/>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单位名称</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达川区实验幼儿园</w:t>
            </w:r>
          </w:p>
        </w:tc>
        <w:tc>
          <w:tcPr>
            <w:tcW w:w="9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9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58"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72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58"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77"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58"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458"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732"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万元</w:t>
            </w:r>
          </w:p>
        </w:tc>
      </w:tr>
      <w:tr>
        <w:tblPrEx>
          <w:tblCellMar>
            <w:top w:w="0" w:type="dxa"/>
            <w:left w:w="108" w:type="dxa"/>
            <w:bottom w:w="0" w:type="dxa"/>
            <w:right w:w="108" w:type="dxa"/>
          </w:tblCellMar>
        </w:tblPrEx>
        <w:trPr>
          <w:trHeight w:val="310" w:hRule="atLeast"/>
        </w:trPr>
        <w:tc>
          <w:tcPr>
            <w:tcW w:w="188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7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年初结转和结余</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w:t>
            </w:r>
          </w:p>
        </w:tc>
        <w:tc>
          <w:tcPr>
            <w:tcW w:w="11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w:t>
            </w:r>
          </w:p>
        </w:tc>
        <w:tc>
          <w:tcPr>
            <w:tcW w:w="7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年末结转和结余</w:t>
            </w:r>
          </w:p>
        </w:tc>
      </w:tr>
      <w:tr>
        <w:tblPrEx>
          <w:tblCellMar>
            <w:top w:w="0" w:type="dxa"/>
            <w:left w:w="108" w:type="dxa"/>
            <w:bottom w:w="0" w:type="dxa"/>
            <w:right w:w="108" w:type="dxa"/>
          </w:tblCellMar>
        </w:tblPrEx>
        <w:trPr>
          <w:trHeight w:val="312" w:hRule="atLeast"/>
        </w:trPr>
        <w:tc>
          <w:tcPr>
            <w:tcW w:w="142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c>
          <w:tcPr>
            <w:tcW w:w="7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12" w:hRule="atLeast"/>
        </w:trPr>
        <w:tc>
          <w:tcPr>
            <w:tcW w:w="142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7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50" w:hRule="atLeast"/>
        </w:trPr>
        <w:tc>
          <w:tcPr>
            <w:tcW w:w="142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7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88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310" w:hRule="atLeast"/>
        </w:trPr>
        <w:tc>
          <w:tcPr>
            <w:tcW w:w="188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7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5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7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5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5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73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42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42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42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42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42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42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r>
    </w:tbl>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tbl>
      <w:tblPr>
        <w:tblStyle w:val="15"/>
        <w:tblW w:w="5000" w:type="pct"/>
        <w:tblInd w:w="0" w:type="dxa"/>
        <w:tblLayout w:type="autofit"/>
        <w:tblCellMar>
          <w:top w:w="0" w:type="dxa"/>
          <w:left w:w="108" w:type="dxa"/>
          <w:bottom w:w="0" w:type="dxa"/>
          <w:right w:w="108" w:type="dxa"/>
        </w:tblCellMar>
      </w:tblPr>
      <w:tblGrid>
        <w:gridCol w:w="4111"/>
        <w:gridCol w:w="333"/>
        <w:gridCol w:w="339"/>
        <w:gridCol w:w="1539"/>
        <w:gridCol w:w="2141"/>
        <w:gridCol w:w="1536"/>
        <w:gridCol w:w="1536"/>
        <w:gridCol w:w="2458"/>
      </w:tblGrid>
      <w:tr>
        <w:tblPrEx>
          <w:tblCellMar>
            <w:top w:w="0" w:type="dxa"/>
            <w:left w:w="108" w:type="dxa"/>
            <w:bottom w:w="0" w:type="dxa"/>
            <w:right w:w="108" w:type="dxa"/>
          </w:tblCellMar>
        </w:tblPrEx>
        <w:trPr>
          <w:trHeight w:val="405" w:hRule="atLeast"/>
        </w:trPr>
        <w:tc>
          <w:tcPr>
            <w:tcW w:w="5000" w:type="pct"/>
            <w:gridSpan w:val="8"/>
            <w:tcBorders>
              <w:top w:val="nil"/>
              <w:left w:val="nil"/>
              <w:bottom w:val="nil"/>
              <w:right w:val="nil"/>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黑体_GBK" w:hAnsi="方正黑体_GBK" w:eastAsia="方正黑体_GBK" w:cs="方正黑体_GBK"/>
                <w:color w:val="000000"/>
                <w:kern w:val="0"/>
                <w:sz w:val="32"/>
                <w:szCs w:val="32"/>
              </w:rPr>
              <w:t>十一、国有资本经营预算财政拨款收入支出决算表</w:t>
            </w:r>
          </w:p>
        </w:tc>
      </w:tr>
      <w:tr>
        <w:tblPrEx>
          <w:tblCellMar>
            <w:top w:w="0" w:type="dxa"/>
            <w:left w:w="108" w:type="dxa"/>
            <w:bottom w:w="0" w:type="dxa"/>
            <w:right w:w="108" w:type="dxa"/>
          </w:tblCellMar>
        </w:tblPrEx>
        <w:trPr>
          <w:trHeight w:val="255" w:hRule="atLeast"/>
        </w:trPr>
        <w:tc>
          <w:tcPr>
            <w:tcW w:w="146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1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1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4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765"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4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4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875"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财决公开11表</w:t>
            </w:r>
          </w:p>
        </w:tc>
      </w:tr>
      <w:tr>
        <w:tblPrEx>
          <w:tblCellMar>
            <w:top w:w="0" w:type="dxa"/>
            <w:left w:w="108" w:type="dxa"/>
            <w:bottom w:w="0" w:type="dxa"/>
            <w:right w:w="108" w:type="dxa"/>
          </w:tblCellMar>
        </w:tblPrEx>
        <w:trPr>
          <w:trHeight w:val="255" w:hRule="atLeast"/>
        </w:trPr>
        <w:tc>
          <w:tcPr>
            <w:tcW w:w="1469" w:type="pct"/>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单位名称</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达川区实验幼儿园</w:t>
            </w:r>
          </w:p>
        </w:tc>
        <w:tc>
          <w:tcPr>
            <w:tcW w:w="11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1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4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765"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4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54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875"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万元</w:t>
            </w:r>
          </w:p>
        </w:tc>
      </w:tr>
      <w:tr>
        <w:tblPrEx>
          <w:tblCellMar>
            <w:top w:w="0" w:type="dxa"/>
            <w:left w:w="108" w:type="dxa"/>
            <w:bottom w:w="0" w:type="dxa"/>
            <w:right w:w="108" w:type="dxa"/>
          </w:tblCellMar>
        </w:tblPrEx>
        <w:trPr>
          <w:trHeight w:val="310" w:hRule="atLeast"/>
        </w:trPr>
        <w:tc>
          <w:tcPr>
            <w:tcW w:w="22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年初结转结余</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w:t>
            </w:r>
          </w:p>
        </w:tc>
        <w:tc>
          <w:tcPr>
            <w:tcW w:w="8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年末结转和结余</w:t>
            </w:r>
          </w:p>
        </w:tc>
      </w:tr>
      <w:tr>
        <w:tblPrEx>
          <w:tblCellMar>
            <w:top w:w="0" w:type="dxa"/>
            <w:left w:w="108" w:type="dxa"/>
            <w:bottom w:w="0" w:type="dxa"/>
            <w:right w:w="108" w:type="dxa"/>
          </w:tblCellMar>
        </w:tblPrEx>
        <w:trPr>
          <w:trHeight w:val="312" w:hRule="atLeast"/>
        </w:trPr>
        <w:tc>
          <w:tcPr>
            <w:tcW w:w="170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科目代码</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12" w:hRule="atLeast"/>
        </w:trPr>
        <w:tc>
          <w:tcPr>
            <w:tcW w:w="1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22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栏目</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r>
      <w:tr>
        <w:tblPrEx>
          <w:tblCellMar>
            <w:top w:w="0" w:type="dxa"/>
            <w:left w:w="108" w:type="dxa"/>
            <w:bottom w:w="0" w:type="dxa"/>
            <w:right w:w="108" w:type="dxa"/>
          </w:tblCellMar>
        </w:tblPrEx>
        <w:trPr>
          <w:trHeight w:val="310" w:hRule="atLeast"/>
        </w:trPr>
        <w:tc>
          <w:tcPr>
            <w:tcW w:w="22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7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7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7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7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7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10" w:hRule="atLeast"/>
        </w:trPr>
        <w:tc>
          <w:tcPr>
            <w:tcW w:w="17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bl>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p>
      <w:pPr>
        <w:rPr>
          <w:rStyle w:val="30"/>
          <w:rFonts w:ascii="Times New Roman" w:hAnsi="Times New Roman" w:eastAsia="仿宋" w:cs="Times New Roman"/>
          <w:bCs w:val="0"/>
          <w:sz w:val="18"/>
          <w:szCs w:val="18"/>
        </w:rPr>
      </w:pPr>
    </w:p>
    <w:tbl>
      <w:tblPr>
        <w:tblStyle w:val="15"/>
        <w:tblW w:w="5000" w:type="pct"/>
        <w:tblInd w:w="0" w:type="dxa"/>
        <w:tblLayout w:type="autofit"/>
        <w:tblCellMar>
          <w:top w:w="0" w:type="dxa"/>
          <w:left w:w="108" w:type="dxa"/>
          <w:bottom w:w="0" w:type="dxa"/>
          <w:right w:w="108" w:type="dxa"/>
        </w:tblCellMar>
      </w:tblPr>
      <w:tblGrid>
        <w:gridCol w:w="5373"/>
        <w:gridCol w:w="716"/>
        <w:gridCol w:w="719"/>
        <w:gridCol w:w="1752"/>
        <w:gridCol w:w="1061"/>
        <w:gridCol w:w="1752"/>
        <w:gridCol w:w="2620"/>
      </w:tblGrid>
      <w:tr>
        <w:tblPrEx>
          <w:tblCellMar>
            <w:top w:w="0" w:type="dxa"/>
            <w:left w:w="108" w:type="dxa"/>
            <w:bottom w:w="0" w:type="dxa"/>
            <w:right w:w="108" w:type="dxa"/>
          </w:tblCellMar>
        </w:tblPrEx>
        <w:trPr>
          <w:trHeight w:val="405" w:hRule="atLeast"/>
        </w:trPr>
        <w:tc>
          <w:tcPr>
            <w:tcW w:w="5000" w:type="pct"/>
            <w:gridSpan w:val="7"/>
            <w:tcBorders>
              <w:top w:val="nil"/>
              <w:left w:val="nil"/>
              <w:bottom w:val="nil"/>
              <w:right w:val="nil"/>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黑体_GBK" w:hAnsi="方正黑体_GBK" w:eastAsia="方正黑体_GBK" w:cs="方正黑体_GBK"/>
                <w:color w:val="000000"/>
                <w:kern w:val="0"/>
                <w:sz w:val="32"/>
                <w:szCs w:val="32"/>
                <w:lang w:bidi="ar"/>
              </w:rPr>
              <w:t>十二、国有资本经营预算财政拨款支出决算表</w:t>
            </w:r>
          </w:p>
        </w:tc>
      </w:tr>
      <w:tr>
        <w:tblPrEx>
          <w:tblCellMar>
            <w:top w:w="0" w:type="dxa"/>
            <w:left w:w="108" w:type="dxa"/>
            <w:bottom w:w="0" w:type="dxa"/>
            <w:right w:w="108" w:type="dxa"/>
          </w:tblCellMar>
        </w:tblPrEx>
        <w:trPr>
          <w:trHeight w:val="255" w:hRule="atLeast"/>
        </w:trPr>
        <w:tc>
          <w:tcPr>
            <w:tcW w:w="1920"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56"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56"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626"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7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626"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934"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财决公开12表</w:t>
            </w:r>
          </w:p>
        </w:tc>
      </w:tr>
      <w:tr>
        <w:tblPrEx>
          <w:tblCellMar>
            <w:top w:w="0" w:type="dxa"/>
            <w:left w:w="108" w:type="dxa"/>
            <w:bottom w:w="0" w:type="dxa"/>
            <w:right w:w="108" w:type="dxa"/>
          </w:tblCellMar>
        </w:tblPrEx>
        <w:trPr>
          <w:trHeight w:val="255" w:hRule="atLeast"/>
        </w:trPr>
        <w:tc>
          <w:tcPr>
            <w:tcW w:w="1920" w:type="pct"/>
            <w:tcBorders>
              <w:top w:val="nil"/>
              <w:left w:val="nil"/>
              <w:bottom w:val="nil"/>
              <w:right w:val="nil"/>
            </w:tcBorders>
            <w:shd w:val="clear" w:color="auto" w:fill="auto"/>
            <w:noWrap/>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bidi="ar"/>
              </w:rPr>
              <w:t>单位名称</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bidi="ar"/>
              </w:rPr>
              <w:t>达川区</w:t>
            </w:r>
            <w:r>
              <w:rPr>
                <w:rFonts w:hint="eastAsia" w:ascii="宋体" w:hAnsi="宋体" w:cs="宋体"/>
                <w:color w:val="000000"/>
                <w:kern w:val="0"/>
                <w:sz w:val="20"/>
                <w:szCs w:val="20"/>
                <w:lang w:val="en-US" w:eastAsia="zh-CN" w:bidi="ar"/>
              </w:rPr>
              <w:t>实验幼儿园</w:t>
            </w:r>
          </w:p>
        </w:tc>
        <w:tc>
          <w:tcPr>
            <w:tcW w:w="256"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56"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626"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37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626"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934"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金额单位</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bidi="ar"/>
              </w:rPr>
              <w:t>万元</w:t>
            </w:r>
          </w:p>
        </w:tc>
      </w:tr>
      <w:tr>
        <w:tblPrEx>
          <w:tblCellMar>
            <w:top w:w="0" w:type="dxa"/>
            <w:left w:w="108" w:type="dxa"/>
            <w:bottom w:w="0" w:type="dxa"/>
            <w:right w:w="108" w:type="dxa"/>
          </w:tblCellMar>
        </w:tblPrEx>
        <w:trPr>
          <w:trHeight w:val="465" w:hRule="atLeast"/>
        </w:trPr>
        <w:tc>
          <w:tcPr>
            <w:tcW w:w="30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    目</w:t>
            </w:r>
          </w:p>
        </w:tc>
        <w:tc>
          <w:tcPr>
            <w:tcW w:w="19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本年支出</w:t>
            </w:r>
          </w:p>
        </w:tc>
      </w:tr>
      <w:tr>
        <w:tblPrEx>
          <w:tblCellMar>
            <w:top w:w="0" w:type="dxa"/>
            <w:left w:w="108" w:type="dxa"/>
            <w:bottom w:w="0" w:type="dxa"/>
            <w:right w:w="108" w:type="dxa"/>
          </w:tblCellMar>
        </w:tblPrEx>
        <w:trPr>
          <w:trHeight w:val="312" w:hRule="atLeast"/>
        </w:trPr>
        <w:tc>
          <w:tcPr>
            <w:tcW w:w="243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科目编码</w:t>
            </w: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科目名称</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合计</w:t>
            </w: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基本支出</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项目支出</w:t>
            </w:r>
          </w:p>
        </w:tc>
      </w:tr>
      <w:tr>
        <w:tblPrEx>
          <w:tblCellMar>
            <w:top w:w="0" w:type="dxa"/>
            <w:left w:w="108" w:type="dxa"/>
            <w:bottom w:w="0" w:type="dxa"/>
            <w:right w:w="108" w:type="dxa"/>
          </w:tblCellMar>
        </w:tblPrEx>
        <w:trPr>
          <w:trHeight w:val="312" w:hRule="atLeast"/>
        </w:trPr>
        <w:tc>
          <w:tcPr>
            <w:tcW w:w="243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65" w:hRule="atLeast"/>
        </w:trPr>
        <w:tc>
          <w:tcPr>
            <w:tcW w:w="243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65" w:hRule="atLeast"/>
        </w:trPr>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类</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款</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合计</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65" w:hRule="atLeast"/>
        </w:trPr>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65" w:hRule="atLeast"/>
        </w:trPr>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65" w:hRule="atLeast"/>
        </w:trPr>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65" w:hRule="atLeast"/>
        </w:trPr>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65" w:hRule="atLeast"/>
        </w:trPr>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65" w:hRule="atLeast"/>
        </w:trPr>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bl>
    <w:p>
      <w:pPr>
        <w:rPr>
          <w:rStyle w:val="30"/>
          <w:rFonts w:ascii="Times New Roman" w:hAnsi="Times New Roman" w:eastAsia="仿宋" w:cs="Times New Roman"/>
          <w:bCs w:val="0"/>
          <w:sz w:val="18"/>
          <w:szCs w:val="18"/>
        </w:rPr>
      </w:pPr>
    </w:p>
    <w:p>
      <w:pPr>
        <w:tabs>
          <w:tab w:val="left" w:pos="905"/>
        </w:tabs>
        <w:bidi w:val="0"/>
        <w:jc w:val="left"/>
        <w:rPr>
          <w:rStyle w:val="30"/>
          <w:rFonts w:hint="eastAsia" w:eastAsia="仿宋" w:cs="Times New Roman"/>
          <w:bCs w:val="0"/>
          <w:sz w:val="18"/>
          <w:szCs w:val="18"/>
          <w:lang w:eastAsia="zh-CN"/>
        </w:rPr>
      </w:pPr>
      <w:r>
        <w:rPr>
          <w:rStyle w:val="30"/>
          <w:rFonts w:hint="eastAsia" w:eastAsia="仿宋" w:cs="Times New Roman"/>
          <w:bCs w:val="0"/>
          <w:sz w:val="18"/>
          <w:szCs w:val="18"/>
          <w:lang w:eastAsia="zh-CN"/>
        </w:rPr>
        <w:tab/>
      </w:r>
    </w:p>
    <w:p>
      <w:pPr>
        <w:tabs>
          <w:tab w:val="left" w:pos="905"/>
        </w:tabs>
        <w:bidi w:val="0"/>
        <w:jc w:val="left"/>
        <w:rPr>
          <w:rStyle w:val="30"/>
          <w:rFonts w:hint="eastAsia" w:eastAsia="仿宋" w:cs="Times New Roman"/>
          <w:bCs w:val="0"/>
          <w:sz w:val="18"/>
          <w:szCs w:val="18"/>
          <w:lang w:eastAsia="zh-CN"/>
        </w:rPr>
      </w:pPr>
    </w:p>
    <w:p>
      <w:pPr>
        <w:tabs>
          <w:tab w:val="left" w:pos="905"/>
        </w:tabs>
        <w:bidi w:val="0"/>
        <w:jc w:val="left"/>
        <w:rPr>
          <w:rStyle w:val="30"/>
          <w:rFonts w:hint="eastAsia" w:eastAsia="仿宋" w:cs="Times New Roman"/>
          <w:bCs w:val="0"/>
          <w:sz w:val="18"/>
          <w:szCs w:val="18"/>
          <w:lang w:eastAsia="zh-CN"/>
        </w:rPr>
      </w:pPr>
    </w:p>
    <w:p>
      <w:pPr>
        <w:tabs>
          <w:tab w:val="left" w:pos="905"/>
        </w:tabs>
        <w:bidi w:val="0"/>
        <w:jc w:val="left"/>
        <w:rPr>
          <w:rStyle w:val="30"/>
          <w:rFonts w:hint="eastAsia" w:eastAsia="仿宋" w:cs="Times New Roman"/>
          <w:bCs w:val="0"/>
          <w:sz w:val="18"/>
          <w:szCs w:val="18"/>
          <w:lang w:eastAsia="zh-CN"/>
        </w:rPr>
      </w:pPr>
    </w:p>
    <w:p>
      <w:pPr>
        <w:tabs>
          <w:tab w:val="left" w:pos="905"/>
        </w:tabs>
        <w:bidi w:val="0"/>
        <w:jc w:val="left"/>
        <w:rPr>
          <w:rStyle w:val="30"/>
          <w:rFonts w:hint="eastAsia" w:eastAsia="仿宋" w:cs="Times New Roman"/>
          <w:bCs w:val="0"/>
          <w:sz w:val="18"/>
          <w:szCs w:val="18"/>
          <w:lang w:eastAsia="zh-CN"/>
        </w:rPr>
      </w:pPr>
    </w:p>
    <w:p>
      <w:pPr>
        <w:tabs>
          <w:tab w:val="left" w:pos="905"/>
        </w:tabs>
        <w:bidi w:val="0"/>
        <w:jc w:val="left"/>
        <w:rPr>
          <w:rStyle w:val="30"/>
          <w:rFonts w:hint="eastAsia" w:eastAsia="仿宋" w:cs="Times New Roman"/>
          <w:bCs w:val="0"/>
          <w:sz w:val="18"/>
          <w:szCs w:val="18"/>
          <w:lang w:eastAsia="zh-CN"/>
        </w:rPr>
      </w:pPr>
    </w:p>
    <w:p>
      <w:pPr>
        <w:tabs>
          <w:tab w:val="left" w:pos="905"/>
        </w:tabs>
        <w:bidi w:val="0"/>
        <w:jc w:val="left"/>
        <w:rPr>
          <w:rStyle w:val="30"/>
          <w:rFonts w:hint="eastAsia" w:eastAsia="仿宋" w:cs="Times New Roman"/>
          <w:bCs w:val="0"/>
          <w:sz w:val="18"/>
          <w:szCs w:val="18"/>
          <w:lang w:eastAsia="zh-CN"/>
        </w:rPr>
      </w:pPr>
    </w:p>
    <w:tbl>
      <w:tblPr>
        <w:tblStyle w:val="15"/>
        <w:tblW w:w="5000" w:type="pct"/>
        <w:tblInd w:w="0" w:type="dxa"/>
        <w:tblLayout w:type="autofit"/>
        <w:tblCellMar>
          <w:top w:w="0" w:type="dxa"/>
          <w:left w:w="108" w:type="dxa"/>
          <w:bottom w:w="0" w:type="dxa"/>
          <w:right w:w="108" w:type="dxa"/>
        </w:tblCellMar>
      </w:tblPr>
      <w:tblGrid>
        <w:gridCol w:w="4153"/>
        <w:gridCol w:w="2687"/>
        <w:gridCol w:w="820"/>
        <w:gridCol w:w="2152"/>
        <w:gridCol w:w="2155"/>
        <w:gridCol w:w="2026"/>
      </w:tblGrid>
      <w:tr>
        <w:tblPrEx>
          <w:tblCellMar>
            <w:top w:w="0" w:type="dxa"/>
            <w:left w:w="108" w:type="dxa"/>
            <w:bottom w:w="0" w:type="dxa"/>
            <w:right w:w="108" w:type="dxa"/>
          </w:tblCellMar>
        </w:tblPrEx>
        <w:trPr>
          <w:trHeight w:val="405" w:hRule="atLeast"/>
        </w:trPr>
        <w:tc>
          <w:tcPr>
            <w:tcW w:w="5000" w:type="pct"/>
            <w:gridSpan w:val="6"/>
            <w:tcBorders>
              <w:top w:val="nil"/>
              <w:left w:val="nil"/>
              <w:bottom w:val="nil"/>
              <w:right w:val="nil"/>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黑体_GBK" w:hAnsi="方正黑体_GBK" w:eastAsia="方正黑体_GBK" w:cs="方正黑体_GBK"/>
                <w:color w:val="000000"/>
                <w:kern w:val="0"/>
                <w:sz w:val="32"/>
                <w:szCs w:val="32"/>
                <w:lang w:bidi="ar"/>
              </w:rPr>
              <w:t>十三、财政拨款“三公”经费支出决算表</w:t>
            </w:r>
          </w:p>
        </w:tc>
      </w:tr>
      <w:tr>
        <w:tblPrEx>
          <w:tblCellMar>
            <w:top w:w="0" w:type="dxa"/>
            <w:left w:w="108" w:type="dxa"/>
            <w:bottom w:w="0" w:type="dxa"/>
            <w:right w:w="108" w:type="dxa"/>
          </w:tblCellMar>
        </w:tblPrEx>
        <w:trPr>
          <w:trHeight w:val="255" w:hRule="atLeast"/>
        </w:trPr>
        <w:tc>
          <w:tcPr>
            <w:tcW w:w="1484"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960"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93"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76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76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723"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财决公开13表</w:t>
            </w:r>
          </w:p>
        </w:tc>
      </w:tr>
      <w:tr>
        <w:tblPrEx>
          <w:tblCellMar>
            <w:top w:w="0" w:type="dxa"/>
            <w:left w:w="108" w:type="dxa"/>
            <w:bottom w:w="0" w:type="dxa"/>
            <w:right w:w="108" w:type="dxa"/>
          </w:tblCellMar>
        </w:tblPrEx>
        <w:trPr>
          <w:trHeight w:val="255" w:hRule="atLeast"/>
        </w:trPr>
        <w:tc>
          <w:tcPr>
            <w:tcW w:w="1484" w:type="pct"/>
            <w:tcBorders>
              <w:top w:val="nil"/>
              <w:left w:val="nil"/>
              <w:bottom w:val="nil"/>
              <w:right w:val="nil"/>
            </w:tcBorders>
            <w:shd w:val="clear" w:color="auto" w:fill="auto"/>
            <w:noWrap/>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单位名称</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bidi="ar"/>
              </w:rPr>
              <w:t>达川区</w:t>
            </w:r>
            <w:r>
              <w:rPr>
                <w:rFonts w:hint="eastAsia" w:ascii="宋体" w:hAnsi="宋体" w:cs="宋体"/>
                <w:color w:val="000000"/>
                <w:kern w:val="0"/>
                <w:sz w:val="20"/>
                <w:szCs w:val="20"/>
                <w:lang w:val="en-US" w:eastAsia="zh-CN" w:bidi="ar"/>
              </w:rPr>
              <w:t>实验幼儿园</w:t>
            </w:r>
          </w:p>
        </w:tc>
        <w:tc>
          <w:tcPr>
            <w:tcW w:w="960"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93"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76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769" w:type="pct"/>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723" w:type="pct"/>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金额单位</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bidi="ar"/>
              </w:rPr>
              <w:t>万元</w:t>
            </w:r>
          </w:p>
        </w:tc>
      </w:tr>
      <w:tr>
        <w:tblPrEx>
          <w:tblCellMar>
            <w:top w:w="0" w:type="dxa"/>
            <w:left w:w="108" w:type="dxa"/>
            <w:bottom w:w="0" w:type="dxa"/>
            <w:right w:w="108" w:type="dxa"/>
          </w:tblCellMar>
        </w:tblPrEx>
        <w:trPr>
          <w:trHeight w:val="61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一般公共预算财政拨款“三公”经费支出</w:t>
            </w:r>
          </w:p>
        </w:tc>
      </w:tr>
      <w:tr>
        <w:tblPrEx>
          <w:tblCellMar>
            <w:top w:w="0" w:type="dxa"/>
            <w:left w:w="108" w:type="dxa"/>
            <w:bottom w:w="0" w:type="dxa"/>
            <w:right w:w="108" w:type="dxa"/>
          </w:tblCellMar>
        </w:tblPrEx>
        <w:trPr>
          <w:trHeight w:val="619" w:hRule="atLeast"/>
        </w:trPr>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合计</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因公出国</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bidi="ar"/>
              </w:rPr>
              <w:t>境</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bidi="ar"/>
              </w:rPr>
              <w:t>费用</w:t>
            </w:r>
          </w:p>
        </w:tc>
        <w:tc>
          <w:tcPr>
            <w:tcW w:w="18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7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公务接待费</w:t>
            </w:r>
          </w:p>
        </w:tc>
      </w:tr>
      <w:tr>
        <w:tblPrEx>
          <w:tblCellMar>
            <w:top w:w="0" w:type="dxa"/>
            <w:left w:w="108" w:type="dxa"/>
            <w:bottom w:w="0" w:type="dxa"/>
            <w:right w:w="108" w:type="dxa"/>
          </w:tblCellMar>
        </w:tblPrEx>
        <w:trPr>
          <w:trHeight w:val="619" w:hRule="atLeast"/>
        </w:trPr>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小计</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公务用车购置费</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公务用车运行费</w:t>
            </w:r>
          </w:p>
        </w:tc>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619" w:hRule="atLeast"/>
        </w:trPr>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bl>
    <w:p>
      <w:pPr>
        <w:tabs>
          <w:tab w:val="left" w:pos="905"/>
        </w:tabs>
        <w:bidi w:val="0"/>
        <w:jc w:val="left"/>
        <w:rPr>
          <w:rStyle w:val="30"/>
          <w:rFonts w:hint="eastAsia" w:eastAsia="仿宋" w:cs="Times New Roman"/>
          <w:bCs w:val="0"/>
          <w:sz w:val="18"/>
          <w:szCs w:val="18"/>
          <w:lang w:eastAsia="zh-CN"/>
        </w:rPr>
      </w:pPr>
    </w:p>
    <w:sectPr>
      <w:type w:val="continuous"/>
      <w:pgSz w:w="16838" w:h="11906" w:orient="landscape"/>
      <w:pgMar w:top="1701" w:right="1474" w:bottom="1134" w:left="1587"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76F445-76A0-46F0-8886-F708517179E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2" w:fontKey="{2658A230-FFB5-4CC2-85AB-7392F9573081}"/>
  </w:font>
  <w:font w:name="仿宋_GB2312">
    <w:panose1 w:val="02010609030101010101"/>
    <w:charset w:val="86"/>
    <w:family w:val="modern"/>
    <w:pitch w:val="default"/>
    <w:sig w:usb0="00000001" w:usb1="080E0000" w:usb2="00000000" w:usb3="00000000" w:csb0="00040000" w:csb1="00000000"/>
    <w:embedRegular r:id="rId3" w:fontKey="{02A11AC1-3B6E-46CE-929B-614A0ED4C92F}"/>
  </w:font>
  <w:font w:name="仿宋">
    <w:panose1 w:val="02010609060101010101"/>
    <w:charset w:val="86"/>
    <w:family w:val="modern"/>
    <w:pitch w:val="default"/>
    <w:sig w:usb0="800002BF" w:usb1="38CF7CFA" w:usb2="00000016" w:usb3="00000000" w:csb0="00040001" w:csb1="00000000"/>
    <w:embedRegular r:id="rId4" w:fontKey="{2E484D5F-DB12-4832-BEA8-487E7B6DE11F}"/>
  </w:font>
  <w:font w:name="??">
    <w:altName w:val="Times New Roman"/>
    <w:panose1 w:val="00000000000000000000"/>
    <w:charset w:val="00"/>
    <w:family w:val="roman"/>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5" w:fontKey="{662F537A-50A3-40F7-8FE8-241FBED62798}"/>
  </w:font>
  <w:font w:name="方正小标宋_GBK">
    <w:panose1 w:val="03000509000000000000"/>
    <w:charset w:val="86"/>
    <w:family w:val="script"/>
    <w:pitch w:val="default"/>
    <w:sig w:usb0="00000001" w:usb1="080E0000" w:usb2="00000000" w:usb3="00000000" w:csb0="00040000" w:csb1="00000000"/>
    <w:embedRegular r:id="rId6" w:fontKey="{0CF64272-139B-4395-85F4-D411069FE081}"/>
  </w:font>
  <w:font w:name="方正黑体_GBK">
    <w:panose1 w:val="03000509000000000000"/>
    <w:charset w:val="86"/>
    <w:family w:val="script"/>
    <w:pitch w:val="default"/>
    <w:sig w:usb0="00000001" w:usb1="080E0000" w:usb2="00000000" w:usb3="00000000" w:csb0="00040000" w:csb1="00000000"/>
    <w:embedRegular r:id="rId7" w:fontKey="{98A8FB59-5E25-4C7F-9B3E-914C46C65BA7}"/>
  </w:font>
  <w:font w:name="方正仿宋_GBK">
    <w:panose1 w:val="03000509000000000000"/>
    <w:charset w:val="86"/>
    <w:family w:val="script"/>
    <w:pitch w:val="default"/>
    <w:sig w:usb0="00000001" w:usb1="080E0000" w:usb2="00000000" w:usb3="00000000" w:csb0="00040000" w:csb1="00000000"/>
    <w:embedRegular r:id="rId8" w:fontKey="{CC77DD50-11F2-4A0B-BEDC-10172BFBDFFE}"/>
  </w:font>
  <w:font w:name="方正楷体_GBK">
    <w:panose1 w:val="03000509000000000000"/>
    <w:charset w:val="86"/>
    <w:family w:val="script"/>
    <w:pitch w:val="default"/>
    <w:sig w:usb0="00000001" w:usb1="080E0000" w:usb2="00000000" w:usb3="00000000" w:csb0="00040000" w:csb1="00000000"/>
    <w:embedRegular r:id="rId9" w:fontKey="{A1E5EC68-E14A-408D-9F9D-E665C994071B}"/>
  </w:font>
  <w:font w:name="方正黑体">
    <w:altName w:val="黑体"/>
    <w:panose1 w:val="00000000000000000000"/>
    <w:charset w:val="00"/>
    <w:family w:val="auto"/>
    <w:pitch w:val="default"/>
    <w:sig w:usb0="00000000" w:usb1="00000000" w:usb2="00000000" w:usb3="00000000" w:csb0="00000000" w:csb1="00000000"/>
    <w:embedRegular r:id="rId10" w:fontKey="{059CE3CF-EF7B-4B5B-A911-FE9D36933613}"/>
  </w:font>
  <w:font w:name="微软雅黑">
    <w:panose1 w:val="020B0503020204020204"/>
    <w:charset w:val="86"/>
    <w:family w:val="auto"/>
    <w:pitch w:val="default"/>
    <w:sig w:usb0="80000287" w:usb1="280F3C52" w:usb2="00000016" w:usb3="00000000" w:csb0="0004001F" w:csb1="00000000"/>
    <w:embedRegular r:id="rId11" w:fontKey="{DF5529AF-B657-457B-87B4-566A6CFB0DBC}"/>
  </w:font>
  <w:font w:name="方正仿宋">
    <w:altName w:val="仿宋"/>
    <w:panose1 w:val="00000000000000000000"/>
    <w:charset w:val="00"/>
    <w:family w:val="auto"/>
    <w:pitch w:val="default"/>
    <w:sig w:usb0="00000000" w:usb1="00000000" w:usb2="00000000" w:usb3="00000000" w:csb0="00000000" w:csb1="00000000"/>
    <w:embedRegular r:id="rId12" w:fontKey="{8DE67476-15FC-4C61-81D4-480755C4E73D}"/>
  </w:font>
  <w:font w:name="方正楷体简体">
    <w:panose1 w:val="03000509000000000000"/>
    <w:charset w:val="86"/>
    <w:family w:val="script"/>
    <w:pitch w:val="default"/>
    <w:sig w:usb0="00000001" w:usb1="080E0000" w:usb2="00000000" w:usb3="00000000" w:csb0="00040000" w:csb1="00000000"/>
    <w:embedRegular r:id="rId13" w:fontKey="{3B36517C-AA76-43D5-AA58-E68DD5D9C6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1044595"/>
    </w:sdtPr>
    <w:sdtContent>
      <w:p>
        <w:pPr>
          <w:pStyle w:val="7"/>
          <w:jc w:val="center"/>
        </w:pPr>
        <w:r>
          <w:fldChar w:fldCharType="begin"/>
        </w:r>
        <w:r>
          <w:instrText xml:space="preserve">PAGE   \* MERGEFORMAT</w:instrText>
        </w:r>
        <w:r>
          <w:fldChar w:fldCharType="separate"/>
        </w:r>
        <w:r>
          <w:rPr>
            <w:lang w:val="zh-CN"/>
          </w:rPr>
          <w:t>-</w:t>
        </w:r>
        <w:r>
          <w:t xml:space="preserve"> 3 -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48478"/>
    </w:sdtPr>
    <w:sdtContent>
      <w:p>
        <w:pPr>
          <w:pStyle w:val="7"/>
          <w:jc w:val="center"/>
        </w:pPr>
        <w:r>
          <w:fldChar w:fldCharType="begin"/>
        </w:r>
        <w:r>
          <w:instrText xml:space="preserve">PAGE   \* MERGEFORMAT</w:instrText>
        </w:r>
        <w:r>
          <w:fldChar w:fldCharType="separate"/>
        </w:r>
        <w:r>
          <w:rPr>
            <w:lang w:val="zh-CN"/>
          </w:rPr>
          <w:t>32</w:t>
        </w:r>
        <w:r>
          <w:rPr>
            <w:lang w:val="zh-CN"/>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48479"/>
    </w:sdtPr>
    <w:sdtContent>
      <w:p>
        <w:pPr>
          <w:pStyle w:val="7"/>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4A629C"/>
    <w:multiLevelType w:val="singleLevel"/>
    <w:tmpl w:val="5C4A629C"/>
    <w:lvl w:ilvl="0" w:tentative="0">
      <w:start w:val="2"/>
      <w:numFmt w:val="chineseCounting"/>
      <w:suff w:val="nothing"/>
      <w:lvlText w:val="%1、"/>
      <w:lvlJc w:val="left"/>
      <w:rPr>
        <w:rFonts w:hint="eastAsia"/>
      </w:rPr>
    </w:lvl>
  </w:abstractNum>
  <w:abstractNum w:abstractNumId="1">
    <w:nsid w:val="7C1F3092"/>
    <w:multiLevelType w:val="singleLevel"/>
    <w:tmpl w:val="7C1F309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NkMzQyZjM4NjBjOGNhMWUzODY2M2MzNzRkZjYzNWEifQ=="/>
  </w:docVars>
  <w:rsids>
    <w:rsidRoot w:val="00172A27"/>
    <w:rsid w:val="00001763"/>
    <w:rsid w:val="0000625E"/>
    <w:rsid w:val="000222C6"/>
    <w:rsid w:val="0002549F"/>
    <w:rsid w:val="00034EBF"/>
    <w:rsid w:val="0004473E"/>
    <w:rsid w:val="00044CDB"/>
    <w:rsid w:val="000468DB"/>
    <w:rsid w:val="00050D85"/>
    <w:rsid w:val="00054F64"/>
    <w:rsid w:val="000551FB"/>
    <w:rsid w:val="0006487A"/>
    <w:rsid w:val="00065F8F"/>
    <w:rsid w:val="00070A43"/>
    <w:rsid w:val="000766C0"/>
    <w:rsid w:val="000768F2"/>
    <w:rsid w:val="00076E2C"/>
    <w:rsid w:val="000846E9"/>
    <w:rsid w:val="0009184B"/>
    <w:rsid w:val="00091E72"/>
    <w:rsid w:val="00093D9A"/>
    <w:rsid w:val="00094236"/>
    <w:rsid w:val="0009593C"/>
    <w:rsid w:val="00097322"/>
    <w:rsid w:val="000A6A92"/>
    <w:rsid w:val="000B047F"/>
    <w:rsid w:val="000B50F4"/>
    <w:rsid w:val="000B5923"/>
    <w:rsid w:val="000B5A48"/>
    <w:rsid w:val="000B6FF3"/>
    <w:rsid w:val="000C1B65"/>
    <w:rsid w:val="000C3467"/>
    <w:rsid w:val="000C3CA6"/>
    <w:rsid w:val="000C5C6E"/>
    <w:rsid w:val="000D1267"/>
    <w:rsid w:val="000D1D50"/>
    <w:rsid w:val="000D5782"/>
    <w:rsid w:val="000E6613"/>
    <w:rsid w:val="000E6EFC"/>
    <w:rsid w:val="000E7119"/>
    <w:rsid w:val="000F3A20"/>
    <w:rsid w:val="00100863"/>
    <w:rsid w:val="001020DE"/>
    <w:rsid w:val="0010517D"/>
    <w:rsid w:val="00111973"/>
    <w:rsid w:val="00114E9B"/>
    <w:rsid w:val="00114EF3"/>
    <w:rsid w:val="00115A2B"/>
    <w:rsid w:val="001208C5"/>
    <w:rsid w:val="00142216"/>
    <w:rsid w:val="00144D6A"/>
    <w:rsid w:val="0014729F"/>
    <w:rsid w:val="00157BAB"/>
    <w:rsid w:val="001600D7"/>
    <w:rsid w:val="001654D1"/>
    <w:rsid w:val="00172A27"/>
    <w:rsid w:val="00174518"/>
    <w:rsid w:val="001801A0"/>
    <w:rsid w:val="0018106D"/>
    <w:rsid w:val="0018118E"/>
    <w:rsid w:val="00183D94"/>
    <w:rsid w:val="0018585C"/>
    <w:rsid w:val="001877A7"/>
    <w:rsid w:val="00191536"/>
    <w:rsid w:val="00196687"/>
    <w:rsid w:val="00197787"/>
    <w:rsid w:val="001A02B6"/>
    <w:rsid w:val="001B07AF"/>
    <w:rsid w:val="001C0962"/>
    <w:rsid w:val="001D520B"/>
    <w:rsid w:val="001D561F"/>
    <w:rsid w:val="001D7531"/>
    <w:rsid w:val="001E1436"/>
    <w:rsid w:val="001E737D"/>
    <w:rsid w:val="001F0592"/>
    <w:rsid w:val="001F7506"/>
    <w:rsid w:val="002006CD"/>
    <w:rsid w:val="00202B36"/>
    <w:rsid w:val="00204B7A"/>
    <w:rsid w:val="00204CDE"/>
    <w:rsid w:val="0020784B"/>
    <w:rsid w:val="0021101A"/>
    <w:rsid w:val="00217E47"/>
    <w:rsid w:val="00220536"/>
    <w:rsid w:val="002246E0"/>
    <w:rsid w:val="0022660D"/>
    <w:rsid w:val="00232A32"/>
    <w:rsid w:val="00235629"/>
    <w:rsid w:val="00236F23"/>
    <w:rsid w:val="00260C38"/>
    <w:rsid w:val="002616C0"/>
    <w:rsid w:val="00265372"/>
    <w:rsid w:val="002662AA"/>
    <w:rsid w:val="002673C9"/>
    <w:rsid w:val="00271E47"/>
    <w:rsid w:val="00280496"/>
    <w:rsid w:val="00281A14"/>
    <w:rsid w:val="00294DC9"/>
    <w:rsid w:val="00295495"/>
    <w:rsid w:val="002A31DE"/>
    <w:rsid w:val="002B2613"/>
    <w:rsid w:val="002D6D05"/>
    <w:rsid w:val="002E78EF"/>
    <w:rsid w:val="002F16C2"/>
    <w:rsid w:val="002F1818"/>
    <w:rsid w:val="002F567B"/>
    <w:rsid w:val="0030579E"/>
    <w:rsid w:val="0031065F"/>
    <w:rsid w:val="0031156B"/>
    <w:rsid w:val="003216A9"/>
    <w:rsid w:val="003319A6"/>
    <w:rsid w:val="00333201"/>
    <w:rsid w:val="00335A74"/>
    <w:rsid w:val="00344798"/>
    <w:rsid w:val="003465F7"/>
    <w:rsid w:val="0034666E"/>
    <w:rsid w:val="003546B9"/>
    <w:rsid w:val="00354E92"/>
    <w:rsid w:val="0035592D"/>
    <w:rsid w:val="00357C06"/>
    <w:rsid w:val="00361099"/>
    <w:rsid w:val="0036561B"/>
    <w:rsid w:val="00366E09"/>
    <w:rsid w:val="0037013F"/>
    <w:rsid w:val="00380C92"/>
    <w:rsid w:val="003838D4"/>
    <w:rsid w:val="00392651"/>
    <w:rsid w:val="003A484F"/>
    <w:rsid w:val="003A4883"/>
    <w:rsid w:val="003A5C6B"/>
    <w:rsid w:val="003A6413"/>
    <w:rsid w:val="003B0BE0"/>
    <w:rsid w:val="003B0C1B"/>
    <w:rsid w:val="003B2374"/>
    <w:rsid w:val="003B3A91"/>
    <w:rsid w:val="003B4918"/>
    <w:rsid w:val="003B562A"/>
    <w:rsid w:val="003B688C"/>
    <w:rsid w:val="003C0291"/>
    <w:rsid w:val="003C39AE"/>
    <w:rsid w:val="003C7B60"/>
    <w:rsid w:val="003D0C0F"/>
    <w:rsid w:val="003D1FB2"/>
    <w:rsid w:val="003D66DA"/>
    <w:rsid w:val="003E1310"/>
    <w:rsid w:val="003E17DB"/>
    <w:rsid w:val="003E2744"/>
    <w:rsid w:val="003E6F55"/>
    <w:rsid w:val="003F585A"/>
    <w:rsid w:val="004033C7"/>
    <w:rsid w:val="00406254"/>
    <w:rsid w:val="004079C9"/>
    <w:rsid w:val="004223DE"/>
    <w:rsid w:val="00424E17"/>
    <w:rsid w:val="00434489"/>
    <w:rsid w:val="00434D64"/>
    <w:rsid w:val="00437085"/>
    <w:rsid w:val="00443880"/>
    <w:rsid w:val="004464F4"/>
    <w:rsid w:val="00471401"/>
    <w:rsid w:val="00473F31"/>
    <w:rsid w:val="0048263A"/>
    <w:rsid w:val="00487E5D"/>
    <w:rsid w:val="004A711F"/>
    <w:rsid w:val="004B199D"/>
    <w:rsid w:val="004B4690"/>
    <w:rsid w:val="004B7D83"/>
    <w:rsid w:val="004D6C59"/>
    <w:rsid w:val="004E0A2D"/>
    <w:rsid w:val="004E206B"/>
    <w:rsid w:val="004E5F9E"/>
    <w:rsid w:val="004E6DF7"/>
    <w:rsid w:val="004F0FBD"/>
    <w:rsid w:val="004F6371"/>
    <w:rsid w:val="00505A17"/>
    <w:rsid w:val="00505A47"/>
    <w:rsid w:val="00512FDA"/>
    <w:rsid w:val="00520DA0"/>
    <w:rsid w:val="00554D56"/>
    <w:rsid w:val="005664BB"/>
    <w:rsid w:val="005664EE"/>
    <w:rsid w:val="00566FFA"/>
    <w:rsid w:val="0057481D"/>
    <w:rsid w:val="0058486E"/>
    <w:rsid w:val="00585B33"/>
    <w:rsid w:val="0059014D"/>
    <w:rsid w:val="0059035A"/>
    <w:rsid w:val="005931F3"/>
    <w:rsid w:val="005A1A68"/>
    <w:rsid w:val="005A58C5"/>
    <w:rsid w:val="005A5DB3"/>
    <w:rsid w:val="005B3889"/>
    <w:rsid w:val="005B5C64"/>
    <w:rsid w:val="005C5337"/>
    <w:rsid w:val="005C6BD0"/>
    <w:rsid w:val="005D1C8B"/>
    <w:rsid w:val="005D468D"/>
    <w:rsid w:val="005D5CED"/>
    <w:rsid w:val="005E55B6"/>
    <w:rsid w:val="005F1A4C"/>
    <w:rsid w:val="005F227C"/>
    <w:rsid w:val="005F2974"/>
    <w:rsid w:val="00605688"/>
    <w:rsid w:val="00605D98"/>
    <w:rsid w:val="00605E7D"/>
    <w:rsid w:val="006070AF"/>
    <w:rsid w:val="00607E6C"/>
    <w:rsid w:val="006101B1"/>
    <w:rsid w:val="00614E44"/>
    <w:rsid w:val="0062270A"/>
    <w:rsid w:val="00622830"/>
    <w:rsid w:val="00623DA0"/>
    <w:rsid w:val="00630AEF"/>
    <w:rsid w:val="006325F8"/>
    <w:rsid w:val="00632B23"/>
    <w:rsid w:val="00632BA9"/>
    <w:rsid w:val="00633463"/>
    <w:rsid w:val="00633C58"/>
    <w:rsid w:val="00634C9A"/>
    <w:rsid w:val="00635332"/>
    <w:rsid w:val="006354FB"/>
    <w:rsid w:val="0063665C"/>
    <w:rsid w:val="006440E4"/>
    <w:rsid w:val="006558E7"/>
    <w:rsid w:val="0065758C"/>
    <w:rsid w:val="0066343B"/>
    <w:rsid w:val="00664777"/>
    <w:rsid w:val="00665926"/>
    <w:rsid w:val="006748A4"/>
    <w:rsid w:val="00681A31"/>
    <w:rsid w:val="0068317A"/>
    <w:rsid w:val="00683E73"/>
    <w:rsid w:val="006A1D54"/>
    <w:rsid w:val="006A3141"/>
    <w:rsid w:val="006A5E34"/>
    <w:rsid w:val="006B2422"/>
    <w:rsid w:val="006B2B9A"/>
    <w:rsid w:val="006B2F16"/>
    <w:rsid w:val="006B4879"/>
    <w:rsid w:val="006C1937"/>
    <w:rsid w:val="006D2F6D"/>
    <w:rsid w:val="006E0F44"/>
    <w:rsid w:val="006F020C"/>
    <w:rsid w:val="007127B7"/>
    <w:rsid w:val="00715908"/>
    <w:rsid w:val="007164E8"/>
    <w:rsid w:val="0071798E"/>
    <w:rsid w:val="0072770E"/>
    <w:rsid w:val="007416B6"/>
    <w:rsid w:val="00746F48"/>
    <w:rsid w:val="0075404D"/>
    <w:rsid w:val="0076113A"/>
    <w:rsid w:val="0076182A"/>
    <w:rsid w:val="00767B7E"/>
    <w:rsid w:val="007770C3"/>
    <w:rsid w:val="00784D24"/>
    <w:rsid w:val="00785FBA"/>
    <w:rsid w:val="00786E4A"/>
    <w:rsid w:val="007875EB"/>
    <w:rsid w:val="0079426B"/>
    <w:rsid w:val="007A43CD"/>
    <w:rsid w:val="007A73C9"/>
    <w:rsid w:val="007C48DC"/>
    <w:rsid w:val="007C7347"/>
    <w:rsid w:val="007D1281"/>
    <w:rsid w:val="007D1682"/>
    <w:rsid w:val="007D1C00"/>
    <w:rsid w:val="007D312A"/>
    <w:rsid w:val="007D3F19"/>
    <w:rsid w:val="007D4C96"/>
    <w:rsid w:val="007D7F17"/>
    <w:rsid w:val="007E23B0"/>
    <w:rsid w:val="007E23E5"/>
    <w:rsid w:val="007E2E0C"/>
    <w:rsid w:val="007E5EFA"/>
    <w:rsid w:val="007F1991"/>
    <w:rsid w:val="007F2C2F"/>
    <w:rsid w:val="007F55FC"/>
    <w:rsid w:val="007F5665"/>
    <w:rsid w:val="00800112"/>
    <w:rsid w:val="0080574E"/>
    <w:rsid w:val="00813348"/>
    <w:rsid w:val="008253BB"/>
    <w:rsid w:val="008314DB"/>
    <w:rsid w:val="0083706E"/>
    <w:rsid w:val="008408F6"/>
    <w:rsid w:val="0084174B"/>
    <w:rsid w:val="008423A5"/>
    <w:rsid w:val="0084711D"/>
    <w:rsid w:val="00850625"/>
    <w:rsid w:val="00853718"/>
    <w:rsid w:val="00855221"/>
    <w:rsid w:val="00860645"/>
    <w:rsid w:val="00865ECA"/>
    <w:rsid w:val="0087106C"/>
    <w:rsid w:val="00871F71"/>
    <w:rsid w:val="00872FD8"/>
    <w:rsid w:val="00885AF4"/>
    <w:rsid w:val="00890169"/>
    <w:rsid w:val="00892ACE"/>
    <w:rsid w:val="008939CD"/>
    <w:rsid w:val="008A3E1A"/>
    <w:rsid w:val="008A42AC"/>
    <w:rsid w:val="008B1B50"/>
    <w:rsid w:val="008B768C"/>
    <w:rsid w:val="008C4DB1"/>
    <w:rsid w:val="008C4EAF"/>
    <w:rsid w:val="008C5176"/>
    <w:rsid w:val="008C7FD0"/>
    <w:rsid w:val="008E1DE7"/>
    <w:rsid w:val="008E46E8"/>
    <w:rsid w:val="008E4865"/>
    <w:rsid w:val="008E535E"/>
    <w:rsid w:val="008E707C"/>
    <w:rsid w:val="00900B08"/>
    <w:rsid w:val="00901376"/>
    <w:rsid w:val="00902155"/>
    <w:rsid w:val="00902CA4"/>
    <w:rsid w:val="00902FA3"/>
    <w:rsid w:val="009126F5"/>
    <w:rsid w:val="00915877"/>
    <w:rsid w:val="00923564"/>
    <w:rsid w:val="0092392E"/>
    <w:rsid w:val="009315F9"/>
    <w:rsid w:val="00933499"/>
    <w:rsid w:val="00935C98"/>
    <w:rsid w:val="00946945"/>
    <w:rsid w:val="009509D3"/>
    <w:rsid w:val="00951248"/>
    <w:rsid w:val="0095152F"/>
    <w:rsid w:val="00952CFD"/>
    <w:rsid w:val="00954C49"/>
    <w:rsid w:val="00955E37"/>
    <w:rsid w:val="009654C2"/>
    <w:rsid w:val="00966014"/>
    <w:rsid w:val="0097099F"/>
    <w:rsid w:val="00971997"/>
    <w:rsid w:val="00971FFC"/>
    <w:rsid w:val="00972DEB"/>
    <w:rsid w:val="0097650E"/>
    <w:rsid w:val="0098660A"/>
    <w:rsid w:val="009931C3"/>
    <w:rsid w:val="009970CA"/>
    <w:rsid w:val="009B0825"/>
    <w:rsid w:val="009B2C43"/>
    <w:rsid w:val="009B4EAE"/>
    <w:rsid w:val="009B7573"/>
    <w:rsid w:val="009C22F4"/>
    <w:rsid w:val="009C2A4B"/>
    <w:rsid w:val="009C2E98"/>
    <w:rsid w:val="009D2AE0"/>
    <w:rsid w:val="009D3447"/>
    <w:rsid w:val="009D4711"/>
    <w:rsid w:val="009F1185"/>
    <w:rsid w:val="009F18CD"/>
    <w:rsid w:val="009F2A13"/>
    <w:rsid w:val="009F5953"/>
    <w:rsid w:val="009F7527"/>
    <w:rsid w:val="00A04EB0"/>
    <w:rsid w:val="00A0569A"/>
    <w:rsid w:val="00A12916"/>
    <w:rsid w:val="00A13CC1"/>
    <w:rsid w:val="00A16847"/>
    <w:rsid w:val="00A237D8"/>
    <w:rsid w:val="00A25EF2"/>
    <w:rsid w:val="00A268C4"/>
    <w:rsid w:val="00A307CD"/>
    <w:rsid w:val="00A331C8"/>
    <w:rsid w:val="00A40A00"/>
    <w:rsid w:val="00A4142F"/>
    <w:rsid w:val="00A422EB"/>
    <w:rsid w:val="00A446E8"/>
    <w:rsid w:val="00A44CE7"/>
    <w:rsid w:val="00A45BB7"/>
    <w:rsid w:val="00A46A02"/>
    <w:rsid w:val="00A534CA"/>
    <w:rsid w:val="00A53664"/>
    <w:rsid w:val="00A55138"/>
    <w:rsid w:val="00A56DF2"/>
    <w:rsid w:val="00A56E6E"/>
    <w:rsid w:val="00A67AB5"/>
    <w:rsid w:val="00A733B2"/>
    <w:rsid w:val="00A741C2"/>
    <w:rsid w:val="00A77644"/>
    <w:rsid w:val="00A91760"/>
    <w:rsid w:val="00A93B00"/>
    <w:rsid w:val="00A93C21"/>
    <w:rsid w:val="00A96455"/>
    <w:rsid w:val="00AA65E7"/>
    <w:rsid w:val="00AB057A"/>
    <w:rsid w:val="00AB64C9"/>
    <w:rsid w:val="00AB6534"/>
    <w:rsid w:val="00AC3C6A"/>
    <w:rsid w:val="00AC4950"/>
    <w:rsid w:val="00AC7CC8"/>
    <w:rsid w:val="00AD3EC9"/>
    <w:rsid w:val="00AD5620"/>
    <w:rsid w:val="00AD656B"/>
    <w:rsid w:val="00AD786E"/>
    <w:rsid w:val="00AD7C1B"/>
    <w:rsid w:val="00AE16BA"/>
    <w:rsid w:val="00AE1EBE"/>
    <w:rsid w:val="00AE39CA"/>
    <w:rsid w:val="00AF746E"/>
    <w:rsid w:val="00B016CD"/>
    <w:rsid w:val="00B03BB1"/>
    <w:rsid w:val="00B03C9D"/>
    <w:rsid w:val="00B060AE"/>
    <w:rsid w:val="00B10517"/>
    <w:rsid w:val="00B12987"/>
    <w:rsid w:val="00B14E76"/>
    <w:rsid w:val="00B15669"/>
    <w:rsid w:val="00B161B8"/>
    <w:rsid w:val="00B2048C"/>
    <w:rsid w:val="00B27E4B"/>
    <w:rsid w:val="00B30D9E"/>
    <w:rsid w:val="00B310B9"/>
    <w:rsid w:val="00B34572"/>
    <w:rsid w:val="00B3469B"/>
    <w:rsid w:val="00B35F3F"/>
    <w:rsid w:val="00B36CBB"/>
    <w:rsid w:val="00B425E0"/>
    <w:rsid w:val="00B440AA"/>
    <w:rsid w:val="00B44B70"/>
    <w:rsid w:val="00B53C56"/>
    <w:rsid w:val="00B55710"/>
    <w:rsid w:val="00B57DAF"/>
    <w:rsid w:val="00B662B9"/>
    <w:rsid w:val="00B77EA6"/>
    <w:rsid w:val="00B81598"/>
    <w:rsid w:val="00B819DA"/>
    <w:rsid w:val="00B841F1"/>
    <w:rsid w:val="00B865FB"/>
    <w:rsid w:val="00B944D6"/>
    <w:rsid w:val="00B9779B"/>
    <w:rsid w:val="00BA1962"/>
    <w:rsid w:val="00BB4DF0"/>
    <w:rsid w:val="00BC289F"/>
    <w:rsid w:val="00BC2D50"/>
    <w:rsid w:val="00BC5361"/>
    <w:rsid w:val="00BC5460"/>
    <w:rsid w:val="00BC6B50"/>
    <w:rsid w:val="00BD0E25"/>
    <w:rsid w:val="00BD32B8"/>
    <w:rsid w:val="00BE08D7"/>
    <w:rsid w:val="00BF0FC6"/>
    <w:rsid w:val="00BF5BD6"/>
    <w:rsid w:val="00C03E31"/>
    <w:rsid w:val="00C136F7"/>
    <w:rsid w:val="00C14743"/>
    <w:rsid w:val="00C327D6"/>
    <w:rsid w:val="00C33E72"/>
    <w:rsid w:val="00C354B2"/>
    <w:rsid w:val="00C35554"/>
    <w:rsid w:val="00C42709"/>
    <w:rsid w:val="00C44A81"/>
    <w:rsid w:val="00C533CC"/>
    <w:rsid w:val="00C542FC"/>
    <w:rsid w:val="00C5751C"/>
    <w:rsid w:val="00C61BFC"/>
    <w:rsid w:val="00C62B85"/>
    <w:rsid w:val="00C65438"/>
    <w:rsid w:val="00C674EB"/>
    <w:rsid w:val="00C727ED"/>
    <w:rsid w:val="00C735A5"/>
    <w:rsid w:val="00C749B3"/>
    <w:rsid w:val="00C76867"/>
    <w:rsid w:val="00C87FD8"/>
    <w:rsid w:val="00C91381"/>
    <w:rsid w:val="00C91CBB"/>
    <w:rsid w:val="00C97DFD"/>
    <w:rsid w:val="00CA117F"/>
    <w:rsid w:val="00CA1B68"/>
    <w:rsid w:val="00CB4E70"/>
    <w:rsid w:val="00CC09B6"/>
    <w:rsid w:val="00CC4DC2"/>
    <w:rsid w:val="00CC6472"/>
    <w:rsid w:val="00CC666F"/>
    <w:rsid w:val="00CD07DE"/>
    <w:rsid w:val="00CD1E3F"/>
    <w:rsid w:val="00CD38CB"/>
    <w:rsid w:val="00CD3B8F"/>
    <w:rsid w:val="00CE44F6"/>
    <w:rsid w:val="00CE49DA"/>
    <w:rsid w:val="00CE7B61"/>
    <w:rsid w:val="00CF306A"/>
    <w:rsid w:val="00D00095"/>
    <w:rsid w:val="00D01A6A"/>
    <w:rsid w:val="00D114F0"/>
    <w:rsid w:val="00D116AD"/>
    <w:rsid w:val="00D121E8"/>
    <w:rsid w:val="00D134CD"/>
    <w:rsid w:val="00D20620"/>
    <w:rsid w:val="00D229C5"/>
    <w:rsid w:val="00D24116"/>
    <w:rsid w:val="00D25089"/>
    <w:rsid w:val="00D254F7"/>
    <w:rsid w:val="00D25A3B"/>
    <w:rsid w:val="00D26091"/>
    <w:rsid w:val="00D2685C"/>
    <w:rsid w:val="00D26B73"/>
    <w:rsid w:val="00D34E7C"/>
    <w:rsid w:val="00D35489"/>
    <w:rsid w:val="00D36AFE"/>
    <w:rsid w:val="00D4189A"/>
    <w:rsid w:val="00D41FEF"/>
    <w:rsid w:val="00D51276"/>
    <w:rsid w:val="00D515C2"/>
    <w:rsid w:val="00D529DF"/>
    <w:rsid w:val="00D7035F"/>
    <w:rsid w:val="00D76CAC"/>
    <w:rsid w:val="00D76DBD"/>
    <w:rsid w:val="00D83A4F"/>
    <w:rsid w:val="00D86031"/>
    <w:rsid w:val="00D87127"/>
    <w:rsid w:val="00DA634F"/>
    <w:rsid w:val="00DA65AC"/>
    <w:rsid w:val="00DB1913"/>
    <w:rsid w:val="00DC22BF"/>
    <w:rsid w:val="00DC410D"/>
    <w:rsid w:val="00DC5A81"/>
    <w:rsid w:val="00DC68CA"/>
    <w:rsid w:val="00DC7CBA"/>
    <w:rsid w:val="00DD1A75"/>
    <w:rsid w:val="00DD4190"/>
    <w:rsid w:val="00DD73B7"/>
    <w:rsid w:val="00DE050A"/>
    <w:rsid w:val="00DE217D"/>
    <w:rsid w:val="00DE5899"/>
    <w:rsid w:val="00DF0791"/>
    <w:rsid w:val="00DF28BC"/>
    <w:rsid w:val="00DF34B9"/>
    <w:rsid w:val="00E006C1"/>
    <w:rsid w:val="00E01053"/>
    <w:rsid w:val="00E07ACF"/>
    <w:rsid w:val="00E155AE"/>
    <w:rsid w:val="00E1646A"/>
    <w:rsid w:val="00E16D94"/>
    <w:rsid w:val="00E331A1"/>
    <w:rsid w:val="00E33202"/>
    <w:rsid w:val="00E336A9"/>
    <w:rsid w:val="00E3756E"/>
    <w:rsid w:val="00E37E74"/>
    <w:rsid w:val="00E40352"/>
    <w:rsid w:val="00E432CF"/>
    <w:rsid w:val="00E472B1"/>
    <w:rsid w:val="00E50624"/>
    <w:rsid w:val="00E53831"/>
    <w:rsid w:val="00E54CD6"/>
    <w:rsid w:val="00E568DF"/>
    <w:rsid w:val="00E60997"/>
    <w:rsid w:val="00E62C73"/>
    <w:rsid w:val="00E64269"/>
    <w:rsid w:val="00E75259"/>
    <w:rsid w:val="00E82267"/>
    <w:rsid w:val="00E853CE"/>
    <w:rsid w:val="00E867B6"/>
    <w:rsid w:val="00EA010F"/>
    <w:rsid w:val="00EB2F28"/>
    <w:rsid w:val="00EB648A"/>
    <w:rsid w:val="00EB6EF4"/>
    <w:rsid w:val="00EC6F76"/>
    <w:rsid w:val="00ED0307"/>
    <w:rsid w:val="00ED1B63"/>
    <w:rsid w:val="00ED3231"/>
    <w:rsid w:val="00ED3C1F"/>
    <w:rsid w:val="00ED4085"/>
    <w:rsid w:val="00ED420E"/>
    <w:rsid w:val="00ED6FBE"/>
    <w:rsid w:val="00EE2F57"/>
    <w:rsid w:val="00EF1A0D"/>
    <w:rsid w:val="00EF4C34"/>
    <w:rsid w:val="00EF77C6"/>
    <w:rsid w:val="00F04440"/>
    <w:rsid w:val="00F05438"/>
    <w:rsid w:val="00F064D7"/>
    <w:rsid w:val="00F1361C"/>
    <w:rsid w:val="00F156F0"/>
    <w:rsid w:val="00F160C7"/>
    <w:rsid w:val="00F20231"/>
    <w:rsid w:val="00F2408F"/>
    <w:rsid w:val="00F240E9"/>
    <w:rsid w:val="00F359E0"/>
    <w:rsid w:val="00F36D8F"/>
    <w:rsid w:val="00F406BE"/>
    <w:rsid w:val="00F417B1"/>
    <w:rsid w:val="00F44A33"/>
    <w:rsid w:val="00F45853"/>
    <w:rsid w:val="00F602DF"/>
    <w:rsid w:val="00F61198"/>
    <w:rsid w:val="00F754A1"/>
    <w:rsid w:val="00F81FD9"/>
    <w:rsid w:val="00F82E1F"/>
    <w:rsid w:val="00F841AA"/>
    <w:rsid w:val="00F84A94"/>
    <w:rsid w:val="00F87E96"/>
    <w:rsid w:val="00F937F4"/>
    <w:rsid w:val="00F95093"/>
    <w:rsid w:val="00F961E4"/>
    <w:rsid w:val="00FA1566"/>
    <w:rsid w:val="00FA23E8"/>
    <w:rsid w:val="00FB0E50"/>
    <w:rsid w:val="00FC21B6"/>
    <w:rsid w:val="00FC4EF0"/>
    <w:rsid w:val="00FC5326"/>
    <w:rsid w:val="00FD1134"/>
    <w:rsid w:val="00FD19C2"/>
    <w:rsid w:val="00FD3CC1"/>
    <w:rsid w:val="00FD42E0"/>
    <w:rsid w:val="00FD7222"/>
    <w:rsid w:val="00FE174F"/>
    <w:rsid w:val="00FF1E02"/>
    <w:rsid w:val="00FF30B4"/>
    <w:rsid w:val="00FF4772"/>
    <w:rsid w:val="00FF77DC"/>
    <w:rsid w:val="010610B0"/>
    <w:rsid w:val="010A478A"/>
    <w:rsid w:val="015975B8"/>
    <w:rsid w:val="01643005"/>
    <w:rsid w:val="02143E91"/>
    <w:rsid w:val="02D037B2"/>
    <w:rsid w:val="04305D75"/>
    <w:rsid w:val="048605CC"/>
    <w:rsid w:val="051C56D8"/>
    <w:rsid w:val="052D4EEB"/>
    <w:rsid w:val="06344057"/>
    <w:rsid w:val="066E0107"/>
    <w:rsid w:val="06A74E8E"/>
    <w:rsid w:val="07996F6E"/>
    <w:rsid w:val="07C12FA2"/>
    <w:rsid w:val="092E4D8E"/>
    <w:rsid w:val="0A193000"/>
    <w:rsid w:val="0A2032A3"/>
    <w:rsid w:val="0A4D56E8"/>
    <w:rsid w:val="0AD41965"/>
    <w:rsid w:val="0B3D0003"/>
    <w:rsid w:val="0B753148"/>
    <w:rsid w:val="0C30706F"/>
    <w:rsid w:val="0CA5180B"/>
    <w:rsid w:val="0CD65E68"/>
    <w:rsid w:val="0CD910AD"/>
    <w:rsid w:val="0D7002CE"/>
    <w:rsid w:val="0F062815"/>
    <w:rsid w:val="0F98263C"/>
    <w:rsid w:val="0FD146C5"/>
    <w:rsid w:val="101860EC"/>
    <w:rsid w:val="10C055FF"/>
    <w:rsid w:val="110765F0"/>
    <w:rsid w:val="114E421F"/>
    <w:rsid w:val="11761AF6"/>
    <w:rsid w:val="118107EC"/>
    <w:rsid w:val="13622204"/>
    <w:rsid w:val="137F4B64"/>
    <w:rsid w:val="13D50BC4"/>
    <w:rsid w:val="140C22F2"/>
    <w:rsid w:val="14254FA8"/>
    <w:rsid w:val="14535FF1"/>
    <w:rsid w:val="16BB723D"/>
    <w:rsid w:val="18167A61"/>
    <w:rsid w:val="187C78C4"/>
    <w:rsid w:val="19FD67E3"/>
    <w:rsid w:val="1BE8440E"/>
    <w:rsid w:val="1C454471"/>
    <w:rsid w:val="1D0021C5"/>
    <w:rsid w:val="1D155CEE"/>
    <w:rsid w:val="1E585428"/>
    <w:rsid w:val="1F5970FC"/>
    <w:rsid w:val="1FF35744"/>
    <w:rsid w:val="206D21E8"/>
    <w:rsid w:val="20752BE6"/>
    <w:rsid w:val="21020B82"/>
    <w:rsid w:val="21653685"/>
    <w:rsid w:val="219C02C4"/>
    <w:rsid w:val="220D5A31"/>
    <w:rsid w:val="2247495C"/>
    <w:rsid w:val="22D60519"/>
    <w:rsid w:val="23151041"/>
    <w:rsid w:val="23425BAE"/>
    <w:rsid w:val="23772AC6"/>
    <w:rsid w:val="23860B96"/>
    <w:rsid w:val="23C10881"/>
    <w:rsid w:val="240371BF"/>
    <w:rsid w:val="2674607E"/>
    <w:rsid w:val="26A22B4F"/>
    <w:rsid w:val="26B648E9"/>
    <w:rsid w:val="27962024"/>
    <w:rsid w:val="281318C7"/>
    <w:rsid w:val="29D67E26"/>
    <w:rsid w:val="29FD04D3"/>
    <w:rsid w:val="2A5A03AF"/>
    <w:rsid w:val="2A6E0386"/>
    <w:rsid w:val="2A866380"/>
    <w:rsid w:val="2ACF7D27"/>
    <w:rsid w:val="2B756E42"/>
    <w:rsid w:val="2BA01D38"/>
    <w:rsid w:val="2C8A61B5"/>
    <w:rsid w:val="2DE05466"/>
    <w:rsid w:val="2DF04E50"/>
    <w:rsid w:val="2E7A66D8"/>
    <w:rsid w:val="2F040D46"/>
    <w:rsid w:val="2F612F05"/>
    <w:rsid w:val="310F17F5"/>
    <w:rsid w:val="319F7F4E"/>
    <w:rsid w:val="31CD6F8B"/>
    <w:rsid w:val="3304709D"/>
    <w:rsid w:val="331E277E"/>
    <w:rsid w:val="34321327"/>
    <w:rsid w:val="346C2A8B"/>
    <w:rsid w:val="34F62781"/>
    <w:rsid w:val="35156C7E"/>
    <w:rsid w:val="352275ED"/>
    <w:rsid w:val="354366D6"/>
    <w:rsid w:val="35965B5C"/>
    <w:rsid w:val="35F22426"/>
    <w:rsid w:val="35F920FC"/>
    <w:rsid w:val="36354DCF"/>
    <w:rsid w:val="36873BAC"/>
    <w:rsid w:val="36AA5135"/>
    <w:rsid w:val="36AE4022"/>
    <w:rsid w:val="376D39B2"/>
    <w:rsid w:val="379E73FF"/>
    <w:rsid w:val="37E16F03"/>
    <w:rsid w:val="38D469F0"/>
    <w:rsid w:val="3A033549"/>
    <w:rsid w:val="3B36794F"/>
    <w:rsid w:val="3B936B4F"/>
    <w:rsid w:val="3BDC04F6"/>
    <w:rsid w:val="3C575DCE"/>
    <w:rsid w:val="3C58462D"/>
    <w:rsid w:val="3C7249B6"/>
    <w:rsid w:val="3CDD2284"/>
    <w:rsid w:val="3CEB22A8"/>
    <w:rsid w:val="3D98207C"/>
    <w:rsid w:val="3E78745D"/>
    <w:rsid w:val="3EA130E8"/>
    <w:rsid w:val="3EFC4A0B"/>
    <w:rsid w:val="3F9C76E5"/>
    <w:rsid w:val="3FF95B03"/>
    <w:rsid w:val="43ED0DC6"/>
    <w:rsid w:val="43F61D03"/>
    <w:rsid w:val="441B5933"/>
    <w:rsid w:val="446B0669"/>
    <w:rsid w:val="44E268DA"/>
    <w:rsid w:val="45244CBC"/>
    <w:rsid w:val="45AC21C4"/>
    <w:rsid w:val="46737941"/>
    <w:rsid w:val="46916381"/>
    <w:rsid w:val="494D697E"/>
    <w:rsid w:val="4A413C1A"/>
    <w:rsid w:val="4A627F82"/>
    <w:rsid w:val="4A7C384F"/>
    <w:rsid w:val="4B0E749A"/>
    <w:rsid w:val="4B2E0642"/>
    <w:rsid w:val="4B3E3825"/>
    <w:rsid w:val="4B4F25DA"/>
    <w:rsid w:val="4BCF5981"/>
    <w:rsid w:val="4BE068DB"/>
    <w:rsid w:val="4BFC604B"/>
    <w:rsid w:val="4C6360CA"/>
    <w:rsid w:val="4D0C050F"/>
    <w:rsid w:val="4D577224"/>
    <w:rsid w:val="4E7D6072"/>
    <w:rsid w:val="4E8F13F8"/>
    <w:rsid w:val="4EAB630A"/>
    <w:rsid w:val="4ECE2238"/>
    <w:rsid w:val="4F8C5937"/>
    <w:rsid w:val="4FCC48AC"/>
    <w:rsid w:val="4FF53E86"/>
    <w:rsid w:val="52741030"/>
    <w:rsid w:val="537E6D0A"/>
    <w:rsid w:val="54A24918"/>
    <w:rsid w:val="55A82D9F"/>
    <w:rsid w:val="56CB143B"/>
    <w:rsid w:val="57004BF9"/>
    <w:rsid w:val="571B3385"/>
    <w:rsid w:val="573C7C43"/>
    <w:rsid w:val="57AA2DFF"/>
    <w:rsid w:val="57CB25AC"/>
    <w:rsid w:val="57CC0FC7"/>
    <w:rsid w:val="58F9403E"/>
    <w:rsid w:val="5AF92295"/>
    <w:rsid w:val="5C3C32A7"/>
    <w:rsid w:val="5CD71FC4"/>
    <w:rsid w:val="5CF80AB0"/>
    <w:rsid w:val="5D35760E"/>
    <w:rsid w:val="603D5158"/>
    <w:rsid w:val="609E371C"/>
    <w:rsid w:val="62AA0157"/>
    <w:rsid w:val="62B64D4D"/>
    <w:rsid w:val="63735DDF"/>
    <w:rsid w:val="638E5CCA"/>
    <w:rsid w:val="63B70D7D"/>
    <w:rsid w:val="66A870A3"/>
    <w:rsid w:val="66EF4330"/>
    <w:rsid w:val="6706505B"/>
    <w:rsid w:val="67D62A23"/>
    <w:rsid w:val="67F26828"/>
    <w:rsid w:val="685E210F"/>
    <w:rsid w:val="6A136F29"/>
    <w:rsid w:val="6AD06C59"/>
    <w:rsid w:val="6C4A05C8"/>
    <w:rsid w:val="6CAD5413"/>
    <w:rsid w:val="6DA265FA"/>
    <w:rsid w:val="6E7E3605"/>
    <w:rsid w:val="6E9B643E"/>
    <w:rsid w:val="6EFE1F56"/>
    <w:rsid w:val="6F3B4F58"/>
    <w:rsid w:val="6F415570"/>
    <w:rsid w:val="6FC30AAA"/>
    <w:rsid w:val="6FF11ABB"/>
    <w:rsid w:val="6FF5CC65"/>
    <w:rsid w:val="70945806"/>
    <w:rsid w:val="7101188A"/>
    <w:rsid w:val="71190D2F"/>
    <w:rsid w:val="715C0E4B"/>
    <w:rsid w:val="71BE777B"/>
    <w:rsid w:val="72734D90"/>
    <w:rsid w:val="7303644A"/>
    <w:rsid w:val="737A5923"/>
    <w:rsid w:val="73A76E7D"/>
    <w:rsid w:val="73AD73D5"/>
    <w:rsid w:val="73B6EB34"/>
    <w:rsid w:val="744731E5"/>
    <w:rsid w:val="75524DAA"/>
    <w:rsid w:val="760101B2"/>
    <w:rsid w:val="76E3355F"/>
    <w:rsid w:val="773B361B"/>
    <w:rsid w:val="778769C8"/>
    <w:rsid w:val="7880578A"/>
    <w:rsid w:val="78CC6C21"/>
    <w:rsid w:val="78DB3308"/>
    <w:rsid w:val="78DF4BA6"/>
    <w:rsid w:val="797846B3"/>
    <w:rsid w:val="79EE5BA4"/>
    <w:rsid w:val="7A011693"/>
    <w:rsid w:val="7A894339"/>
    <w:rsid w:val="7B3A2568"/>
    <w:rsid w:val="7B5B0730"/>
    <w:rsid w:val="7B6E1196"/>
    <w:rsid w:val="7B8F3F36"/>
    <w:rsid w:val="7BD61B65"/>
    <w:rsid w:val="7BF72207"/>
    <w:rsid w:val="7D6B5D5F"/>
    <w:rsid w:val="7DC223A1"/>
    <w:rsid w:val="7EC87E8B"/>
    <w:rsid w:val="7EEF11D3"/>
    <w:rsid w:val="7F440EEB"/>
    <w:rsid w:val="7F634149"/>
    <w:rsid w:val="7F7B6CAB"/>
    <w:rsid w:val="7FA30C79"/>
    <w:rsid w:val="7FB7269E"/>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9"/>
    <w:pPr>
      <w:keepNext/>
      <w:keepLines/>
      <w:spacing w:before="340" w:after="330" w:line="578" w:lineRule="auto"/>
      <w:jc w:val="center"/>
      <w:outlineLvl w:val="0"/>
    </w:pPr>
    <w:rPr>
      <w:rFonts w:eastAsia="黑体"/>
      <w:bCs/>
      <w:kern w:val="44"/>
      <w:sz w:val="44"/>
      <w:szCs w:val="44"/>
    </w:rPr>
  </w:style>
  <w:style w:type="paragraph" w:styleId="3">
    <w:name w:val="heading 2"/>
    <w:basedOn w:val="1"/>
    <w:next w:val="1"/>
    <w:link w:val="30"/>
    <w:unhideWhenUsed/>
    <w:qFormat/>
    <w:uiPriority w:val="9"/>
    <w:pPr>
      <w:keepNext/>
      <w:keepLines/>
      <w:spacing w:line="578" w:lineRule="exact"/>
      <w:outlineLvl w:val="1"/>
    </w:pPr>
    <w:rPr>
      <w:rFonts w:eastAsia="黑体" w:asciiTheme="majorHAnsi" w:hAnsiTheme="majorHAnsi" w:cstheme="majorBidi"/>
      <w:bCs/>
      <w:kern w:val="0"/>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7"/>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footer"/>
    <w:basedOn w:val="1"/>
    <w:next w:val="1"/>
    <w:link w:val="25"/>
    <w:qFormat/>
    <w:uiPriority w:val="99"/>
    <w:pPr>
      <w:tabs>
        <w:tab w:val="center" w:pos="4153"/>
        <w:tab w:val="right" w:pos="8306"/>
      </w:tabs>
      <w:snapToGrid w:val="0"/>
      <w:jc w:val="left"/>
    </w:pPr>
    <w:rPr>
      <w:rFonts w:ascii="Calibri" w:hAnsi="Calibri"/>
      <w:kern w:val="0"/>
      <w:sz w:val="18"/>
      <w:szCs w:val="18"/>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line="440" w:lineRule="exact"/>
      <w:jc w:val="left"/>
    </w:pPr>
    <w:rPr>
      <w:rFonts w:ascii="仿宋" w:hAnsi="仿宋" w:eastAsia="仿宋"/>
      <w:sz w:val="24"/>
      <w:szCs w:val="28"/>
    </w:rPr>
  </w:style>
  <w:style w:type="paragraph" w:styleId="12">
    <w:name w:val="toc 2"/>
    <w:basedOn w:val="1"/>
    <w:next w:val="1"/>
    <w:unhideWhenUsed/>
    <w:qFormat/>
    <w:uiPriority w:val="39"/>
    <w:pPr>
      <w:tabs>
        <w:tab w:val="right" w:leader="dot" w:pos="8296"/>
      </w:tabs>
      <w:spacing w:line="440" w:lineRule="exact"/>
      <w:ind w:left="200" w:leftChars="200"/>
    </w:pPr>
    <w:rPr>
      <w:sz w:val="24"/>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Body Text First Indent 2"/>
    <w:basedOn w:val="6"/>
    <w:unhideWhenUsed/>
    <w:qFormat/>
    <w:uiPriority w:val="99"/>
    <w:pPr>
      <w:ind w:firstLine="420" w:firstLineChars="200"/>
    </w:pPr>
  </w:style>
  <w:style w:type="table" w:styleId="16">
    <w:name w:val="Table Grid"/>
    <w:basedOn w:val="15"/>
    <w:qFormat/>
    <w:uiPriority w:val="59"/>
    <w:pPr>
      <w:spacing w:line="578" w:lineRule="exact"/>
    </w:pPr>
    <w:rPr>
      <w:rFonts w:ascii="Calibri" w:hAnsi="Calibr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rPr>
  </w:style>
  <w:style w:type="paragraph" w:customStyle="1" w:styleId="2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7"/>
    <w:semiHidden/>
    <w:qFormat/>
    <w:uiPriority w:val="99"/>
    <w:rPr>
      <w:rFonts w:ascii="Times New Roman" w:hAnsi="Times New Roman"/>
      <w:sz w:val="18"/>
      <w:szCs w:val="18"/>
    </w:rPr>
  </w:style>
  <w:style w:type="character" w:customStyle="1" w:styleId="23">
    <w:name w:val="页眉 Char"/>
    <w:link w:val="10"/>
    <w:semiHidden/>
    <w:qFormat/>
    <w:locked/>
    <w:uiPriority w:val="99"/>
    <w:rPr>
      <w:sz w:val="18"/>
    </w:rPr>
  </w:style>
  <w:style w:type="character" w:customStyle="1" w:styleId="24">
    <w:name w:val="Footer Char"/>
    <w:basedOn w:val="17"/>
    <w:semiHidden/>
    <w:qFormat/>
    <w:uiPriority w:val="99"/>
    <w:rPr>
      <w:rFonts w:ascii="Times New Roman" w:hAnsi="Times New Roman"/>
      <w:sz w:val="18"/>
      <w:szCs w:val="18"/>
    </w:rPr>
  </w:style>
  <w:style w:type="character" w:customStyle="1" w:styleId="25">
    <w:name w:val="页脚 Char"/>
    <w:link w:val="7"/>
    <w:qFormat/>
    <w:locked/>
    <w:uiPriority w:val="99"/>
    <w:rPr>
      <w:sz w:val="18"/>
    </w:rPr>
  </w:style>
  <w:style w:type="character" w:customStyle="1" w:styleId="26">
    <w:name w:val="Body Text Char"/>
    <w:basedOn w:val="17"/>
    <w:semiHidden/>
    <w:qFormat/>
    <w:uiPriority w:val="99"/>
    <w:rPr>
      <w:rFonts w:ascii="Times New Roman" w:hAnsi="Times New Roman"/>
      <w:szCs w:val="24"/>
    </w:rPr>
  </w:style>
  <w:style w:type="character" w:customStyle="1" w:styleId="27">
    <w:name w:val="正文文本 Char"/>
    <w:link w:val="5"/>
    <w:qFormat/>
    <w:locked/>
    <w:uiPriority w:val="99"/>
    <w:rPr>
      <w:rFonts w:ascii="仿宋_GB2312" w:hAnsi="Times New Roman" w:eastAsia="仿宋_GB2312"/>
      <w:sz w:val="24"/>
    </w:rPr>
  </w:style>
  <w:style w:type="paragraph" w:styleId="28">
    <w:name w:val="List Paragraph"/>
    <w:basedOn w:val="1"/>
    <w:qFormat/>
    <w:uiPriority w:val="34"/>
    <w:pPr>
      <w:ind w:firstLine="420" w:firstLineChars="200"/>
    </w:pPr>
  </w:style>
  <w:style w:type="character" w:customStyle="1" w:styleId="29">
    <w:name w:val="标题 1 Char"/>
    <w:basedOn w:val="17"/>
    <w:link w:val="2"/>
    <w:qFormat/>
    <w:uiPriority w:val="9"/>
    <w:rPr>
      <w:rFonts w:eastAsia="黑体"/>
      <w:bCs/>
      <w:kern w:val="44"/>
      <w:sz w:val="44"/>
      <w:szCs w:val="44"/>
    </w:rPr>
  </w:style>
  <w:style w:type="character" w:customStyle="1" w:styleId="30">
    <w:name w:val="标题 2 Char"/>
    <w:basedOn w:val="17"/>
    <w:link w:val="3"/>
    <w:qFormat/>
    <w:uiPriority w:val="9"/>
    <w:rPr>
      <w:rFonts w:eastAsia="黑体" w:asciiTheme="majorHAnsi" w:hAnsiTheme="majorHAnsi" w:cstheme="majorBidi"/>
      <w:bCs/>
      <w:sz w:val="32"/>
      <w:szCs w:val="32"/>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17"/>
    <w:link w:val="9"/>
    <w:semiHidden/>
    <w:qFormat/>
    <w:uiPriority w:val="99"/>
    <w:rPr>
      <w:rFonts w:ascii="Times New Roman" w:hAnsi="Times New Roman"/>
      <w:kern w:val="2"/>
      <w:sz w:val="18"/>
      <w:szCs w:val="18"/>
    </w:rPr>
  </w:style>
  <w:style w:type="character" w:customStyle="1" w:styleId="33">
    <w:name w:val="标题 3 Char"/>
    <w:basedOn w:val="17"/>
    <w:link w:val="4"/>
    <w:qFormat/>
    <w:uiPriority w:val="9"/>
    <w:rPr>
      <w:rFonts w:ascii="Times New Roman" w:hAnsi="Times New Roman"/>
      <w:b/>
      <w:bCs/>
      <w:kern w:val="2"/>
      <w:sz w:val="32"/>
      <w:szCs w:val="32"/>
    </w:rPr>
  </w:style>
  <w:style w:type="paragraph" w:customStyle="1" w:styleId="3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character" w:customStyle="1" w:styleId="36">
    <w:name w:val="font141"/>
    <w:basedOn w:val="17"/>
    <w:qFormat/>
    <w:uiPriority w:val="0"/>
    <w:rPr>
      <w:rFonts w:hint="eastAsia" w:ascii="宋体" w:hAnsi="宋体" w:eastAsia="宋体" w:cs="宋体"/>
      <w:b/>
      <w:color w:val="000000"/>
      <w:sz w:val="40"/>
      <w:szCs w:val="40"/>
      <w:u w:val="none"/>
    </w:rPr>
  </w:style>
  <w:style w:type="character" w:customStyle="1" w:styleId="37">
    <w:name w:val="font51"/>
    <w:basedOn w:val="17"/>
    <w:qFormat/>
    <w:uiPriority w:val="0"/>
    <w:rPr>
      <w:rFonts w:hint="eastAsia" w:ascii="宋体" w:hAnsi="宋体" w:eastAsia="宋体" w:cs="宋体"/>
      <w:b/>
      <w:color w:val="000000"/>
      <w:sz w:val="24"/>
      <w:szCs w:val="24"/>
      <w:u w:val="none"/>
    </w:rPr>
  </w:style>
  <w:style w:type="character" w:customStyle="1" w:styleId="38">
    <w:name w:val="font71"/>
    <w:basedOn w:val="17"/>
    <w:qFormat/>
    <w:uiPriority w:val="0"/>
    <w:rPr>
      <w:rFonts w:hint="eastAsia" w:ascii="宋体" w:hAnsi="宋体" w:eastAsia="宋体" w:cs="宋体"/>
      <w:color w:val="000000"/>
      <w:sz w:val="24"/>
      <w:szCs w:val="24"/>
      <w:u w:val="none"/>
    </w:rPr>
  </w:style>
  <w:style w:type="character" w:customStyle="1" w:styleId="39">
    <w:name w:val="font111"/>
    <w:basedOn w:val="17"/>
    <w:qFormat/>
    <w:uiPriority w:val="0"/>
    <w:rPr>
      <w:rFonts w:hint="default" w:ascii="Times New Roman" w:hAnsi="Times New Roman" w:cs="Times New Roman"/>
      <w:color w:val="000000"/>
      <w:sz w:val="24"/>
      <w:szCs w:val="24"/>
      <w:u w:val="none"/>
    </w:rPr>
  </w:style>
  <w:style w:type="character" w:customStyle="1" w:styleId="40">
    <w:name w:val="font41"/>
    <w:basedOn w:val="17"/>
    <w:qFormat/>
    <w:uiPriority w:val="0"/>
    <w:rPr>
      <w:rFonts w:ascii="方正书宋_GBK" w:hAnsi="方正书宋_GBK" w:eastAsia="方正书宋_GBK" w:cs="方正书宋_GBK"/>
      <w:color w:val="000000"/>
      <w:sz w:val="24"/>
      <w:szCs w:val="24"/>
      <w:u w:val="none"/>
    </w:rPr>
  </w:style>
  <w:style w:type="character" w:customStyle="1" w:styleId="41">
    <w:name w:val="font151"/>
    <w:basedOn w:val="17"/>
    <w:qFormat/>
    <w:uiPriority w:val="0"/>
    <w:rPr>
      <w:rFonts w:hint="eastAsia" w:ascii="宋体" w:hAnsi="宋体" w:eastAsia="宋体" w:cs="宋体"/>
      <w:color w:val="000000"/>
      <w:sz w:val="24"/>
      <w:szCs w:val="24"/>
      <w:u w:val="none"/>
    </w:rPr>
  </w:style>
  <w:style w:type="character" w:customStyle="1" w:styleId="42">
    <w:name w:val="font01"/>
    <w:basedOn w:val="17"/>
    <w:qFormat/>
    <w:uiPriority w:val="0"/>
    <w:rPr>
      <w:rFonts w:hint="default" w:ascii="Times New Roman" w:hAnsi="Times New Roman" w:cs="Times New Roman"/>
      <w:color w:val="000000"/>
      <w:sz w:val="24"/>
      <w:szCs w:val="24"/>
      <w:u w:val="none"/>
    </w:rPr>
  </w:style>
  <w:style w:type="character" w:customStyle="1" w:styleId="43">
    <w:name w:val="font31"/>
    <w:basedOn w:val="17"/>
    <w:qFormat/>
    <w:uiPriority w:val="0"/>
    <w:rPr>
      <w:rFonts w:hint="default" w:ascii="Times New Roman" w:hAnsi="Times New Roman" w:cs="Times New Roman"/>
      <w:color w:val="000000"/>
      <w:sz w:val="24"/>
      <w:szCs w:val="24"/>
      <w:u w:val="none"/>
    </w:rPr>
  </w:style>
  <w:style w:type="character" w:customStyle="1" w:styleId="44">
    <w:name w:val="font21"/>
    <w:basedOn w:val="17"/>
    <w:qFormat/>
    <w:uiPriority w:val="0"/>
    <w:rPr>
      <w:rFonts w:hint="default" w:ascii="Microsoft YaHei UI" w:hAnsi="Microsoft YaHei UI" w:eastAsia="Microsoft YaHei UI" w:cs="Microsoft YaHei UI"/>
      <w:color w:val="000000"/>
      <w:sz w:val="18"/>
      <w:szCs w:val="18"/>
      <w:u w:val="none"/>
    </w:rPr>
  </w:style>
  <w:style w:type="paragraph" w:customStyle="1" w:styleId="45">
    <w:name w:val="TOC 标题3"/>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
      <w:color w:val="366091" w:themeColor="accent1" w:themeShade="BF"/>
      <w:kern w:val="0"/>
      <w:sz w:val="28"/>
      <w:szCs w:val="28"/>
    </w:rPr>
  </w:style>
  <w:style w:type="character" w:customStyle="1" w:styleId="46">
    <w:name w:val="标题 1 Char1"/>
    <w:basedOn w:val="17"/>
    <w:link w:val="2"/>
    <w:qFormat/>
    <w:uiPriority w:val="9"/>
    <w:rPr>
      <w:rFonts w:ascii="Times New Roman" w:hAnsi="Times New Roman"/>
      <w:b/>
      <w:bCs/>
      <w:kern w:val="44"/>
      <w:sz w:val="44"/>
      <w:szCs w:val="44"/>
    </w:rPr>
  </w:style>
  <w:style w:type="character" w:customStyle="1" w:styleId="47">
    <w:name w:val="font81"/>
    <w:basedOn w:val="17"/>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file:///E:\&#36130;&#21153;\&#20915;&#31639;&#12289;&#20915;&#31639;&#20844;&#24320;\2022&#24180;&#20915;&#31639;&#20844;&#24320;\2.2022&#20915;&#31639;&#20844;&#24320;&#27491;&#24335;&#22635;&#25253;&#24037;&#20855;&#65288;2023.10.03&#65289;\&#65288;&#23454;&#39564;&#24188;&#20799;&#22253;&#65289;2022&#24180;&#24230;&#20915;&#31639;&#20844;&#24320;&#36164;&#26009;\&#20915;&#31639;&#20844;&#24320;&#22270;&#34920;&#25968;&#25454;&#25552;&#21462;&#19982;&#29983;&#251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36130;&#21153;\&#20915;&#31639;&#12289;&#20915;&#31639;&#20844;&#24320;\2022&#24180;&#20915;&#31639;&#20844;&#24320;\2.2022&#20915;&#31639;&#20844;&#24320;&#27491;&#24335;&#22635;&#25253;&#24037;&#20855;&#65288;2023.10.03&#65289;\&#65288;&#23454;&#39564;&#24188;&#20799;&#22253;&#65289;2022&#24180;&#24230;&#20915;&#31639;&#20844;&#24320;&#36164;&#26009;\&#20915;&#31639;&#20844;&#24320;&#22270;&#34920;&#25968;&#25454;&#25552;&#21462;&#19982;&#29983;&#2510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36130;&#21153;\&#20915;&#31639;&#12289;&#20915;&#31639;&#20844;&#24320;\2022&#24180;&#20915;&#31639;&#20844;&#24320;\2.2022&#20915;&#31639;&#20844;&#24320;&#27491;&#24335;&#22635;&#25253;&#24037;&#20855;&#65288;2023.10.03&#65289;\&#65288;&#23454;&#39564;&#24188;&#20799;&#22253;&#65289;2022&#24180;&#24230;&#20915;&#31639;&#20844;&#24320;&#36164;&#26009;\&#20915;&#31639;&#20844;&#24320;&#22270;&#34920;&#25968;&#25454;&#25552;&#21462;&#19982;&#29983;&#2510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36130;&#21153;\&#20915;&#31639;&#12289;&#20915;&#31639;&#20844;&#24320;\2022&#24180;&#20915;&#31639;&#20844;&#24320;\2.2022&#20915;&#31639;&#20844;&#24320;&#27491;&#24335;&#22635;&#25253;&#24037;&#20855;&#65288;2023.10.03&#65289;\&#65288;&#23454;&#39564;&#24188;&#20799;&#22253;&#65289;2022&#24180;&#24230;&#20915;&#31639;&#20844;&#24320;&#36164;&#26009;\&#20915;&#31639;&#20844;&#24320;&#22270;&#34920;&#25968;&#25454;&#25552;&#21462;&#19982;&#29983;&#2510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36130;&#21153;\&#20915;&#31639;&#12289;&#20915;&#31639;&#20844;&#24320;\2022&#24180;&#20915;&#31639;&#20844;&#24320;\2.2022&#20915;&#31639;&#20844;&#24320;&#27491;&#24335;&#22635;&#25253;&#24037;&#20855;&#65288;2023.10.03&#65289;\&#65288;&#23454;&#39564;&#24188;&#20799;&#22253;&#65289;2022&#24180;&#24230;&#20915;&#31639;&#20844;&#24320;&#36164;&#26009;\&#20915;&#31639;&#20844;&#24320;&#22270;&#34920;&#25968;&#25454;&#25552;&#21462;&#19982;&#29983;&#2510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36130;&#21153;\&#20915;&#31639;&#12289;&#20915;&#31639;&#20844;&#24320;\2022&#24180;&#20915;&#31639;&#20844;&#24320;\2.2022&#20915;&#31639;&#20844;&#24320;&#27491;&#24335;&#22635;&#25253;&#24037;&#20855;&#65288;2023.10.03&#65289;\&#65288;&#23454;&#39564;&#24188;&#20799;&#22253;&#65289;2022&#24180;&#24230;&#20915;&#31639;&#20844;&#24320;&#36164;&#26009;\&#20915;&#31639;&#20844;&#24320;&#22270;&#34920;&#25968;&#25454;&#25552;&#21462;&#19982;&#29983;&#2510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36130;&#21153;\&#20915;&#31639;&#12289;&#20915;&#31639;&#20844;&#24320;\2022&#24180;&#20915;&#31639;&#20844;&#24320;\2.2022&#20915;&#31639;&#20844;&#24320;&#27491;&#24335;&#22635;&#25253;&#24037;&#20855;&#65288;2023.10.03&#65289;\&#65288;&#23454;&#39564;&#24188;&#20799;&#22253;&#65289;2022&#24180;&#24230;&#20915;&#31639;&#20844;&#24320;&#36164;&#26009;\&#20915;&#31639;&#20844;&#24320;&#22270;&#34920;&#25968;&#25454;&#25552;&#21462;&#19982;&#29983;&#251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[决算公开图表数据提取与生成.xlsx]Sheet1!$A$2:$A$3</c:f>
              <c:strCache>
                <c:ptCount val="2"/>
                <c:pt idx="0">
                  <c:v>2021收支总额</c:v>
                </c:pt>
                <c:pt idx="1">
                  <c:v>2022收支总额</c:v>
                </c:pt>
              </c:strCache>
            </c:strRef>
          </c:cat>
          <c:val>
            <c:numRef>
              <c:f>[决算公开图表数据提取与生成.xlsx]Sheet1!$B$2:$B$3</c:f>
              <c:numCache>
                <c:formatCode>General</c:formatCode>
                <c:ptCount val="2"/>
                <c:pt idx="0">
                  <c:v>1516.36</c:v>
                </c:pt>
                <c:pt idx="1">
                  <c:v>915.83</c:v>
                </c:pt>
              </c:numCache>
            </c:numRef>
          </c:val>
        </c:ser>
        <c:dLbls>
          <c:showLegendKey val="0"/>
          <c:showVal val="1"/>
          <c:showCatName val="0"/>
          <c:showSerName val="0"/>
          <c:showPercent val="0"/>
          <c:showBubbleSize val="0"/>
        </c:dLbls>
        <c:gapWidth val="75"/>
        <c:axId val="156616576"/>
        <c:axId val="156618112"/>
      </c:barChart>
      <c:catAx>
        <c:axId val="15661657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6618112"/>
        <c:crosses val="autoZero"/>
        <c:auto val="1"/>
        <c:lblAlgn val="ctr"/>
        <c:lblOffset val="100"/>
        <c:noMultiLvlLbl val="0"/>
      </c:catAx>
      <c:valAx>
        <c:axId val="156618112"/>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661657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收入决算结构图</a:t>
            </a:r>
            <a:endParaRPr lang="zh-CN" altLang="en-US"/>
          </a:p>
        </c:rich>
      </c:tx>
      <c:layout>
        <c:manualLayout>
          <c:xMode val="edge"/>
          <c:yMode val="edge"/>
          <c:x val="0.35677967147057"/>
          <c:y val="0.0374926702936643"/>
        </c:manualLayout>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7"/>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[决算公开图表数据提取与生成.xlsx]Sheet1!$A$18:$A$25</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[决算公开图表数据提取与生成.xlsx]Sheet1!$B$18:$B$25</c:f>
              <c:numCache>
                <c:formatCode>General</c:formatCode>
                <c:ptCount val="8"/>
                <c:pt idx="0">
                  <c:v>915.83</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支出决算结构图</a:t>
            </a:r>
            <a:endParaRPr lang="zh-CN" altLang="en-US"/>
          </a:p>
        </c:rich>
      </c:tx>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[决算公开图表数据提取与生成.xlsx]Sheet1!$A$34:$A$38</c:f>
              <c:strCache>
                <c:ptCount val="5"/>
                <c:pt idx="0">
                  <c:v>基本支出</c:v>
                </c:pt>
                <c:pt idx="1">
                  <c:v>项目支出</c:v>
                </c:pt>
                <c:pt idx="2">
                  <c:v>上缴上级支出</c:v>
                </c:pt>
                <c:pt idx="3">
                  <c:v>经营支出</c:v>
                </c:pt>
                <c:pt idx="4">
                  <c:v>对附属单位补助支出</c:v>
                </c:pt>
              </c:strCache>
            </c:strRef>
          </c:cat>
          <c:val>
            <c:numRef>
              <c:f>[决算公开图表数据提取与生成.xlsx]Sheet1!$B$34:$B$38</c:f>
              <c:numCache>
                <c:formatCode>General</c:formatCode>
                <c:ptCount val="5"/>
                <c:pt idx="0">
                  <c:v>615.83</c:v>
                </c:pt>
                <c:pt idx="1">
                  <c:v>300</c:v>
                </c:pt>
                <c:pt idx="2">
                  <c:v>0</c:v>
                </c:pt>
                <c:pt idx="3">
                  <c:v>0</c:v>
                </c:pt>
                <c:pt idx="4">
                  <c:v>0</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[决算公开图表数据提取与生成.xlsx]Sheet1!$A$50:$A$51</c:f>
              <c:strCache>
                <c:ptCount val="2"/>
                <c:pt idx="0">
                  <c:v>2021年财政拨款收支</c:v>
                </c:pt>
                <c:pt idx="1">
                  <c:v>2022年财政拨款收支</c:v>
                </c:pt>
              </c:strCache>
            </c:strRef>
          </c:cat>
          <c:val>
            <c:numRef>
              <c:f>[决算公开图表数据提取与生成.xlsx]Sheet1!$B$50:$B$51</c:f>
              <c:numCache>
                <c:formatCode>General</c:formatCode>
                <c:ptCount val="2"/>
                <c:pt idx="0">
                  <c:v>1205.59</c:v>
                </c:pt>
                <c:pt idx="1">
                  <c:v>915.83</c:v>
                </c:pt>
              </c:numCache>
            </c:numRef>
          </c:val>
        </c:ser>
        <c:dLbls>
          <c:showLegendKey val="0"/>
          <c:showVal val="1"/>
          <c:showCatName val="0"/>
          <c:showSerName val="0"/>
          <c:showPercent val="0"/>
          <c:showBubbleSize val="0"/>
        </c:dLbls>
        <c:gapWidth val="75"/>
        <c:axId val="157020160"/>
        <c:axId val="157021696"/>
      </c:barChart>
      <c:catAx>
        <c:axId val="15702016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021696"/>
        <c:crosses val="autoZero"/>
        <c:auto val="1"/>
        <c:lblAlgn val="ctr"/>
        <c:lblOffset val="100"/>
        <c:noMultiLvlLbl val="0"/>
      </c:catAx>
      <c:valAx>
        <c:axId val="157021696"/>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02016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一般公共预算财政拨款支出决算变动</a:t>
            </a:r>
            <a:endParaRPr lang="zh-CN" altLang="en-US"/>
          </a:p>
        </c:rich>
      </c:tx>
      <c:layout/>
      <c:overlay val="0"/>
    </c:title>
    <c:autoTitleDeleted val="0"/>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[决算公开图表数据提取与生成.xlsx]Sheet1!$A$67:$A$68</c:f>
              <c:strCache>
                <c:ptCount val="2"/>
                <c:pt idx="0">
                  <c:v>2021年一般公共预算财政拨款支出</c:v>
                </c:pt>
                <c:pt idx="1">
                  <c:v>2022年一般公共预算财政拨款支出</c:v>
                </c:pt>
              </c:strCache>
            </c:strRef>
          </c:cat>
          <c:val>
            <c:numRef>
              <c:f>[决算公开图表数据提取与生成.xlsx]Sheet1!$B$67:$B$68</c:f>
              <c:numCache>
                <c:formatCode>General</c:formatCode>
                <c:ptCount val="2"/>
                <c:pt idx="0">
                  <c:v>654.49</c:v>
                </c:pt>
                <c:pt idx="1">
                  <c:v>915.83</c:v>
                </c:pt>
              </c:numCache>
            </c:numRef>
          </c:val>
        </c:ser>
        <c:dLbls>
          <c:showLegendKey val="0"/>
          <c:showVal val="1"/>
          <c:showCatName val="0"/>
          <c:showSerName val="0"/>
          <c:showPercent val="0"/>
          <c:showBubbleSize val="0"/>
        </c:dLbls>
        <c:gapWidth val="150"/>
        <c:overlap val="-25"/>
        <c:axId val="204694272"/>
        <c:axId val="204695808"/>
      </c:barChart>
      <c:catAx>
        <c:axId val="20469427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4695808"/>
        <c:crosses val="autoZero"/>
        <c:auto val="1"/>
        <c:lblAlgn val="ctr"/>
        <c:lblOffset val="100"/>
        <c:noMultiLvlLbl val="0"/>
      </c:catAx>
      <c:valAx>
        <c:axId val="204695808"/>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469427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一般公共预算财政拨款支出决算结构</a:t>
            </a:r>
            <a:endParaRPr lang="zh-CN" altLang="en-US"/>
          </a:p>
        </c:rich>
      </c:tx>
      <c:layout>
        <c:manualLayout>
          <c:xMode val="edge"/>
          <c:yMode val="edge"/>
          <c:x val="0.105965482804133"/>
          <c:y val="0.0134453757788437"/>
        </c:manualLayout>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Lbls>
            <c:dLbl>
              <c:idx val="0"/>
              <c:layout>
                <c:manualLayout>
                  <c:x val="-0.0182036307961505"/>
                  <c:y val="-0.14572360746573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638790463692038"/>
                  <c:y val="0.0069531933508311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214709203414583"/>
                  <c:y val="-0.036491667395987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99684820647419"/>
                  <c:y val="-0.013729221347331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([决算公开图表数据提取与生成.xlsx]Sheet1!$A$88,[决算公开图表数据提取与生成.xlsx]Sheet1!$A$91:$A$92,[决算公开图表数据提取与生成.xlsx]Sheet1!$A$102)</c:f>
              <c:strCache>
                <c:ptCount val="4"/>
                <c:pt idx="0">
                  <c:v>教育支出</c:v>
                </c:pt>
                <c:pt idx="1">
                  <c:v>社会保障和就业支出</c:v>
                </c:pt>
                <c:pt idx="2">
                  <c:v>卫生健康支出</c:v>
                </c:pt>
                <c:pt idx="3">
                  <c:v>住房保障支出</c:v>
                </c:pt>
              </c:strCache>
            </c:strRef>
          </c:cat>
          <c:val>
            <c:numRef>
              <c:f>([决算公开图表数据提取与生成.xlsx]Sheet1!$B$88,[决算公开图表数据提取与生成.xlsx]Sheet1!$B$91:$B$92,[决算公开图表数据提取与生成.xlsx]Sheet1!$B$102)</c:f>
              <c:numCache>
                <c:formatCode>General</c:formatCode>
                <c:ptCount val="4"/>
                <c:pt idx="0">
                  <c:v>793.49</c:v>
                </c:pt>
                <c:pt idx="1">
                  <c:v>56.86</c:v>
                </c:pt>
                <c:pt idx="2">
                  <c:v>24.87</c:v>
                </c:pt>
                <c:pt idx="3">
                  <c:v>40.61</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“三公”经费财政拨款支出结构</a:t>
            </a:r>
            <a:endParaRPr lang="zh-CN" altLang="en-US"/>
          </a:p>
        </c:rich>
      </c:tx>
      <c:layout>
        <c:manualLayout>
          <c:xMode val="edge"/>
          <c:yMode val="edge"/>
          <c:x val="0.0917222222222222"/>
          <c:y val="0.0277777777777778"/>
        </c:manualLayout>
      </c:layout>
      <c:overlay val="0"/>
    </c:title>
    <c:autoTitleDeleted val="0"/>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[决算公开图表数据提取与生成.xlsx]Sheet1!$A$113:$A$115</c:f>
              <c:strCache>
                <c:ptCount val="3"/>
                <c:pt idx="0">
                  <c:v>因公出国（境）费</c:v>
                </c:pt>
                <c:pt idx="1">
                  <c:v>公务用车购置及运行维护费</c:v>
                </c:pt>
                <c:pt idx="2">
                  <c:v>公务接待费</c:v>
                </c:pt>
              </c:strCache>
            </c:strRef>
          </c:cat>
          <c:val>
            <c:numRef>
              <c:f>[决算公开图表数据提取与生成.xlsx]Sheet1!$B$113:$B$115</c:f>
              <c:numCache>
                <c:formatCode>General</c:formatCode>
                <c:ptCount val="3"/>
                <c:pt idx="0">
                  <c:v>0</c:v>
                </c:pt>
                <c:pt idx="1">
                  <c:v>0</c:v>
                </c:pt>
                <c:pt idx="2">
                  <c:v>0</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7F680-3DDA-469C-8F73-2C1A36AE4D13}">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58</Pages>
  <Words>17224</Words>
  <Characters>21001</Characters>
  <Lines>89</Lines>
  <Paragraphs>55</Paragraphs>
  <TotalTime>19</TotalTime>
  <ScaleCrop>false</ScaleCrop>
  <LinksUpToDate>false</LinksUpToDate>
  <CharactersWithSpaces>21673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刘忠国</cp:lastModifiedBy>
  <cp:lastPrinted>2023-09-11T05:05:00Z</cp:lastPrinted>
  <dcterms:modified xsi:type="dcterms:W3CDTF">2023-10-13T03:21:25Z</dcterms:modified>
  <dc:title>四川省***</dc:title>
  <cp:revision>250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BE4B9BDBE9BC4FA9A5A1BD4FD82216C9_12</vt:lpwstr>
  </property>
</Properties>
</file>