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ascii="黑体" w:hAnsi="黑体" w:eastAsia="黑体" w:cs="黑体"/>
          <w:szCs w:val="32"/>
        </w:rPr>
      </w:pPr>
    </w:p>
    <w:p>
      <w:pPr>
        <w:widowControl/>
        <w:spacing w:line="580" w:lineRule="exact"/>
        <w:contextualSpacing/>
        <w:jc w:val="center"/>
        <w:rPr>
          <w:rFonts w:hint="eastAsia" w:ascii="方正小标宋_GBK" w:hAnsi="方正小标宋_GBK" w:eastAsia="方正小标宋_GBK" w:cs="方正小标宋_GBK"/>
          <w:b w:val="0"/>
          <w:bCs/>
          <w:color w:val="000000" w:themeColor="text1"/>
          <w:sz w:val="44"/>
          <w:szCs w:val="44"/>
          <w:shd w:val="clear" w:color="auto" w:fill="FFFFFF"/>
        </w:rPr>
      </w:pPr>
      <w:r>
        <w:rPr>
          <w:rFonts w:hint="eastAsia" w:ascii="方正小标宋_GBK" w:hAnsi="方正小标宋_GBK" w:eastAsia="方正小标宋_GBK" w:cs="方正小标宋_GBK"/>
          <w:b w:val="0"/>
          <w:bCs/>
          <w:color w:val="000000" w:themeColor="text1"/>
          <w:sz w:val="44"/>
          <w:szCs w:val="44"/>
          <w:shd w:val="clear" w:color="auto" w:fill="FFFFFF"/>
        </w:rPr>
        <w:t>达州市达川区南坝小学</w:t>
      </w:r>
    </w:p>
    <w:p>
      <w:pPr>
        <w:widowControl/>
        <w:spacing w:line="580" w:lineRule="exact"/>
        <w:contextualSpacing/>
        <w:jc w:val="center"/>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2023年单位整体支出绩效评价报告</w:t>
      </w:r>
    </w:p>
    <w:p>
      <w:pPr>
        <w:tabs>
          <w:tab w:val="left" w:pos="3885"/>
        </w:tabs>
        <w:snapToGrid w:val="0"/>
        <w:spacing w:line="600" w:lineRule="exact"/>
        <w:rPr>
          <w:rFonts w:eastAsia="仿宋"/>
          <w:kern w:val="0"/>
          <w:szCs w:val="32"/>
        </w:rPr>
      </w:pPr>
    </w:p>
    <w:p>
      <w:pPr>
        <w:tabs>
          <w:tab w:val="left" w:pos="3885"/>
        </w:tabs>
        <w:snapToGrid w:val="0"/>
        <w:spacing w:line="600" w:lineRule="exact"/>
        <w:rPr>
          <w:rFonts w:eastAsia="仿宋"/>
          <w:kern w:val="0"/>
          <w:szCs w:val="32"/>
        </w:rPr>
      </w:pPr>
      <w:r>
        <w:rPr>
          <w:rFonts w:hint="eastAsia" w:eastAsia="仿宋"/>
          <w:kern w:val="0"/>
          <w:szCs w:val="32"/>
        </w:rPr>
        <w:t>达州市达川区财政局：</w:t>
      </w:r>
    </w:p>
    <w:p>
      <w:pPr>
        <w:tabs>
          <w:tab w:val="left" w:pos="3885"/>
        </w:tabs>
        <w:snapToGrid w:val="0"/>
        <w:spacing w:line="600" w:lineRule="exact"/>
        <w:ind w:firstLine="640" w:firstLineChars="200"/>
        <w:rPr>
          <w:rFonts w:eastAsia="仿宋"/>
          <w:kern w:val="0"/>
          <w:szCs w:val="32"/>
        </w:rPr>
      </w:pPr>
      <w:r>
        <w:rPr>
          <w:rFonts w:hint="eastAsia" w:eastAsia="仿宋"/>
          <w:kern w:val="0"/>
          <w:szCs w:val="32"/>
        </w:rPr>
        <w:t xml:space="preserve"> 按照达州市达川区财政局《</w:t>
      </w:r>
      <w:r>
        <w:rPr>
          <w:rFonts w:eastAsia="仿宋"/>
          <w:kern w:val="0"/>
          <w:szCs w:val="32"/>
        </w:rPr>
        <w:t>关于开</w:t>
      </w:r>
      <w:bookmarkStart w:id="4" w:name="_GoBack"/>
      <w:bookmarkEnd w:id="4"/>
      <w:r>
        <w:rPr>
          <w:rFonts w:eastAsia="仿宋"/>
          <w:kern w:val="0"/>
          <w:szCs w:val="32"/>
        </w:rPr>
        <w:t>展202</w:t>
      </w:r>
      <w:r>
        <w:rPr>
          <w:rFonts w:hint="eastAsia" w:eastAsia="仿宋"/>
          <w:kern w:val="0"/>
          <w:szCs w:val="32"/>
        </w:rPr>
        <w:t>3</w:t>
      </w:r>
      <w:r>
        <w:rPr>
          <w:rFonts w:eastAsia="仿宋"/>
          <w:kern w:val="0"/>
          <w:szCs w:val="32"/>
        </w:rPr>
        <w:t>年</w:t>
      </w:r>
      <w:r>
        <w:rPr>
          <w:rFonts w:hint="eastAsia" w:eastAsia="仿宋"/>
          <w:kern w:val="0"/>
          <w:szCs w:val="32"/>
        </w:rPr>
        <w:t>单位、</w:t>
      </w:r>
      <w:r>
        <w:rPr>
          <w:rFonts w:eastAsia="仿宋"/>
          <w:kern w:val="0"/>
          <w:szCs w:val="32"/>
        </w:rPr>
        <w:t>政策和项目支出绩效评价工作的通知</w:t>
      </w:r>
      <w:r>
        <w:rPr>
          <w:rFonts w:hint="eastAsia" w:eastAsia="仿宋"/>
          <w:kern w:val="0"/>
          <w:szCs w:val="32"/>
        </w:rPr>
        <w:t>》（达川财绩效〔2023〕9号）文件要求，现将本单位2023年开展单位整体支出绩效评价情况报告如下：</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Cs w:val="32"/>
          <w:shd w:val="clear" w:color="auto" w:fill="FFFFFF"/>
          <w:lang w:val="zh-CN"/>
        </w:rPr>
      </w:pPr>
      <w:r>
        <w:rPr>
          <w:rFonts w:hint="eastAsia" w:ascii="黑体" w:hAnsi="宋体" w:eastAsia="黑体" w:cs="宋体"/>
          <w:color w:val="000000" w:themeColor="text1"/>
          <w:kern w:val="0"/>
          <w:szCs w:val="32"/>
          <w:shd w:val="clear" w:color="auto" w:fill="FFFFFF"/>
        </w:rPr>
        <w:t>一、</w:t>
      </w:r>
      <w:r>
        <w:rPr>
          <w:rFonts w:hint="eastAsia" w:ascii="黑体" w:hAnsi="宋体" w:eastAsia="黑体" w:cs="宋体"/>
          <w:color w:val="000000" w:themeColor="text1"/>
          <w:kern w:val="0"/>
          <w:szCs w:val="32"/>
          <w:shd w:val="clear" w:color="auto" w:fill="FFFFFF"/>
          <w:lang w:val="zh-CN"/>
        </w:rPr>
        <w:t>单位概况</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（一）机构组成。</w:t>
      </w:r>
    </w:p>
    <w:p>
      <w:pPr>
        <w:tabs>
          <w:tab w:val="left" w:pos="3885"/>
        </w:tabs>
        <w:snapToGrid w:val="0"/>
        <w:spacing w:line="600" w:lineRule="exact"/>
        <w:ind w:firstLine="640" w:firstLineChars="200"/>
        <w:rPr>
          <w:rFonts w:eastAsia="仿宋"/>
          <w:szCs w:val="32"/>
        </w:rPr>
      </w:pPr>
      <w:bookmarkStart w:id="0" w:name="_Hlk109805614"/>
      <w:r>
        <w:rPr>
          <w:rFonts w:eastAsia="仿宋"/>
          <w:kern w:val="0"/>
          <w:szCs w:val="32"/>
        </w:rPr>
        <w:t>达州市达川区</w:t>
      </w:r>
      <w:bookmarkEnd w:id="0"/>
      <w:r>
        <w:rPr>
          <w:rFonts w:hint="eastAsia" w:eastAsia="仿宋"/>
          <w:kern w:val="0"/>
          <w:szCs w:val="32"/>
        </w:rPr>
        <w:t>南坝小学</w:t>
      </w:r>
      <w:r>
        <w:rPr>
          <w:rFonts w:eastAsia="仿宋"/>
          <w:kern w:val="0"/>
          <w:szCs w:val="32"/>
        </w:rPr>
        <w:t>是</w:t>
      </w:r>
      <w:r>
        <w:rPr>
          <w:rFonts w:hint="eastAsia" w:eastAsia="仿宋"/>
          <w:kern w:val="0"/>
          <w:szCs w:val="32"/>
        </w:rPr>
        <w:t>达川区二级预算单位。</w:t>
      </w:r>
      <w:bookmarkStart w:id="1" w:name="_Hlk109805662"/>
      <w:r>
        <w:rPr>
          <w:rFonts w:hint="eastAsia" w:eastAsia="仿宋"/>
          <w:kern w:val="0"/>
          <w:szCs w:val="32"/>
        </w:rPr>
        <w:t>隶属于达州市达川区教育局主管，属公益一类事业单位，</w:t>
      </w:r>
      <w:r>
        <w:rPr>
          <w:rFonts w:eastAsia="仿宋"/>
          <w:kern w:val="0"/>
          <w:szCs w:val="32"/>
        </w:rPr>
        <w:t>内设机构</w:t>
      </w:r>
      <w:r>
        <w:rPr>
          <w:rFonts w:hint="eastAsia" w:eastAsia="仿宋"/>
          <w:kern w:val="0"/>
          <w:szCs w:val="32"/>
        </w:rPr>
        <w:t>7</w:t>
      </w:r>
      <w:r>
        <w:rPr>
          <w:rFonts w:eastAsia="仿宋"/>
          <w:kern w:val="0"/>
          <w:szCs w:val="32"/>
        </w:rPr>
        <w:t>个，分别是</w:t>
      </w:r>
      <w:r>
        <w:rPr>
          <w:rFonts w:hint="eastAsia" w:eastAsia="仿宋"/>
          <w:kern w:val="0"/>
          <w:szCs w:val="32"/>
        </w:rPr>
        <w:t>党建办、教务处、安全办、后勤处、政教处、女工委、少先队</w:t>
      </w:r>
      <w:r>
        <w:rPr>
          <w:rFonts w:eastAsia="仿宋"/>
          <w:kern w:val="0"/>
          <w:szCs w:val="32"/>
        </w:rPr>
        <w:t>。</w:t>
      </w:r>
    </w:p>
    <w:bookmarkEnd w:id="1"/>
    <w:p>
      <w:pPr>
        <w:widowControl/>
        <w:numPr>
          <w:ilvl w:val="0"/>
          <w:numId w:val="1"/>
        </w:numPr>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机构职能。</w:t>
      </w:r>
    </w:p>
    <w:p>
      <w:pPr>
        <w:spacing w:line="578" w:lineRule="exact"/>
        <w:ind w:firstLine="627" w:firstLineChars="196"/>
        <w:rPr>
          <w:rFonts w:eastAsia="仿宋"/>
          <w:kern w:val="0"/>
          <w:szCs w:val="32"/>
          <w:highlight w:val="yellow"/>
        </w:rPr>
      </w:pPr>
      <w:r>
        <w:rPr>
          <w:rFonts w:hint="eastAsia" w:eastAsia="仿宋"/>
          <w:kern w:val="0"/>
          <w:szCs w:val="32"/>
        </w:rPr>
        <w:t>根据</w:t>
      </w:r>
      <w:r>
        <w:rPr>
          <w:rFonts w:eastAsia="仿宋"/>
          <w:kern w:val="0"/>
          <w:szCs w:val="32"/>
        </w:rPr>
        <w:t>达州市</w:t>
      </w:r>
      <w:r>
        <w:rPr>
          <w:rFonts w:hint="eastAsia" w:eastAsia="仿宋"/>
          <w:kern w:val="0"/>
          <w:szCs w:val="32"/>
        </w:rPr>
        <w:t>达川区南坝小学三定方案，我</w:t>
      </w:r>
      <w:r>
        <w:rPr>
          <w:rFonts w:hint="eastAsia" w:ascii="仿宋_GB2312" w:hAnsi="宋体" w:cs="宋体"/>
          <w:kern w:val="0"/>
          <w:szCs w:val="32"/>
          <w:shd w:val="clear" w:color="auto" w:fill="FFFFFF"/>
          <w:lang w:val="zh-CN"/>
        </w:rPr>
        <w:t>单位</w:t>
      </w:r>
      <w:r>
        <w:rPr>
          <w:rFonts w:hint="eastAsia" w:eastAsia="仿宋"/>
          <w:kern w:val="0"/>
          <w:szCs w:val="32"/>
        </w:rPr>
        <w:t>的主要职能职责为：对适龄儿童实施小学教育，提升他们的综合素质。</w:t>
      </w:r>
    </w:p>
    <w:p>
      <w:pPr>
        <w:widowControl/>
        <w:numPr>
          <w:ilvl w:val="0"/>
          <w:numId w:val="1"/>
        </w:numPr>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人员概况。</w:t>
      </w:r>
    </w:p>
    <w:p>
      <w:pPr>
        <w:spacing w:line="578" w:lineRule="exact"/>
        <w:ind w:firstLine="640" w:firstLineChars="200"/>
        <w:rPr>
          <w:rFonts w:ascii="仿宋_GB2312" w:hAnsi="宋体" w:cs="宋体"/>
          <w:color w:val="0000FF"/>
          <w:kern w:val="0"/>
          <w:szCs w:val="32"/>
          <w:shd w:val="clear" w:color="auto" w:fill="FFFFFF"/>
          <w:lang w:val="zh-CN"/>
        </w:rPr>
      </w:pPr>
      <w:r>
        <w:rPr>
          <w:rFonts w:eastAsia="仿宋"/>
          <w:szCs w:val="32"/>
        </w:rPr>
        <w:t>根据</w:t>
      </w:r>
      <w:r>
        <w:rPr>
          <w:rFonts w:hint="eastAsia" w:eastAsia="仿宋"/>
          <w:szCs w:val="32"/>
        </w:rPr>
        <w:t>人社局等</w:t>
      </w:r>
      <w:r>
        <w:rPr>
          <w:rFonts w:eastAsia="仿宋"/>
          <w:szCs w:val="32"/>
        </w:rPr>
        <w:t>相关编制批复文件，核定</w:t>
      </w:r>
      <w:r>
        <w:rPr>
          <w:rFonts w:hint="eastAsia" w:eastAsia="仿宋"/>
          <w:szCs w:val="32"/>
        </w:rPr>
        <w:t>我</w:t>
      </w:r>
      <w:r>
        <w:rPr>
          <w:rFonts w:hint="eastAsia" w:ascii="仿宋_GB2312" w:hAnsi="宋体" w:cs="宋体"/>
          <w:kern w:val="0"/>
          <w:szCs w:val="32"/>
          <w:shd w:val="clear" w:color="auto" w:fill="FFFFFF"/>
          <w:lang w:val="zh-CN"/>
        </w:rPr>
        <w:t>单位</w:t>
      </w:r>
      <w:r>
        <w:rPr>
          <w:rFonts w:eastAsia="仿宋"/>
          <w:szCs w:val="32"/>
        </w:rPr>
        <w:t>参照公务员法管理的事业编制</w:t>
      </w:r>
      <w:r>
        <w:rPr>
          <w:rFonts w:hint="eastAsia" w:eastAsia="仿宋"/>
          <w:szCs w:val="32"/>
        </w:rPr>
        <w:t>78</w:t>
      </w:r>
      <w:r>
        <w:rPr>
          <w:rFonts w:eastAsia="仿宋"/>
          <w:szCs w:val="32"/>
        </w:rPr>
        <w:t>名，其中事业编制</w:t>
      </w:r>
      <w:r>
        <w:rPr>
          <w:rFonts w:hint="eastAsia" w:eastAsia="仿宋"/>
          <w:szCs w:val="32"/>
        </w:rPr>
        <w:t>78</w:t>
      </w:r>
      <w:r>
        <w:rPr>
          <w:rFonts w:eastAsia="仿宋"/>
          <w:szCs w:val="32"/>
        </w:rPr>
        <w:t>名；</w:t>
      </w:r>
      <w:bookmarkStart w:id="2" w:name="_Hlk109807352"/>
      <w:r>
        <w:rPr>
          <w:rFonts w:eastAsia="仿宋"/>
          <w:szCs w:val="32"/>
        </w:rPr>
        <w:t>截至202</w:t>
      </w:r>
      <w:r>
        <w:rPr>
          <w:rFonts w:hint="eastAsia" w:eastAsia="仿宋"/>
          <w:szCs w:val="32"/>
        </w:rPr>
        <w:t>2</w:t>
      </w:r>
      <w:r>
        <w:rPr>
          <w:rFonts w:eastAsia="仿宋"/>
          <w:szCs w:val="32"/>
        </w:rPr>
        <w:t>年年末实有在职人员</w:t>
      </w:r>
      <w:r>
        <w:rPr>
          <w:rFonts w:hint="eastAsia" w:eastAsia="仿宋"/>
          <w:szCs w:val="32"/>
        </w:rPr>
        <w:t>88</w:t>
      </w:r>
      <w:r>
        <w:rPr>
          <w:rFonts w:eastAsia="仿宋"/>
          <w:szCs w:val="32"/>
        </w:rPr>
        <w:t>人，其中：事业编制</w:t>
      </w:r>
      <w:r>
        <w:rPr>
          <w:rFonts w:hint="eastAsia" w:eastAsia="仿宋"/>
          <w:szCs w:val="32"/>
        </w:rPr>
        <w:t>88</w:t>
      </w:r>
      <w:r>
        <w:rPr>
          <w:rFonts w:eastAsia="仿宋"/>
          <w:szCs w:val="32"/>
        </w:rPr>
        <w:t>人。</w:t>
      </w:r>
      <w:bookmarkEnd w:id="2"/>
      <w:r>
        <w:rPr>
          <w:rFonts w:eastAsia="仿宋"/>
          <w:bCs/>
          <w:kern w:val="0"/>
          <w:szCs w:val="32"/>
        </w:rPr>
        <w:t>退休人员为</w:t>
      </w:r>
      <w:r>
        <w:rPr>
          <w:rFonts w:hint="eastAsia" w:eastAsia="仿宋"/>
          <w:bCs/>
          <w:kern w:val="0"/>
          <w:szCs w:val="32"/>
        </w:rPr>
        <w:t>33</w:t>
      </w:r>
      <w:r>
        <w:rPr>
          <w:rFonts w:eastAsia="仿宋"/>
          <w:bCs/>
          <w:kern w:val="0"/>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Cs w:val="32"/>
          <w:shd w:val="clear" w:color="auto" w:fill="FFFFFF"/>
        </w:rPr>
      </w:pPr>
      <w:r>
        <w:rPr>
          <w:rFonts w:hint="eastAsia" w:ascii="黑体" w:hAnsi="宋体" w:eastAsia="黑体" w:cs="宋体"/>
          <w:color w:val="000000" w:themeColor="text1"/>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（一）部门财政资金收入情况。</w:t>
      </w:r>
    </w:p>
    <w:p>
      <w:pPr>
        <w:spacing w:line="578" w:lineRule="exact"/>
        <w:ind w:firstLine="640" w:firstLineChars="200"/>
        <w:rPr>
          <w:rFonts w:ascii="仿宋_GB2312" w:hAnsi="宋体" w:cs="宋体"/>
          <w:color w:val="000000" w:themeColor="text1"/>
          <w:kern w:val="0"/>
          <w:szCs w:val="32"/>
          <w:shd w:val="clear" w:color="auto" w:fill="FFFFFF"/>
          <w:lang w:val="zh-CN"/>
        </w:rPr>
      </w:pPr>
      <w:r>
        <w:rPr>
          <w:rFonts w:eastAsia="仿宋"/>
          <w:bCs/>
          <w:color w:val="000000" w:themeColor="text1"/>
          <w:kern w:val="0"/>
          <w:szCs w:val="32"/>
        </w:rPr>
        <w:t>202</w:t>
      </w:r>
      <w:r>
        <w:rPr>
          <w:rFonts w:hint="eastAsia" w:eastAsia="仿宋"/>
          <w:bCs/>
          <w:color w:val="000000" w:themeColor="text1"/>
          <w:kern w:val="0"/>
          <w:szCs w:val="32"/>
        </w:rPr>
        <w:t>2</w:t>
      </w:r>
      <w:r>
        <w:rPr>
          <w:rFonts w:eastAsia="仿宋"/>
          <w:bCs/>
          <w:color w:val="000000" w:themeColor="text1"/>
          <w:kern w:val="0"/>
          <w:szCs w:val="32"/>
        </w:rPr>
        <w:t>年年初预算收入</w:t>
      </w:r>
      <w:r>
        <w:rPr>
          <w:rFonts w:hint="eastAsia" w:eastAsia="仿宋"/>
          <w:bCs/>
          <w:color w:val="FF0000"/>
          <w:kern w:val="0"/>
          <w:szCs w:val="32"/>
        </w:rPr>
        <w:t>1018.08</w:t>
      </w:r>
      <w:r>
        <w:rPr>
          <w:rFonts w:eastAsia="仿宋"/>
          <w:bCs/>
          <w:color w:val="000000" w:themeColor="text1"/>
          <w:kern w:val="0"/>
          <w:szCs w:val="32"/>
        </w:rPr>
        <w:t>万元。</w:t>
      </w:r>
    </w:p>
    <w:p>
      <w:pPr>
        <w:widowControl/>
        <w:numPr>
          <w:ilvl w:val="0"/>
          <w:numId w:val="2"/>
        </w:numPr>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部门财政资金支出情况。</w:t>
      </w:r>
    </w:p>
    <w:p>
      <w:pPr>
        <w:widowControl/>
        <w:adjustRightInd w:val="0"/>
        <w:snapToGrid w:val="0"/>
        <w:spacing w:line="580" w:lineRule="exact"/>
        <w:ind w:firstLine="640" w:firstLineChars="200"/>
        <w:contextualSpacing/>
        <w:jc w:val="left"/>
        <w:rPr>
          <w:rFonts w:eastAsia="仿宋"/>
          <w:bCs/>
          <w:color w:val="000000" w:themeColor="text1"/>
          <w:kern w:val="0"/>
          <w:szCs w:val="32"/>
        </w:rPr>
      </w:pPr>
      <w:r>
        <w:rPr>
          <w:rFonts w:eastAsia="仿宋"/>
          <w:bCs/>
          <w:color w:val="000000" w:themeColor="text1"/>
          <w:kern w:val="0"/>
          <w:szCs w:val="32"/>
        </w:rPr>
        <w:t>202</w:t>
      </w:r>
      <w:r>
        <w:rPr>
          <w:rFonts w:hint="eastAsia" w:eastAsia="仿宋"/>
          <w:bCs/>
          <w:color w:val="000000" w:themeColor="text1"/>
          <w:kern w:val="0"/>
          <w:szCs w:val="32"/>
        </w:rPr>
        <w:t>2</w:t>
      </w:r>
      <w:r>
        <w:rPr>
          <w:rFonts w:eastAsia="仿宋"/>
          <w:bCs/>
          <w:color w:val="000000" w:themeColor="text1"/>
          <w:kern w:val="0"/>
          <w:szCs w:val="32"/>
        </w:rPr>
        <w:t>年决算总支出</w:t>
      </w:r>
      <w:r>
        <w:rPr>
          <w:rFonts w:hint="eastAsia" w:eastAsia="仿宋"/>
          <w:bCs/>
          <w:color w:val="000000" w:themeColor="text1"/>
          <w:kern w:val="0"/>
          <w:szCs w:val="32"/>
        </w:rPr>
        <w:t>1151.05</w:t>
      </w:r>
      <w:r>
        <w:rPr>
          <w:rFonts w:eastAsia="仿宋"/>
          <w:bCs/>
          <w:color w:val="000000" w:themeColor="text1"/>
          <w:kern w:val="0"/>
          <w:szCs w:val="32"/>
        </w:rPr>
        <w:t>万元，基本支出</w:t>
      </w:r>
      <w:r>
        <w:rPr>
          <w:rFonts w:hint="eastAsia" w:eastAsia="仿宋"/>
          <w:bCs/>
          <w:color w:val="000000" w:themeColor="text1"/>
          <w:kern w:val="0"/>
          <w:szCs w:val="32"/>
        </w:rPr>
        <w:t>1106.67</w:t>
      </w:r>
      <w:r>
        <w:rPr>
          <w:rFonts w:eastAsia="仿宋"/>
          <w:bCs/>
          <w:color w:val="000000" w:themeColor="text1"/>
          <w:kern w:val="0"/>
          <w:szCs w:val="32"/>
        </w:rPr>
        <w:t>万元（人员经费支出</w:t>
      </w:r>
      <w:r>
        <w:rPr>
          <w:rFonts w:hint="eastAsia" w:eastAsia="仿宋"/>
          <w:bCs/>
          <w:color w:val="000000" w:themeColor="text1"/>
          <w:kern w:val="0"/>
          <w:szCs w:val="32"/>
        </w:rPr>
        <w:t>1023.62</w:t>
      </w:r>
      <w:r>
        <w:rPr>
          <w:rFonts w:eastAsia="仿宋"/>
          <w:bCs/>
          <w:color w:val="000000" w:themeColor="text1"/>
          <w:kern w:val="0"/>
          <w:szCs w:val="32"/>
        </w:rPr>
        <w:t>万元，公用经费支出</w:t>
      </w:r>
      <w:r>
        <w:rPr>
          <w:rFonts w:hint="eastAsia" w:eastAsia="仿宋"/>
          <w:bCs/>
          <w:color w:val="000000" w:themeColor="text1"/>
          <w:kern w:val="0"/>
          <w:szCs w:val="32"/>
        </w:rPr>
        <w:t>83.05</w:t>
      </w:r>
      <w:r>
        <w:rPr>
          <w:rFonts w:eastAsia="仿宋"/>
          <w:bCs/>
          <w:color w:val="000000" w:themeColor="text1"/>
          <w:kern w:val="0"/>
          <w:szCs w:val="32"/>
        </w:rPr>
        <w:t>万元），项目支出</w:t>
      </w:r>
      <w:r>
        <w:rPr>
          <w:rFonts w:hint="eastAsia" w:eastAsia="仿宋"/>
          <w:bCs/>
          <w:color w:val="000000" w:themeColor="text1"/>
          <w:kern w:val="0"/>
          <w:szCs w:val="32"/>
        </w:rPr>
        <w:t>0</w:t>
      </w:r>
      <w:r>
        <w:rPr>
          <w:rFonts w:eastAsia="仿宋"/>
          <w:bCs/>
          <w:color w:val="000000" w:themeColor="text1"/>
          <w:kern w:val="0"/>
          <w:szCs w:val="32"/>
        </w:rPr>
        <w:t>万元。</w:t>
      </w:r>
    </w:p>
    <w:p>
      <w:pPr>
        <w:widowControl/>
        <w:adjustRightInd w:val="0"/>
        <w:snapToGrid w:val="0"/>
        <w:spacing w:line="580" w:lineRule="exact"/>
        <w:ind w:firstLine="640" w:firstLineChars="200"/>
        <w:contextualSpacing/>
        <w:jc w:val="left"/>
        <w:rPr>
          <w:rFonts w:eastAsia="仿宋"/>
          <w:bCs/>
          <w:color w:val="000000" w:themeColor="text1"/>
          <w:kern w:val="0"/>
          <w:szCs w:val="32"/>
        </w:rPr>
      </w:pPr>
      <w:r>
        <w:rPr>
          <w:rFonts w:eastAsia="仿宋"/>
          <w:bCs/>
          <w:color w:val="000000" w:themeColor="text1"/>
          <w:kern w:val="0"/>
          <w:szCs w:val="32"/>
        </w:rPr>
        <w:t>达川区</w:t>
      </w:r>
      <w:r>
        <w:rPr>
          <w:rFonts w:hint="eastAsia" w:eastAsia="仿宋"/>
          <w:bCs/>
          <w:color w:val="000000" w:themeColor="text1"/>
          <w:kern w:val="0"/>
          <w:szCs w:val="32"/>
        </w:rPr>
        <w:t>南坝小学</w:t>
      </w:r>
      <w:r>
        <w:rPr>
          <w:rFonts w:eastAsia="仿宋"/>
          <w:bCs/>
          <w:color w:val="000000" w:themeColor="text1"/>
          <w:kern w:val="0"/>
          <w:szCs w:val="32"/>
        </w:rPr>
        <w:t>无下属单位，202</w:t>
      </w:r>
      <w:r>
        <w:rPr>
          <w:rFonts w:hint="eastAsia" w:eastAsia="仿宋"/>
          <w:bCs/>
          <w:color w:val="000000" w:themeColor="text1"/>
          <w:kern w:val="0"/>
          <w:szCs w:val="32"/>
        </w:rPr>
        <w:t>2</w:t>
      </w:r>
      <w:r>
        <w:rPr>
          <w:rFonts w:eastAsia="仿宋"/>
          <w:bCs/>
          <w:color w:val="000000" w:themeColor="text1"/>
          <w:kern w:val="0"/>
          <w:szCs w:val="32"/>
        </w:rPr>
        <w:t>年无下属单位支出。</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（三）部门财政收入结转结余情况</w:t>
      </w:r>
    </w:p>
    <w:p>
      <w:pPr>
        <w:spacing w:line="578" w:lineRule="exact"/>
        <w:ind w:firstLine="640" w:firstLineChars="200"/>
        <w:rPr>
          <w:rFonts w:ascii="仿宋_GB2312" w:hAnsi="宋体" w:cs="宋体"/>
          <w:color w:val="0000FF"/>
          <w:kern w:val="0"/>
          <w:szCs w:val="32"/>
          <w:shd w:val="clear" w:color="auto" w:fill="FFFFFF"/>
          <w:lang w:val="zh-CN"/>
        </w:rPr>
      </w:pPr>
      <w:r>
        <w:rPr>
          <w:rFonts w:hint="eastAsia" w:eastAsia="仿宋"/>
          <w:bCs/>
          <w:kern w:val="0"/>
          <w:szCs w:val="32"/>
        </w:rPr>
        <w:t>2022</w:t>
      </w:r>
      <w:r>
        <w:rPr>
          <w:rFonts w:eastAsia="仿宋"/>
          <w:bCs/>
          <w:kern w:val="0"/>
          <w:szCs w:val="32"/>
        </w:rPr>
        <w:t>年年末财政拨款结转和结余</w:t>
      </w:r>
      <w:r>
        <w:rPr>
          <w:rFonts w:hint="eastAsia" w:eastAsia="仿宋"/>
          <w:bCs/>
          <w:kern w:val="0"/>
          <w:szCs w:val="32"/>
        </w:rPr>
        <w:t>44.38</w:t>
      </w:r>
      <w:r>
        <w:rPr>
          <w:rFonts w:eastAsia="仿宋"/>
          <w:bCs/>
          <w:kern w:val="0"/>
          <w:szCs w:val="32"/>
        </w:rPr>
        <w:t>万元。</w:t>
      </w:r>
    </w:p>
    <w:p>
      <w:pPr>
        <w:widowControl/>
        <w:numPr>
          <w:ilvl w:val="0"/>
          <w:numId w:val="3"/>
        </w:numPr>
        <w:adjustRightInd w:val="0"/>
        <w:snapToGrid w:val="0"/>
        <w:spacing w:line="580" w:lineRule="exact"/>
        <w:ind w:firstLine="640" w:firstLineChars="200"/>
        <w:contextualSpacing/>
        <w:jc w:val="left"/>
        <w:rPr>
          <w:rFonts w:ascii="黑体" w:hAnsi="宋体" w:eastAsia="黑体" w:cs="宋体"/>
          <w:color w:val="000000" w:themeColor="text1"/>
          <w:kern w:val="0"/>
          <w:szCs w:val="32"/>
          <w:shd w:val="clear" w:color="auto" w:fill="FFFFFF"/>
        </w:rPr>
      </w:pPr>
      <w:r>
        <w:rPr>
          <w:rFonts w:hint="eastAsia" w:ascii="黑体" w:hAnsi="宋体" w:eastAsia="黑体" w:cs="宋体"/>
          <w:color w:val="000000" w:themeColor="text1"/>
          <w:kern w:val="0"/>
          <w:szCs w:val="32"/>
          <w:shd w:val="clear" w:color="auto" w:fill="FFFFFF"/>
        </w:rPr>
        <w:t>部门整体预算绩效管理情况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(一)总体工作情况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ascii="仿宋_GB2312" w:hAnsi="宋体" w:cs="宋体"/>
          <w:kern w:val="0"/>
          <w:szCs w:val="32"/>
          <w:shd w:val="clear" w:color="auto" w:fill="FFFFFF"/>
        </w:rPr>
        <w:t>2022</w:t>
      </w:r>
      <w:r>
        <w:rPr>
          <w:rFonts w:hint="eastAsia" w:ascii="仿宋_GB2312" w:hAnsi="宋体" w:cs="宋体"/>
          <w:kern w:val="0"/>
          <w:szCs w:val="32"/>
          <w:shd w:val="clear" w:color="auto" w:fill="FFFFFF"/>
        </w:rPr>
        <w:t>年年终各项工作任务均全面完成，完成质量较高。</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(二)部门预算管理情况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年，我单位的部门预算管理工作有序开展，现结合整体支出绩效评价指标体系，将主要情况总结如下:</w:t>
      </w:r>
    </w:p>
    <w:p>
      <w:pPr>
        <w:widowControl/>
        <w:adjustRightInd w:val="0"/>
        <w:snapToGrid w:val="0"/>
        <w:spacing w:line="580" w:lineRule="exact"/>
        <w:ind w:firstLine="640" w:firstLineChars="200"/>
        <w:contextualSpacing/>
        <w:jc w:val="left"/>
        <w:rPr>
          <w:rFonts w:ascii="仿宋_GB2312" w:hAnsi="宋体" w:cs="宋体"/>
          <w:kern w:val="0"/>
          <w:szCs w:val="32"/>
          <w:highlight w:val="yellow"/>
          <w:shd w:val="clear" w:color="auto" w:fill="FFFFFF"/>
        </w:rPr>
      </w:pPr>
      <w:r>
        <w:rPr>
          <w:rFonts w:hint="eastAsia" w:ascii="仿宋_GB2312" w:hAnsi="宋体" w:cs="宋体"/>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支委会集体决策范围。该项指标分值为5分，自评得分</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2.在“目标实现”方面，我单位202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年共</w:t>
      </w:r>
      <w:r>
        <w:rPr>
          <w:rFonts w:hint="eastAsia" w:ascii="仿宋_GB2312" w:hAnsi="宋体" w:cs="宋体"/>
          <w:kern w:val="0"/>
          <w:szCs w:val="32"/>
          <w:shd w:val="clear" w:color="auto" w:fill="FFFFFF"/>
        </w:rPr>
        <w:t>1</w:t>
      </w:r>
      <w:r>
        <w:rPr>
          <w:rFonts w:hint="eastAsia" w:ascii="仿宋_GB2312" w:hAnsi="宋体" w:cs="宋体"/>
          <w:kern w:val="0"/>
          <w:szCs w:val="32"/>
          <w:shd w:val="clear" w:color="auto" w:fill="FFFFFF"/>
          <w:lang w:val="zh-CN"/>
        </w:rPr>
        <w:t>个部门预算项目，均属于特定目标类项目。部门所有纳入绩效目标管理的部门预算项目中涉及数量指标共计</w:t>
      </w:r>
      <w:r>
        <w:rPr>
          <w:rFonts w:hint="eastAsia" w:ascii="仿宋_GB2312" w:hAnsi="宋体" w:cs="宋体"/>
          <w:kern w:val="0"/>
          <w:szCs w:val="32"/>
          <w:shd w:val="clear" w:color="auto" w:fill="FFFFFF"/>
        </w:rPr>
        <w:t>1</w:t>
      </w:r>
      <w:r>
        <w:rPr>
          <w:rFonts w:hint="eastAsia" w:ascii="仿宋_GB2312" w:hAnsi="宋体" w:cs="宋体"/>
          <w:kern w:val="0"/>
          <w:szCs w:val="32"/>
          <w:shd w:val="clear" w:color="auto" w:fill="FFFFFF"/>
          <w:lang w:val="zh-CN"/>
        </w:rPr>
        <w:t>个，已完成数量为</w:t>
      </w:r>
      <w:r>
        <w:rPr>
          <w:rFonts w:hint="eastAsia" w:ascii="仿宋_GB2312" w:hAnsi="宋体" w:cs="宋体"/>
          <w:kern w:val="0"/>
          <w:szCs w:val="32"/>
          <w:shd w:val="clear" w:color="auto" w:fill="FFFFFF"/>
        </w:rPr>
        <w:t>1</w:t>
      </w:r>
      <w:r>
        <w:rPr>
          <w:rFonts w:hint="eastAsia" w:ascii="仿宋_GB2312" w:hAnsi="宋体" w:cs="宋体"/>
          <w:kern w:val="0"/>
          <w:szCs w:val="32"/>
          <w:shd w:val="clear" w:color="auto" w:fill="FFFFFF"/>
          <w:lang w:val="zh-CN"/>
        </w:rPr>
        <w:t>个。该项指标分值为10分，自评得分</w:t>
      </w:r>
      <w:r>
        <w:rPr>
          <w:rFonts w:hint="eastAsia" w:ascii="仿宋_GB2312" w:hAnsi="宋体" w:cs="宋体"/>
          <w:kern w:val="0"/>
          <w:szCs w:val="32"/>
          <w:shd w:val="clear" w:color="auto" w:fill="FFFFFF"/>
        </w:rPr>
        <w:t>10</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3.在“支出控制”方面，我单位202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年日常公用经费、项目支出中“办公费、印刷费、水费、电费、物业管理费”年初预算额</w:t>
      </w:r>
      <w:r>
        <w:rPr>
          <w:rFonts w:hint="eastAsia" w:ascii="仿宋_GB2312" w:hAnsi="宋体" w:cs="宋体"/>
          <w:kern w:val="0"/>
          <w:szCs w:val="32"/>
          <w:shd w:val="clear" w:color="auto" w:fill="FFFFFF"/>
        </w:rPr>
        <w:t>35.54</w:t>
      </w:r>
      <w:r>
        <w:rPr>
          <w:rFonts w:hint="eastAsia" w:ascii="仿宋_GB2312" w:hAnsi="宋体" w:cs="宋体"/>
          <w:kern w:val="0"/>
          <w:szCs w:val="32"/>
          <w:shd w:val="clear" w:color="auto" w:fill="FFFFFF"/>
          <w:lang w:val="zh-CN"/>
        </w:rPr>
        <w:t>万元，年末决算数</w:t>
      </w:r>
      <w:r>
        <w:rPr>
          <w:rFonts w:hint="eastAsia" w:ascii="仿宋_GB2312" w:hAnsi="宋体" w:cs="宋体"/>
          <w:kern w:val="0"/>
          <w:szCs w:val="32"/>
          <w:shd w:val="clear" w:color="auto" w:fill="FFFFFF"/>
        </w:rPr>
        <w:t>35.54</w:t>
      </w:r>
      <w:r>
        <w:rPr>
          <w:rFonts w:hint="eastAsia" w:ascii="仿宋_GB2312" w:hAnsi="宋体" w:cs="宋体"/>
          <w:kern w:val="0"/>
          <w:szCs w:val="32"/>
          <w:shd w:val="clear" w:color="auto" w:fill="FFFFFF"/>
          <w:lang w:val="zh-CN"/>
        </w:rPr>
        <w:t>万元，偏差度</w:t>
      </w:r>
      <w:r>
        <w:rPr>
          <w:rFonts w:hint="eastAsia" w:ascii="仿宋_GB2312" w:hAnsi="宋体" w:cs="宋体"/>
          <w:kern w:val="0"/>
          <w:szCs w:val="32"/>
          <w:shd w:val="clear" w:color="auto" w:fill="FFFFFF"/>
        </w:rPr>
        <w:t>0</w:t>
      </w:r>
      <w:r>
        <w:rPr>
          <w:rFonts w:hint="eastAsia" w:ascii="仿宋_GB2312" w:hAnsi="宋体" w:cs="宋体"/>
          <w:kern w:val="0"/>
          <w:szCs w:val="32"/>
          <w:shd w:val="clear" w:color="auto" w:fill="FFFFFF"/>
          <w:lang w:val="zh-CN"/>
        </w:rPr>
        <w:t>%。该项指标分值为</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4.在“及时处置”方面，当部门绩效监控调整取消额(</w:t>
      </w:r>
      <w:r>
        <w:rPr>
          <w:rFonts w:hint="eastAsia" w:ascii="仿宋_GB2312" w:hAnsi="宋体" w:cs="宋体"/>
          <w:kern w:val="0"/>
          <w:szCs w:val="32"/>
          <w:shd w:val="clear" w:color="auto" w:fill="FFFFFF"/>
        </w:rPr>
        <w:t>0</w:t>
      </w:r>
      <w:r>
        <w:rPr>
          <w:rFonts w:hint="eastAsia" w:ascii="仿宋_GB2312" w:hAnsi="宋体" w:cs="宋体"/>
          <w:kern w:val="0"/>
          <w:szCs w:val="32"/>
          <w:shd w:val="clear" w:color="auto" w:fill="FFFFFF"/>
          <w:lang w:val="zh-CN"/>
        </w:rPr>
        <w:t>万元)和结余注销额(</w:t>
      </w:r>
      <w:r>
        <w:rPr>
          <w:rFonts w:hint="eastAsia" w:ascii="仿宋_GB2312" w:hAnsi="宋体" w:cs="宋体"/>
          <w:kern w:val="0"/>
          <w:szCs w:val="32"/>
          <w:shd w:val="clear" w:color="auto" w:fill="FFFFFF"/>
        </w:rPr>
        <w:t>0</w:t>
      </w:r>
      <w:r>
        <w:rPr>
          <w:rFonts w:hint="eastAsia" w:ascii="仿宋_GB2312" w:hAnsi="宋体" w:cs="宋体"/>
          <w:kern w:val="0"/>
          <w:szCs w:val="32"/>
          <w:shd w:val="clear" w:color="auto" w:fill="FFFFFF"/>
          <w:lang w:val="zh-CN"/>
        </w:rPr>
        <w:t>万元)均不为零时，该项指标分值为4分，指标自评得分4分。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5.在“执行进度”方面，根据系统提取数据显示，我单位202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年6月、9月、11月执行进度分别为</w:t>
      </w:r>
      <w:r>
        <w:rPr>
          <w:rFonts w:hint="eastAsia" w:ascii="仿宋_GB2312" w:hAnsi="宋体" w:cs="宋体"/>
          <w:kern w:val="0"/>
          <w:szCs w:val="32"/>
          <w:shd w:val="clear" w:color="auto" w:fill="FFFFFF"/>
        </w:rPr>
        <w:t>46</w:t>
      </w:r>
      <w:r>
        <w:rPr>
          <w:rFonts w:hint="eastAsia" w:ascii="仿宋_GB2312" w:hAnsi="宋体" w:cs="宋体"/>
          <w:kern w:val="0"/>
          <w:szCs w:val="32"/>
          <w:shd w:val="clear" w:color="auto" w:fill="FFFFFF"/>
          <w:lang w:val="zh-CN"/>
        </w:rPr>
        <w:t>%、</w:t>
      </w:r>
      <w:r>
        <w:rPr>
          <w:rFonts w:hint="eastAsia" w:ascii="仿宋_GB2312" w:hAnsi="宋体" w:cs="宋体"/>
          <w:kern w:val="0"/>
          <w:szCs w:val="32"/>
          <w:shd w:val="clear" w:color="auto" w:fill="FFFFFF"/>
        </w:rPr>
        <w:t>72</w:t>
      </w:r>
      <w:r>
        <w:rPr>
          <w:rFonts w:hint="eastAsia" w:ascii="仿宋_GB2312" w:hAnsi="宋体" w:cs="宋体"/>
          <w:kern w:val="0"/>
          <w:szCs w:val="32"/>
          <w:shd w:val="clear" w:color="auto" w:fill="FFFFFF"/>
          <w:lang w:val="zh-CN"/>
        </w:rPr>
        <w:t xml:space="preserve">%、 </w:t>
      </w:r>
      <w:r>
        <w:rPr>
          <w:rFonts w:hint="eastAsia" w:ascii="仿宋_GB2312" w:hAnsi="宋体" w:cs="宋体"/>
          <w:kern w:val="0"/>
          <w:szCs w:val="32"/>
          <w:shd w:val="clear" w:color="auto" w:fill="FFFFFF"/>
        </w:rPr>
        <w:t>80</w:t>
      </w:r>
      <w:r>
        <w:rPr>
          <w:rFonts w:hint="eastAsia" w:ascii="仿宋_GB2312" w:hAnsi="宋体" w:cs="宋体"/>
          <w:kern w:val="0"/>
          <w:szCs w:val="32"/>
          <w:shd w:val="clear" w:color="auto" w:fill="FFFFFF"/>
          <w:lang w:val="zh-CN"/>
        </w:rPr>
        <w:t>%. 该项指标分值为4分，按其实际进度占目标进度的比重计算得分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6.在“预算完成”方面，部门预算项目年末预算执行进度</w:t>
      </w:r>
      <w:r>
        <w:rPr>
          <w:rFonts w:hint="eastAsia" w:ascii="仿宋_GB2312" w:hAnsi="宋体" w:cs="宋体"/>
          <w:kern w:val="0"/>
          <w:szCs w:val="32"/>
          <w:shd w:val="clear" w:color="auto" w:fill="FFFFFF"/>
        </w:rPr>
        <w:t>100</w:t>
      </w:r>
      <w:r>
        <w:rPr>
          <w:rFonts w:hint="eastAsia" w:ascii="仿宋_GB2312" w:hAnsi="宋体" w:cs="宋体"/>
          <w:kern w:val="0"/>
          <w:szCs w:val="32"/>
          <w:shd w:val="clear" w:color="auto" w:fill="FFFFFF"/>
          <w:lang w:val="zh-CN"/>
        </w:rPr>
        <w:t>%。该项指标分值为5分，按照实际进度量化计算得分</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7.在“资金结余率”方面，我部门单位部门预算项目共</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项，资金余率小于</w:t>
      </w:r>
      <w:r>
        <w:rPr>
          <w:rFonts w:hint="eastAsia" w:ascii="仿宋_GB2312" w:hAnsi="宋体" w:cs="宋体"/>
          <w:kern w:val="0"/>
          <w:szCs w:val="32"/>
          <w:shd w:val="clear" w:color="auto" w:fill="FFFFFF"/>
        </w:rPr>
        <w:t>0.1</w:t>
      </w:r>
      <w:r>
        <w:rPr>
          <w:rFonts w:hint="eastAsia" w:ascii="仿宋_GB2312" w:hAnsi="宋体" w:cs="宋体"/>
          <w:kern w:val="0"/>
          <w:szCs w:val="32"/>
          <w:shd w:val="clear" w:color="auto" w:fill="FFFFFF"/>
          <w:lang w:val="zh-CN"/>
        </w:rPr>
        <w:t>的项目数</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项。该项指标分值为8分，按照相应量化计算得分</w:t>
      </w:r>
      <w:r>
        <w:rPr>
          <w:rFonts w:hint="eastAsia" w:ascii="仿宋_GB2312" w:hAnsi="宋体" w:cs="宋体"/>
          <w:kern w:val="0"/>
          <w:szCs w:val="32"/>
          <w:shd w:val="clear" w:color="auto" w:fill="FFFFFF"/>
        </w:rPr>
        <w:t>8</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8.在违规记录上，我单位202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年没有出现部门预算管理方面违纪违规问题。该项指标分值为2分，自评得分2分。</w:t>
      </w:r>
      <w:bookmarkStart w:id="3" w:name="_Toc110955069"/>
    </w:p>
    <w:p>
      <w:pPr>
        <w:spacing w:line="600" w:lineRule="exact"/>
        <w:ind w:firstLine="643" w:firstLineChars="200"/>
        <w:outlineLvl w:val="2"/>
        <w:rPr>
          <w:rFonts w:eastAsia="仿宋"/>
          <w:b/>
          <w:bCs/>
          <w:kern w:val="0"/>
          <w:szCs w:val="32"/>
          <w:highlight w:val="yellow"/>
        </w:rPr>
      </w:pPr>
      <w:r>
        <w:rPr>
          <w:rFonts w:eastAsia="仿宋"/>
          <w:b/>
          <w:bCs/>
          <w:kern w:val="0"/>
          <w:szCs w:val="32"/>
        </w:rPr>
        <w:t>（二）专项预算管理</w:t>
      </w:r>
      <w:bookmarkEnd w:id="3"/>
    </w:p>
    <w:p>
      <w:pPr>
        <w:keepLines/>
        <w:tabs>
          <w:tab w:val="left" w:pos="676"/>
        </w:tabs>
        <w:ind w:right="1120" w:firstLine="640" w:firstLineChars="200"/>
        <w:rPr>
          <w:rFonts w:eastAsia="仿宋"/>
          <w:color w:val="000000"/>
          <w:szCs w:val="32"/>
        </w:rPr>
      </w:pPr>
      <w:r>
        <w:rPr>
          <w:rFonts w:eastAsia="仿宋"/>
          <w:color w:val="000000"/>
          <w:szCs w:val="32"/>
        </w:rPr>
        <w:t>1.专项绩效的预算情况</w:t>
      </w:r>
    </w:p>
    <w:p>
      <w:pPr>
        <w:spacing w:line="578" w:lineRule="exact"/>
        <w:ind w:firstLine="640" w:firstLineChars="200"/>
        <w:rPr>
          <w:rFonts w:eastAsia="仿宋"/>
          <w:bCs/>
          <w:kern w:val="0"/>
          <w:szCs w:val="32"/>
        </w:rPr>
      </w:pPr>
      <w:r>
        <w:rPr>
          <w:rFonts w:eastAsia="仿宋"/>
          <w:bCs/>
          <w:kern w:val="0"/>
          <w:szCs w:val="32"/>
        </w:rPr>
        <w:t>202</w:t>
      </w:r>
      <w:r>
        <w:rPr>
          <w:rFonts w:hint="eastAsia" w:eastAsia="仿宋"/>
          <w:bCs/>
          <w:kern w:val="0"/>
          <w:szCs w:val="32"/>
        </w:rPr>
        <w:t>2</w:t>
      </w:r>
      <w:r>
        <w:rPr>
          <w:rFonts w:eastAsia="仿宋"/>
          <w:bCs/>
          <w:kern w:val="0"/>
          <w:szCs w:val="32"/>
        </w:rPr>
        <w:t>年度共有</w:t>
      </w:r>
      <w:r>
        <w:rPr>
          <w:rFonts w:hint="eastAsia" w:eastAsia="仿宋"/>
          <w:bCs/>
          <w:kern w:val="0"/>
          <w:szCs w:val="32"/>
        </w:rPr>
        <w:t>1</w:t>
      </w:r>
      <w:r>
        <w:rPr>
          <w:rFonts w:eastAsia="仿宋"/>
          <w:bCs/>
          <w:kern w:val="0"/>
          <w:szCs w:val="32"/>
        </w:rPr>
        <w:t>个项目，主要专项绩效预算情况</w:t>
      </w:r>
      <w:r>
        <w:rPr>
          <w:rFonts w:hint="eastAsia" w:eastAsia="仿宋"/>
          <w:bCs/>
          <w:kern w:val="0"/>
          <w:szCs w:val="32"/>
        </w:rPr>
        <w:t>为</w:t>
      </w:r>
      <w:r>
        <w:rPr>
          <w:rFonts w:eastAsia="仿宋"/>
          <w:bCs/>
          <w:kern w:val="0"/>
          <w:szCs w:val="32"/>
        </w:rPr>
        <w:t>：</w:t>
      </w:r>
    </w:p>
    <w:p>
      <w:pPr>
        <w:spacing w:line="578" w:lineRule="exact"/>
        <w:ind w:firstLine="640" w:firstLineChars="200"/>
        <w:rPr>
          <w:rFonts w:eastAsia="仿宋"/>
          <w:bCs/>
          <w:kern w:val="0"/>
          <w:szCs w:val="32"/>
        </w:rPr>
      </w:pPr>
      <w:r>
        <w:rPr>
          <w:rFonts w:hint="eastAsia" w:eastAsia="仿宋"/>
          <w:bCs/>
          <w:kern w:val="0"/>
          <w:szCs w:val="32"/>
        </w:rPr>
        <w:t>（1）购买安保服务专项项目3</w:t>
      </w:r>
      <w:r>
        <w:rPr>
          <w:rFonts w:eastAsia="仿宋"/>
          <w:bCs/>
          <w:kern w:val="0"/>
          <w:szCs w:val="32"/>
        </w:rPr>
        <w:t>万元，全年目标</w:t>
      </w:r>
      <w:r>
        <w:rPr>
          <w:rFonts w:hint="eastAsia" w:eastAsia="仿宋"/>
          <w:bCs/>
          <w:kern w:val="0"/>
          <w:szCs w:val="32"/>
        </w:rPr>
        <w:t>为2022年内计划发放学校物业管理服务费3万元，目的是维护学校正常教育教学秩序，保障学校及师生的人身、财产安全。2022年实际</w:t>
      </w:r>
      <w:r>
        <w:rPr>
          <w:rFonts w:eastAsia="仿宋"/>
          <w:bCs/>
          <w:kern w:val="0"/>
          <w:szCs w:val="32"/>
        </w:rPr>
        <w:t>完成</w:t>
      </w:r>
      <w:r>
        <w:rPr>
          <w:rFonts w:hint="eastAsia" w:eastAsia="仿宋"/>
          <w:bCs/>
          <w:kern w:val="0"/>
          <w:szCs w:val="32"/>
        </w:rPr>
        <w:t>3万元</w:t>
      </w:r>
      <w:r>
        <w:rPr>
          <w:rFonts w:eastAsia="仿宋"/>
          <w:bCs/>
          <w:kern w:val="0"/>
          <w:szCs w:val="32"/>
        </w:rPr>
        <w:t>工作任务</w:t>
      </w:r>
      <w:r>
        <w:rPr>
          <w:rFonts w:hint="eastAsia" w:eastAsia="仿宋"/>
          <w:bCs/>
          <w:kern w:val="0"/>
          <w:szCs w:val="32"/>
        </w:rPr>
        <w:t>，已完成100%；</w:t>
      </w:r>
    </w:p>
    <w:p>
      <w:pPr>
        <w:spacing w:line="578" w:lineRule="exact"/>
        <w:ind w:firstLine="960" w:firstLineChars="300"/>
        <w:rPr>
          <w:rFonts w:eastAsia="仿宋"/>
          <w:bCs/>
          <w:kern w:val="0"/>
          <w:szCs w:val="32"/>
        </w:rPr>
      </w:pPr>
      <w:r>
        <w:rPr>
          <w:rFonts w:hint="eastAsia" w:eastAsia="仿宋"/>
          <w:bCs/>
          <w:kern w:val="0"/>
          <w:szCs w:val="32"/>
        </w:rPr>
        <w:t>2.专项绩效的执行情况</w:t>
      </w:r>
    </w:p>
    <w:p>
      <w:pPr>
        <w:spacing w:line="580" w:lineRule="exact"/>
        <w:ind w:firstLine="800" w:firstLineChars="250"/>
        <w:rPr>
          <w:rFonts w:eastAsia="仿宋"/>
          <w:bCs/>
          <w:kern w:val="0"/>
          <w:szCs w:val="32"/>
        </w:rPr>
      </w:pPr>
      <w:r>
        <w:rPr>
          <w:rFonts w:hint="eastAsia" w:eastAsia="仿宋"/>
          <w:bCs/>
          <w:kern w:val="0"/>
          <w:szCs w:val="32"/>
        </w:rPr>
        <w:t>绩效目标项目年初有1个，开展绩效评价项目1个，开展自评项目数1个，完成绩效评价数1个；应填报绩效目标的项目数1个1，应开展绩效监控的项目0个和应开展绩效自评项目1个，应完成绩效工作数为1个。</w:t>
      </w:r>
      <w:r>
        <w:rPr>
          <w:rFonts w:eastAsia="仿宋"/>
          <w:bCs/>
          <w:kern w:val="0"/>
          <w:szCs w:val="32"/>
        </w:rPr>
        <w:t>项目</w:t>
      </w:r>
      <w:r>
        <w:rPr>
          <w:rFonts w:hint="eastAsia" w:eastAsia="仿宋"/>
          <w:bCs/>
          <w:kern w:val="0"/>
          <w:szCs w:val="32"/>
        </w:rPr>
        <w:t>执行达100</w:t>
      </w:r>
      <w:r>
        <w:rPr>
          <w:rFonts w:eastAsia="仿宋"/>
          <w:bCs/>
          <w:kern w:val="0"/>
          <w:szCs w:val="32"/>
        </w:rPr>
        <w:t>%以上的项目</w:t>
      </w:r>
      <w:r>
        <w:rPr>
          <w:rFonts w:hint="eastAsia" w:eastAsia="仿宋"/>
          <w:bCs/>
          <w:kern w:val="0"/>
          <w:szCs w:val="32"/>
        </w:rPr>
        <w:t>1</w:t>
      </w:r>
      <w:r>
        <w:rPr>
          <w:rFonts w:eastAsia="仿宋"/>
          <w:bCs/>
          <w:kern w:val="0"/>
          <w:szCs w:val="32"/>
        </w:rPr>
        <w:t>项</w:t>
      </w:r>
      <w:r>
        <w:rPr>
          <w:rFonts w:hint="eastAsia" w:eastAsia="仿宋"/>
          <w:bCs/>
          <w:kern w:val="0"/>
          <w:szCs w:val="32"/>
        </w:rPr>
        <w:t>，</w:t>
      </w:r>
      <w:r>
        <w:rPr>
          <w:rFonts w:eastAsia="仿宋"/>
          <w:bCs/>
          <w:kern w:val="0"/>
          <w:szCs w:val="32"/>
        </w:rPr>
        <w:t>项目综合完成率为</w:t>
      </w:r>
      <w:r>
        <w:rPr>
          <w:rFonts w:hint="eastAsia" w:eastAsia="仿宋"/>
          <w:bCs/>
          <w:kern w:val="0"/>
          <w:szCs w:val="32"/>
        </w:rPr>
        <w:t>100</w:t>
      </w:r>
      <w:r>
        <w:rPr>
          <w:rFonts w:eastAsia="仿宋"/>
          <w:bCs/>
          <w:kern w:val="0"/>
          <w:szCs w:val="32"/>
        </w:rPr>
        <w:t>%。</w:t>
      </w:r>
    </w:p>
    <w:p>
      <w:pPr>
        <w:spacing w:line="580" w:lineRule="exact"/>
        <w:ind w:firstLine="480" w:firstLineChars="150"/>
        <w:rPr>
          <w:rFonts w:eastAsia="仿宋"/>
          <w:bCs/>
          <w:kern w:val="0"/>
          <w:szCs w:val="32"/>
        </w:rPr>
      </w:pPr>
      <w:r>
        <w:rPr>
          <w:rFonts w:eastAsia="仿宋"/>
          <w:bCs/>
          <w:kern w:val="0"/>
          <w:szCs w:val="32"/>
        </w:rPr>
        <w:t>专项预算管理</w:t>
      </w:r>
      <w:r>
        <w:rPr>
          <w:rFonts w:hint="eastAsia" w:eastAsia="仿宋"/>
          <w:bCs/>
          <w:kern w:val="0"/>
          <w:szCs w:val="32"/>
        </w:rPr>
        <w:t>分值为40分，自评得分为40分。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(三)结果应用情况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1.在“预算挂钩”方面，我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已出台全面实施预算绩效管理工作方案，细化考核内容，加强各业务</w:t>
      </w:r>
      <w:r>
        <w:rPr>
          <w:rFonts w:hint="eastAsia" w:ascii="仿宋_GB2312" w:hAnsi="宋体" w:cs="宋体"/>
          <w:kern w:val="0"/>
          <w:szCs w:val="32"/>
          <w:shd w:val="clear" w:color="auto" w:fill="FFFFFF"/>
        </w:rPr>
        <w:t>股</w:t>
      </w:r>
      <w:r>
        <w:rPr>
          <w:rFonts w:hint="eastAsia" w:ascii="仿宋_GB2312" w:hAnsi="宋体" w:cs="宋体"/>
          <w:kern w:val="0"/>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仿宋_GB2312" w:hAnsi="宋体" w:cs="宋体"/>
          <w:kern w:val="0"/>
          <w:szCs w:val="32"/>
          <w:shd w:val="clear" w:color="auto" w:fill="FFFFFF"/>
        </w:rPr>
        <w:t>4</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2.在“自评公开”方面，我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仿宋_GB2312" w:hAnsi="宋体" w:cs="宋体"/>
          <w:kern w:val="0"/>
          <w:szCs w:val="32"/>
          <w:shd w:val="clear" w:color="auto" w:fill="FFFFFF"/>
        </w:rPr>
        <w:t>股</w:t>
      </w:r>
      <w:r>
        <w:rPr>
          <w:rFonts w:hint="eastAsia" w:ascii="仿宋_GB2312" w:hAnsi="宋体" w:cs="宋体"/>
          <w:kern w:val="0"/>
          <w:szCs w:val="32"/>
          <w:shd w:val="clear" w:color="auto" w:fill="FFFFFF"/>
          <w:lang w:val="zh-CN"/>
        </w:rPr>
        <w:t>室加快预算执行进度;针对我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4.在应用反馈上，我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已按要求在规定时间内将预算绩效结果应用结果向财政反馈。该项指标分值为</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分，自评得分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(四)自评质量情况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rPr>
        <w:t>我单位</w:t>
      </w:r>
      <w:r>
        <w:rPr>
          <w:rFonts w:hint="eastAsia" w:ascii="仿宋_GB2312" w:hAnsi="宋体" w:cs="宋体"/>
          <w:kern w:val="0"/>
          <w:szCs w:val="32"/>
          <w:shd w:val="clear" w:color="auto" w:fill="FFFFFF"/>
          <w:lang w:val="zh-CN"/>
        </w:rPr>
        <w:t>整体支出自评准确率较高，</w:t>
      </w:r>
      <w:r>
        <w:rPr>
          <w:rFonts w:hint="eastAsia" w:ascii="仿宋_GB2312" w:hAnsi="宋体" w:cs="宋体"/>
          <w:kern w:val="0"/>
          <w:szCs w:val="32"/>
          <w:shd w:val="clear" w:color="auto" w:fill="FFFFFF"/>
        </w:rPr>
        <w:t>且全面开展自评</w:t>
      </w:r>
      <w:r>
        <w:rPr>
          <w:rFonts w:hint="eastAsia" w:ascii="仿宋_GB2312" w:hAnsi="宋体" w:cs="宋体"/>
          <w:kern w:val="0"/>
          <w:szCs w:val="32"/>
          <w:shd w:val="clear" w:color="auto" w:fill="FFFFFF"/>
          <w:lang w:val="zh-CN"/>
        </w:rPr>
        <w:t>。</w:t>
      </w:r>
      <w:r>
        <w:rPr>
          <w:rFonts w:hint="eastAsia" w:ascii="仿宋_GB2312" w:hAnsi="宋体" w:cs="宋体"/>
          <w:kern w:val="0"/>
          <w:szCs w:val="32"/>
          <w:shd w:val="clear" w:color="auto" w:fill="FFFFFF"/>
        </w:rPr>
        <w:t>自评质量分值为10分，由主管部门、财政部门考评，单位自评实际总分为96分。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w:t>
      </w:r>
      <w:r>
        <w:rPr>
          <w:rFonts w:hint="eastAsia" w:ascii="仿宋_GB2312" w:hAnsi="宋体" w:cs="宋体"/>
          <w:kern w:val="0"/>
          <w:szCs w:val="32"/>
          <w:shd w:val="clear" w:color="auto" w:fill="FFFFFF"/>
        </w:rPr>
        <w:t>我单位</w:t>
      </w:r>
      <w:r>
        <w:rPr>
          <w:rFonts w:hint="eastAsia" w:ascii="仿宋_GB2312" w:hAnsi="宋体" w:cs="宋体"/>
          <w:kern w:val="0"/>
          <w:szCs w:val="32"/>
          <w:shd w:val="clear" w:color="auto" w:fill="FFFFFF"/>
          <w:lang w:val="zh-CN"/>
        </w:rPr>
        <w:t>整体支出绩效自评得分</w:t>
      </w:r>
      <w:r>
        <w:rPr>
          <w:rFonts w:hint="eastAsia" w:ascii="仿宋_GB2312" w:hAnsi="宋体" w:cs="宋体"/>
          <w:kern w:val="0"/>
          <w:szCs w:val="32"/>
          <w:shd w:val="clear" w:color="auto" w:fill="FFFFFF"/>
        </w:rPr>
        <w:t>实际为82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四、评价结论及建议</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按照202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年度</w:t>
      </w:r>
      <w:r>
        <w:rPr>
          <w:rFonts w:hint="eastAsia" w:ascii="仿宋_GB2312" w:hAnsi="宋体" w:cs="宋体"/>
          <w:kern w:val="0"/>
          <w:szCs w:val="32"/>
          <w:shd w:val="clear" w:color="auto" w:fill="FFFFFF"/>
        </w:rPr>
        <w:t>区</w:t>
      </w:r>
      <w:r>
        <w:rPr>
          <w:rFonts w:hint="eastAsia" w:ascii="仿宋_GB2312" w:hAnsi="宋体" w:cs="宋体"/>
          <w:kern w:val="0"/>
          <w:szCs w:val="32"/>
          <w:shd w:val="clear" w:color="auto" w:fill="FFFFFF"/>
          <w:lang w:val="zh-CN"/>
        </w:rPr>
        <w:t>级部门整体支出绩效评价指标体系，绩效评价总分</w:t>
      </w:r>
      <w:r>
        <w:rPr>
          <w:rFonts w:hint="eastAsia" w:ascii="仿宋_GB2312" w:hAnsi="宋体" w:cs="宋体"/>
          <w:kern w:val="0"/>
          <w:szCs w:val="32"/>
          <w:shd w:val="clear" w:color="auto" w:fill="FFFFFF"/>
        </w:rPr>
        <w:t>90</w:t>
      </w:r>
      <w:r>
        <w:rPr>
          <w:rFonts w:hint="eastAsia" w:ascii="仿宋_GB2312" w:hAnsi="宋体" w:cs="宋体"/>
          <w:kern w:val="0"/>
          <w:szCs w:val="32"/>
          <w:shd w:val="clear" w:color="auto" w:fill="FFFFFF"/>
          <w:lang w:val="zh-CN"/>
        </w:rPr>
        <w:t>分，我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得分</w:t>
      </w:r>
      <w:r>
        <w:rPr>
          <w:rFonts w:hint="eastAsia" w:ascii="仿宋_GB2312" w:hAnsi="宋体" w:cs="宋体"/>
          <w:kern w:val="0"/>
          <w:szCs w:val="32"/>
          <w:shd w:val="clear" w:color="auto" w:fill="FFFFFF"/>
        </w:rPr>
        <w:t>84</w:t>
      </w:r>
      <w:r>
        <w:rPr>
          <w:rFonts w:hint="eastAsia" w:ascii="仿宋_GB2312" w:hAnsi="宋体" w:cs="宋体"/>
          <w:kern w:val="0"/>
          <w:szCs w:val="32"/>
          <w:shd w:val="clear" w:color="auto" w:fill="FFFFFF"/>
          <w:lang w:val="zh-CN"/>
        </w:rPr>
        <w:t>分（</w:t>
      </w:r>
      <w:r>
        <w:rPr>
          <w:rFonts w:hint="eastAsia" w:ascii="仿宋_GB2312" w:hAnsi="宋体" w:cs="宋体"/>
          <w:kern w:val="0"/>
          <w:szCs w:val="32"/>
          <w:shd w:val="clear" w:color="auto" w:fill="FFFFFF"/>
        </w:rPr>
        <w:t>详见《2023年整体支出绩效评价指标体系表》）。</w:t>
      </w:r>
      <w:r>
        <w:rPr>
          <w:rFonts w:hint="eastAsia" w:ascii="仿宋_GB2312" w:hAnsi="宋体" w:cs="宋体"/>
          <w:kern w:val="0"/>
          <w:szCs w:val="32"/>
          <w:shd w:val="clear" w:color="auto" w:fill="FFFFFF"/>
          <w:lang w:val="zh-CN"/>
        </w:rPr>
        <w:t>基本完成了年度预算绩效管理目标，扣分项主要涉及预算调整金额偏大和个别时间节点预算执行进度不高。</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widowControl/>
        <w:adjustRightInd w:val="0"/>
        <w:snapToGrid w:val="0"/>
        <w:spacing w:line="580" w:lineRule="exact"/>
        <w:ind w:firstLine="640" w:firstLineChars="200"/>
        <w:contextualSpacing/>
        <w:jc w:val="left"/>
        <w:rPr>
          <w:lang w:val="zh-CN"/>
        </w:rPr>
      </w:pPr>
      <w:r>
        <w:rPr>
          <w:rFonts w:hint="eastAsia" w:ascii="仿宋_GB2312" w:hAnsi="宋体" w:cs="宋体"/>
          <w:kern w:val="0"/>
          <w:szCs w:val="32"/>
          <w:shd w:val="clear" w:color="auto" w:fill="FFFFFF"/>
          <w:lang w:val="zh-CN"/>
        </w:rPr>
        <w:t>二是预算执行力度不强，预算执行进度偏慢。</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(三)改进措施</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3</w:t>
      </w:r>
      <w:r>
        <w:rPr>
          <w:rFonts w:hint="eastAsia" w:ascii="仿宋_GB2312" w:hAnsi="宋体" w:cs="宋体"/>
          <w:kern w:val="0"/>
          <w:szCs w:val="32"/>
          <w:shd w:val="clear" w:color="auto" w:fill="FFFFFF"/>
          <w:lang w:val="zh-CN"/>
        </w:rPr>
        <w:t>年，我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eastAsia" w:ascii="仿宋_GB2312" w:hAnsi="宋体" w:cs="宋体"/>
          <w:kern w:val="0"/>
          <w:szCs w:val="32"/>
          <w:shd w:val="clear" w:color="auto" w:fill="FFFFFF"/>
        </w:rPr>
        <w:t>3</w:t>
      </w:r>
      <w:r>
        <w:rPr>
          <w:rFonts w:hint="eastAsia" w:ascii="仿宋_GB2312" w:hAnsi="宋体" w:cs="宋体"/>
          <w:kern w:val="0"/>
          <w:szCs w:val="32"/>
          <w:shd w:val="clear" w:color="auto" w:fill="FFFFFF"/>
          <w:lang w:val="zh-CN"/>
        </w:rPr>
        <w:t>年预算执行进度在202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三是提高预算绩效管理工作意识，按照预算绩效管理工作方案要求，明确职责分工，压实主体责任，强化各具体项目承办.</w:t>
      </w:r>
      <w:r>
        <w:rPr>
          <w:rFonts w:hint="eastAsia" w:ascii="仿宋_GB2312" w:hAnsi="宋体" w:cs="宋体"/>
          <w:kern w:val="0"/>
          <w:szCs w:val="32"/>
          <w:shd w:val="clear" w:color="auto" w:fill="FFFFFF"/>
        </w:rPr>
        <w:t>股</w:t>
      </w:r>
      <w:r>
        <w:rPr>
          <w:rFonts w:hint="eastAsia" w:ascii="仿宋_GB2312" w:hAnsi="宋体" w:cs="宋体"/>
          <w:kern w:val="0"/>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rPr>
        <w:t>附件：</w:t>
      </w:r>
    </w:p>
    <w:p>
      <w:pPr>
        <w:pStyle w:val="2"/>
      </w:pPr>
    </w:p>
    <w:p>
      <w:pPr>
        <w:ind w:firstLine="1280" w:firstLineChars="400"/>
        <w:rPr>
          <w:rFonts w:ascii="仿宋_GB2312" w:hAnsi="宋体" w:cs="宋体"/>
          <w:kern w:val="0"/>
          <w:szCs w:val="32"/>
          <w:shd w:val="clear" w:color="auto" w:fill="FFFFFF"/>
        </w:rPr>
      </w:pPr>
      <w:r>
        <w:rPr>
          <w:rFonts w:hint="eastAsia" w:ascii="仿宋_GB2312" w:hAnsi="宋体" w:cs="宋体"/>
          <w:kern w:val="0"/>
          <w:szCs w:val="32"/>
          <w:shd w:val="clear" w:color="auto" w:fill="FFFFFF"/>
        </w:rPr>
        <w:t>1.2022年特定目标类部门预算项目绩效目标自评（项目名称：</w:t>
      </w:r>
      <w:r>
        <w:rPr>
          <w:rFonts w:hint="eastAsia" w:eastAsia="仿宋"/>
          <w:bCs/>
          <w:kern w:val="0"/>
          <w:szCs w:val="32"/>
        </w:rPr>
        <w:t>购买安保服务专项</w:t>
      </w:r>
      <w:r>
        <w:rPr>
          <w:rFonts w:hint="eastAsia" w:ascii="仿宋_GB2312" w:hAnsi="宋体" w:cs="宋体"/>
          <w:kern w:val="0"/>
          <w:szCs w:val="32"/>
          <w:shd w:val="clear" w:color="auto" w:fill="FFFFFF"/>
        </w:rPr>
        <w:t>）</w:t>
      </w:r>
    </w:p>
    <w:p>
      <w:pPr>
        <w:pStyle w:val="2"/>
        <w:rPr>
          <w:rFonts w:ascii="仿宋_GB2312" w:hAnsi="宋体" w:cs="宋体"/>
          <w:kern w:val="0"/>
          <w:szCs w:val="32"/>
          <w:shd w:val="clear" w:color="auto" w:fill="FFFFFF"/>
        </w:rPr>
      </w:pPr>
    </w:p>
    <w:p>
      <w:pPr>
        <w:ind w:firstLine="1280" w:firstLineChars="400"/>
        <w:rPr>
          <w:rFonts w:ascii="仿宋_GB2312" w:hAnsi="宋体" w:cs="宋体"/>
          <w:kern w:val="0"/>
          <w:szCs w:val="32"/>
          <w:shd w:val="clear" w:color="auto" w:fill="FFFFFF"/>
        </w:rPr>
      </w:pPr>
      <w:r>
        <w:rPr>
          <w:rFonts w:hint="eastAsia" w:ascii="仿宋_GB2312" w:hAnsi="宋体" w:cs="宋体"/>
          <w:kern w:val="0"/>
          <w:szCs w:val="32"/>
          <w:shd w:val="clear" w:color="auto" w:fill="FFFFFF"/>
        </w:rPr>
        <w:t>2.达川区南坝小学2023年整体支出绩效评价指标体系表</w:t>
      </w:r>
    </w:p>
    <w:p/>
    <w:p>
      <w:pPr>
        <w:widowControl/>
        <w:wordWrap w:val="0"/>
        <w:adjustRightInd w:val="0"/>
        <w:snapToGrid w:val="0"/>
        <w:spacing w:line="580" w:lineRule="exact"/>
        <w:ind w:firstLine="640" w:firstLineChars="200"/>
        <w:contextualSpacing/>
        <w:jc w:val="right"/>
        <w:rPr>
          <w:rFonts w:ascii="仿宋_GB2312" w:hAnsi="宋体" w:cs="宋体"/>
          <w:kern w:val="0"/>
          <w:szCs w:val="32"/>
          <w:shd w:val="clear" w:color="auto" w:fill="FFFFFF"/>
        </w:rPr>
      </w:pPr>
    </w:p>
    <w:p>
      <w:pPr>
        <w:widowControl/>
        <w:wordWrap w:val="0"/>
        <w:adjustRightInd w:val="0"/>
        <w:snapToGrid w:val="0"/>
        <w:spacing w:line="580" w:lineRule="exact"/>
        <w:contextualSpacing/>
        <w:rPr>
          <w:rFonts w:ascii="仿宋_GB2312" w:hAnsi="宋体" w:cs="宋体"/>
          <w:kern w:val="0"/>
          <w:szCs w:val="32"/>
          <w:shd w:val="clear" w:color="auto" w:fill="FFFFFF"/>
        </w:rPr>
      </w:pPr>
    </w:p>
    <w:p>
      <w:pPr>
        <w:widowControl/>
        <w:wordWrap w:val="0"/>
        <w:adjustRightInd w:val="0"/>
        <w:snapToGrid w:val="0"/>
        <w:spacing w:line="580" w:lineRule="exact"/>
        <w:ind w:firstLine="640" w:firstLineChars="200"/>
        <w:contextualSpacing/>
        <w:jc w:val="right"/>
        <w:rPr>
          <w:rFonts w:ascii="仿宋_GB2312" w:hAnsi="宋体" w:cs="宋体"/>
          <w:kern w:val="0"/>
          <w:szCs w:val="32"/>
          <w:shd w:val="clear" w:color="auto" w:fill="FFFFFF"/>
        </w:rPr>
      </w:pPr>
    </w:p>
    <w:p>
      <w:pPr>
        <w:widowControl/>
        <w:wordWrap w:val="0"/>
        <w:adjustRightInd w:val="0"/>
        <w:snapToGrid w:val="0"/>
        <w:spacing w:line="580" w:lineRule="exact"/>
        <w:ind w:firstLine="640" w:firstLineChars="200"/>
        <w:contextualSpacing/>
        <w:jc w:val="center"/>
        <w:rPr>
          <w:rFonts w:ascii="仿宋_GB2312" w:hAnsi="宋体" w:cs="宋体"/>
          <w:kern w:val="0"/>
          <w:szCs w:val="32"/>
          <w:shd w:val="clear" w:color="auto" w:fill="FFFFFF"/>
        </w:rPr>
      </w:pPr>
      <w:r>
        <w:rPr>
          <w:rFonts w:hint="eastAsia" w:ascii="仿宋_GB2312" w:hAnsi="宋体" w:cs="宋体"/>
          <w:kern w:val="0"/>
          <w:szCs w:val="32"/>
          <w:shd w:val="clear" w:color="auto" w:fill="FFFFFF"/>
        </w:rPr>
        <w:t xml:space="preserve">                         达川区南坝小学 </w:t>
      </w:r>
    </w:p>
    <w:p>
      <w:pPr>
        <w:widowControl/>
        <w:wordWrap w:val="0"/>
        <w:adjustRightInd w:val="0"/>
        <w:snapToGrid w:val="0"/>
        <w:spacing w:line="580" w:lineRule="exact"/>
        <w:ind w:firstLine="640" w:firstLineChars="200"/>
        <w:contextualSpacing/>
        <w:jc w:val="center"/>
        <w:rPr>
          <w:rFonts w:ascii="仿宋_GB2312" w:hAnsi="宋体" w:cs="宋体"/>
          <w:kern w:val="0"/>
          <w:szCs w:val="32"/>
          <w:shd w:val="clear" w:color="auto" w:fill="FFFFFF"/>
        </w:rPr>
      </w:pPr>
      <w:r>
        <w:rPr>
          <w:rFonts w:hint="eastAsia" w:ascii="仿宋_GB2312" w:hAnsi="宋体" w:cs="宋体"/>
          <w:kern w:val="0"/>
          <w:szCs w:val="32"/>
          <w:shd w:val="clear" w:color="auto" w:fill="FFFFFF"/>
        </w:rPr>
        <w:t xml:space="preserve">                             2023年3月31日  </w:t>
      </w:r>
    </w:p>
    <w:p>
      <w:pPr>
        <w:widowControl/>
        <w:wordWrap w:val="0"/>
        <w:adjustRightInd w:val="0"/>
        <w:snapToGrid w:val="0"/>
        <w:spacing w:line="580" w:lineRule="exact"/>
        <w:ind w:firstLine="640" w:firstLineChars="200"/>
        <w:contextualSpacing/>
        <w:jc w:val="right"/>
        <w:rPr>
          <w:rFonts w:ascii="仿宋_GB2312" w:hAnsi="宋体" w:cs="宋体"/>
          <w:kern w:val="0"/>
          <w:szCs w:val="32"/>
          <w:shd w:val="clear" w:color="auto" w:fill="FFFFFF"/>
        </w:rPr>
      </w:pPr>
    </w:p>
    <w:p>
      <w:pPr>
        <w:widowControl/>
        <w:wordWrap w:val="0"/>
        <w:adjustRightInd w:val="0"/>
        <w:snapToGrid w:val="0"/>
        <w:spacing w:line="580" w:lineRule="exact"/>
        <w:ind w:firstLine="640" w:firstLineChars="200"/>
        <w:contextualSpacing/>
        <w:jc w:val="right"/>
        <w:rPr>
          <w:rFonts w:ascii="仿宋_GB2312" w:hAnsi="宋体" w:cs="宋体"/>
          <w:color w:val="000000" w:themeColor="text1"/>
          <w:kern w:val="0"/>
          <w:szCs w:val="32"/>
          <w:shd w:val="clear" w:color="auto" w:fill="FFFFFF"/>
          <w:lang w:val="zh-CN"/>
        </w:rPr>
      </w:pPr>
    </w:p>
    <w:p>
      <w:r>
        <w:rPr>
          <w:rFonts w:hint="eastAsia"/>
        </w:rPr>
        <w:t>附表1：</w:t>
      </w:r>
    </w:p>
    <w:p>
      <w:pPr>
        <w:pStyle w:val="2"/>
        <w:rPr>
          <w:lang w:val="zh-CN"/>
        </w:rPr>
      </w:pPr>
    </w:p>
    <w:p>
      <w:pPr>
        <w:pStyle w:val="2"/>
        <w:rPr>
          <w:rFonts w:ascii="仿宋_GB2312" w:hAnsi="宋体" w:cs="宋体"/>
          <w:color w:val="000000" w:themeColor="text1"/>
          <w:kern w:val="0"/>
          <w:szCs w:val="32"/>
          <w:highlight w:val="red"/>
          <w:shd w:val="clear" w:color="auto" w:fill="FFFFFF"/>
          <w:lang w:val="zh-CN"/>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83"/>
        <w:gridCol w:w="626"/>
        <w:gridCol w:w="163"/>
        <w:gridCol w:w="1917"/>
        <w:gridCol w:w="342"/>
        <w:gridCol w:w="976"/>
        <w:gridCol w:w="1026"/>
        <w:gridCol w:w="739"/>
        <w:gridCol w:w="712"/>
        <w:gridCol w:w="616"/>
        <w:gridCol w:w="1291"/>
        <w:gridCol w:w="229"/>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达川区南坝小学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项目预算</w:t>
            </w:r>
            <w:r>
              <w:rPr>
                <w:rFonts w:hint="eastAsia" w:ascii="仿宋_GB2312" w:hAnsi="仿宋_GB2312" w:cs="仿宋_GB2312"/>
                <w:color w:val="000000"/>
                <w:kern w:val="0"/>
                <w:sz w:val="21"/>
                <w:szCs w:val="21"/>
              </w:rPr>
              <w:br w:type="textWrapping"/>
            </w:r>
            <w:r>
              <w:rPr>
                <w:rFonts w:hint="eastAsia" w:ascii="仿宋_GB2312" w:hAnsi="仿宋_GB2312" w:cs="仿宋_GB2312"/>
                <w:color w:val="000000"/>
                <w:kern w:val="0"/>
                <w:sz w:val="21"/>
                <w:szCs w:val="21"/>
              </w:rPr>
              <w:t>执行情况</w:t>
            </w:r>
            <w:r>
              <w:rPr>
                <w:rFonts w:hint="eastAsia" w:ascii="仿宋_GB2312" w:hAnsi="仿宋_GB2312" w:cs="仿宋_GB2312"/>
                <w:color w:val="000000"/>
                <w:kern w:val="0"/>
                <w:sz w:val="21"/>
                <w:szCs w:val="21"/>
              </w:rPr>
              <w:br w:type="textWrapping"/>
            </w:r>
            <w:r>
              <w:rPr>
                <w:rFonts w:hint="eastAsia" w:ascii="仿宋_GB2312" w:hAnsi="仿宋_GB2312" w:cs="仿宋_GB2312"/>
                <w:color w:val="000000"/>
                <w:kern w:val="0"/>
                <w:sz w:val="21"/>
                <w:szCs w:val="21"/>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3.00</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3.00</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年度总体目标</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2022年内计划发放学校物业管理服务费3万元，目的是维护学校正常教育教学秩序，保障学校及师生的人身、财产安全。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2022年实际发放学校物业管理服务费3万元，维护了学校正常教育教学秩序，保障了学校及师生的人身、财产安全。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一级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二级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三级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rPr>
            </w:pPr>
            <w:r>
              <w:rPr>
                <w:rFonts w:hint="eastAsia" w:ascii="仿宋_GB2312" w:hAnsi="仿宋_GB2312" w:cs="仿宋_GB2312"/>
                <w:color w:val="000000"/>
                <w:kern w:val="0"/>
                <w:sz w:val="20"/>
                <w:szCs w:val="20"/>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rPr>
          <w:rFonts w:ascii="仿宋_GB2312" w:hAnsi="宋体" w:cs="宋体"/>
          <w:color w:val="000000" w:themeColor="text1"/>
          <w:kern w:val="0"/>
          <w:szCs w:val="32"/>
          <w:highlight w:val="red"/>
          <w:shd w:val="clear" w:color="auto" w:fill="FFFFFF"/>
          <w:lang w:val="zh-CN"/>
        </w:rPr>
      </w:pPr>
    </w:p>
    <w:p>
      <w:pPr>
        <w:pStyle w:val="2"/>
        <w:rPr>
          <w:rFonts w:ascii="仿宋_GB2312" w:hAnsi="宋体" w:cs="宋体"/>
          <w:color w:val="000000" w:themeColor="text1"/>
          <w:kern w:val="0"/>
          <w:szCs w:val="32"/>
          <w:highlight w:val="red"/>
          <w:shd w:val="clear" w:color="auto" w:fill="FFFFFF"/>
          <w:lang w:val="zh-CN"/>
        </w:rPr>
      </w:pPr>
    </w:p>
    <w:p>
      <w:pPr>
        <w:rPr>
          <w:rFonts w:ascii="仿宋_GB2312" w:hAnsi="宋体" w:cs="宋体"/>
          <w:color w:val="000000" w:themeColor="text1"/>
          <w:kern w:val="0"/>
          <w:szCs w:val="32"/>
          <w:highlight w:val="red"/>
          <w:shd w:val="clear" w:color="auto" w:fill="FFFFFF"/>
          <w:lang w:val="zh-CN"/>
        </w:rPr>
      </w:pPr>
    </w:p>
    <w:p>
      <w:pPr>
        <w:pStyle w:val="2"/>
        <w:rPr>
          <w:rFonts w:ascii="仿宋_GB2312" w:hAnsi="宋体" w:cs="宋体"/>
          <w:color w:val="000000" w:themeColor="text1"/>
          <w:kern w:val="0"/>
          <w:szCs w:val="32"/>
          <w:highlight w:val="red"/>
          <w:shd w:val="clear" w:color="auto" w:fill="FFFFFF"/>
          <w:lang w:val="zh-CN"/>
        </w:rPr>
      </w:pPr>
    </w:p>
    <w:p>
      <w:pPr>
        <w:rPr>
          <w:rFonts w:ascii="仿宋_GB2312" w:hAnsi="宋体" w:cs="宋体"/>
          <w:color w:val="000000" w:themeColor="text1"/>
          <w:kern w:val="0"/>
          <w:szCs w:val="32"/>
          <w:highlight w:val="red"/>
          <w:shd w:val="clear" w:color="auto" w:fill="FFFFFF"/>
          <w:lang w:val="zh-CN"/>
        </w:rPr>
      </w:pPr>
    </w:p>
    <w:p>
      <w:pPr>
        <w:pStyle w:val="2"/>
        <w:rPr>
          <w:rFonts w:ascii="仿宋_GB2312" w:hAnsi="宋体" w:cs="宋体"/>
          <w:color w:val="000000" w:themeColor="text1"/>
          <w:kern w:val="0"/>
          <w:szCs w:val="32"/>
          <w:highlight w:val="red"/>
          <w:shd w:val="clear" w:color="auto" w:fill="FFFFFF"/>
          <w:lang w:val="zh-CN"/>
        </w:rPr>
      </w:pPr>
    </w:p>
    <w:p>
      <w:pPr>
        <w:rPr>
          <w:rFonts w:ascii="仿宋_GB2312" w:hAnsi="宋体" w:cs="宋体"/>
          <w:color w:val="000000" w:themeColor="text1"/>
          <w:kern w:val="0"/>
          <w:szCs w:val="32"/>
          <w:highlight w:val="red"/>
          <w:shd w:val="clear" w:color="auto" w:fill="FFFFFF"/>
          <w:lang w:val="zh-CN"/>
        </w:rPr>
        <w:sectPr>
          <w:headerReference r:id="rId3" w:type="default"/>
          <w:pgSz w:w="11906" w:h="16838"/>
          <w:pgMar w:top="907" w:right="1361" w:bottom="851" w:left="1361" w:header="851" w:footer="992" w:gutter="0"/>
          <w:pgNumType w:fmt="numberInDash" w:start="16"/>
          <w:cols w:space="425" w:num="1"/>
          <w:docGrid w:type="lines" w:linePitch="435" w:charSpace="0"/>
        </w:sectPr>
      </w:pPr>
    </w:p>
    <w:p>
      <w:pPr>
        <w:rPr>
          <w:rFonts w:ascii="仿宋_GB2312" w:hAnsi="宋体" w:cs="宋体"/>
          <w:color w:val="000000" w:themeColor="text1"/>
          <w:kern w:val="0"/>
          <w:szCs w:val="32"/>
          <w:highlight w:val="red"/>
          <w:shd w:val="clear" w:color="auto" w:fill="FFFFFF"/>
          <w:lang w:val="zh-CN"/>
        </w:rPr>
      </w:pPr>
    </w:p>
    <w:tbl>
      <w:tblPr>
        <w:tblStyle w:val="5"/>
        <w:tblW w:w="14276" w:type="dxa"/>
        <w:tblInd w:w="93" w:type="dxa"/>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sz w:val="24"/>
              </w:rPr>
              <w:t>附件6：</w:t>
            </w:r>
          </w:p>
        </w:tc>
        <w:tc>
          <w:tcPr>
            <w:tcW w:w="660"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79"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54"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2187" w:type="dxa"/>
            <w:tcBorders>
              <w:top w:val="nil"/>
              <w:left w:val="nil"/>
              <w:bottom w:val="nil"/>
              <w:right w:val="nil"/>
            </w:tcBorders>
            <w:shd w:val="clear" w:color="auto" w:fill="auto"/>
            <w:vAlign w:val="center"/>
          </w:tcPr>
          <w:p>
            <w:pPr>
              <w:jc w:val="left"/>
              <w:rPr>
                <w:rFonts w:ascii="宋体" w:hAnsi="宋体" w:eastAsia="宋体" w:cs="宋体"/>
                <w:color w:val="000000"/>
                <w:sz w:val="24"/>
              </w:rPr>
            </w:pPr>
          </w:p>
        </w:tc>
        <w:tc>
          <w:tcPr>
            <w:tcW w:w="519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24"/>
              </w:rPr>
            </w:pPr>
          </w:p>
        </w:tc>
        <w:tc>
          <w:tcPr>
            <w:tcW w:w="693" w:type="dxa"/>
            <w:tcBorders>
              <w:top w:val="nil"/>
              <w:left w:val="nil"/>
              <w:bottom w:val="nil"/>
              <w:right w:val="nil"/>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Cs w:val="32"/>
              </w:rPr>
            </w:pPr>
            <w:r>
              <w:rPr>
                <w:rFonts w:hint="eastAsia" w:ascii="宋体" w:hAnsi="宋体" w:eastAsia="宋体" w:cs="宋体"/>
                <w:b/>
                <w:bCs/>
                <w:color w:val="000000"/>
                <w:kern w:val="0"/>
                <w:szCs w:val="32"/>
              </w:rPr>
              <w:t>达川区南坝小学2023年整体支出绩效评价指标体系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96</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部门</w:t>
            </w:r>
            <w:r>
              <w:rPr>
                <w:rFonts w:hint="eastAsia" w:ascii="宋体" w:hAnsi="宋体" w:eastAsia="宋体" w:cs="宋体"/>
                <w:color w:val="FF0000"/>
                <w:kern w:val="0"/>
                <w:sz w:val="15"/>
                <w:szCs w:val="15"/>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部门预算执行进度在6、9、11月应达到序时进度的80%、90%、</w:t>
            </w:r>
            <w:r>
              <w:rPr>
                <w:rFonts w:hint="eastAsia" w:ascii="宋体" w:hAnsi="宋体" w:eastAsia="宋体" w:cs="宋体"/>
                <w:color w:val="FF0000"/>
                <w:kern w:val="0"/>
                <w:sz w:val="18"/>
                <w:szCs w:val="18"/>
              </w:rPr>
              <w:t>95%</w:t>
            </w:r>
            <w:r>
              <w:rPr>
                <w:rFonts w:hint="eastAsia" w:ascii="宋体" w:hAnsi="宋体" w:eastAsia="宋体" w:cs="宋体"/>
                <w:color w:val="000000"/>
                <w:kern w:val="0"/>
                <w:sz w:val="18"/>
                <w:szCs w:val="18"/>
              </w:rPr>
              <w:t xml:space="preserve">，即实际支出进度分别达到40%、67.5%、82.5%。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（低效无效率）</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bl>
    <w:p>
      <w:pPr>
        <w:pStyle w:val="2"/>
      </w:pPr>
    </w:p>
    <w:sectPr>
      <w:pgSz w:w="16838" w:h="11906" w:orient="landscape"/>
      <w:pgMar w:top="1361" w:right="907" w:bottom="1361" w:left="851" w:header="851" w:footer="992" w:gutter="0"/>
      <w:pgNumType w:fmt="numberInDash" w:start="16"/>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hkYjE5Mzc2YjQyYjkyOTE3NDY0Yjg4ZjFkNDJiNWYifQ=="/>
  </w:docVars>
  <w:rsids>
    <w:rsidRoot w:val="24DD0D9F"/>
    <w:rsid w:val="001D470B"/>
    <w:rsid w:val="002357D8"/>
    <w:rsid w:val="00390660"/>
    <w:rsid w:val="004E502D"/>
    <w:rsid w:val="004F6714"/>
    <w:rsid w:val="005D220F"/>
    <w:rsid w:val="005F5593"/>
    <w:rsid w:val="00667963"/>
    <w:rsid w:val="0068660B"/>
    <w:rsid w:val="007A564D"/>
    <w:rsid w:val="007F45AB"/>
    <w:rsid w:val="008A7EA6"/>
    <w:rsid w:val="008F4A47"/>
    <w:rsid w:val="00C77B0F"/>
    <w:rsid w:val="00C9531A"/>
    <w:rsid w:val="00FC55C5"/>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D023E1"/>
    <w:rsid w:val="16126DDA"/>
    <w:rsid w:val="16CB091A"/>
    <w:rsid w:val="173D4EC5"/>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8D7122"/>
    <w:rsid w:val="59AC533B"/>
    <w:rsid w:val="5A5773F1"/>
    <w:rsid w:val="5A9C7A2D"/>
    <w:rsid w:val="5AA67CE7"/>
    <w:rsid w:val="5ACA788E"/>
    <w:rsid w:val="5B570375"/>
    <w:rsid w:val="5B5D1179"/>
    <w:rsid w:val="5B650361"/>
    <w:rsid w:val="5BAC74A6"/>
    <w:rsid w:val="5BB112D2"/>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6C2DCC"/>
    <w:rsid w:val="707B3132"/>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10</Pages>
  <Words>5331</Words>
  <Characters>5660</Characters>
  <Lines>47</Lines>
  <Paragraphs>13</Paragraphs>
  <TotalTime>86</TotalTime>
  <ScaleCrop>false</ScaleCrop>
  <LinksUpToDate>false</LinksUpToDate>
  <CharactersWithSpaces>6242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蓝色永恒</cp:lastModifiedBy>
  <dcterms:modified xsi:type="dcterms:W3CDTF">2023-04-18T06:54:54Z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AE19C68C866E4F36BD8829F1C1A31B4E</vt:lpwstr>
  </property>
</Properties>
</file>