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F6" w:rsidRDefault="00104EF6">
      <w:pPr>
        <w:spacing w:line="580" w:lineRule="exact"/>
        <w:contextualSpacing/>
        <w:rPr>
          <w:rFonts w:ascii="黑体" w:eastAsia="黑体" w:hAnsi="黑体" w:cs="黑体"/>
          <w:color w:val="000000" w:themeColor="text1"/>
          <w:szCs w:val="32"/>
        </w:rPr>
      </w:pPr>
    </w:p>
    <w:p w:rsidR="00104EF6" w:rsidRDefault="00197FDB">
      <w:pPr>
        <w:widowControl/>
        <w:spacing w:line="640" w:lineRule="exact"/>
        <w:contextualSpacing/>
        <w:jc w:val="center"/>
        <w:rPr>
          <w:rFonts w:ascii="方正小标宋_GBK" w:eastAsia="方正小标宋_GBK" w:hAnsi="方正小标宋_GBK" w:cs="方正小标宋_GBK"/>
          <w:bCs/>
          <w:color w:val="000000" w:themeColor="text1"/>
          <w:sz w:val="44"/>
          <w:szCs w:val="44"/>
          <w:shd w:val="clear" w:color="auto" w:fill="FFFFFF"/>
        </w:rPr>
      </w:pPr>
      <w:r>
        <w:rPr>
          <w:rFonts w:ascii="方正小标宋_GBK" w:eastAsia="方正小标宋_GBK" w:hAnsi="方正小标宋_GBK" w:cs="方正小标宋_GBK" w:hint="eastAsia"/>
          <w:bCs/>
          <w:color w:val="000000" w:themeColor="text1"/>
          <w:sz w:val="44"/>
          <w:szCs w:val="44"/>
          <w:shd w:val="clear" w:color="auto" w:fill="FFFFFF"/>
        </w:rPr>
        <w:t>达川区石梯镇银铁中心学校</w:t>
      </w:r>
    </w:p>
    <w:p w:rsidR="00104EF6" w:rsidRDefault="00197FDB">
      <w:pPr>
        <w:widowControl/>
        <w:spacing w:line="640" w:lineRule="exact"/>
        <w:contextualSpacing/>
        <w:jc w:val="center"/>
        <w:rPr>
          <w:rFonts w:ascii="方正小标宋_GBK" w:eastAsia="方正小标宋_GBK" w:hAnsi="方正小标宋_GBK" w:cs="方正小标宋_GBK"/>
          <w:bCs/>
          <w:color w:val="000000" w:themeColor="text1"/>
          <w:sz w:val="44"/>
          <w:szCs w:val="44"/>
          <w:shd w:val="clear" w:color="auto" w:fill="FFFFFF"/>
        </w:rPr>
      </w:pPr>
      <w:r>
        <w:rPr>
          <w:rFonts w:ascii="方正小标宋_GBK" w:eastAsia="方正小标宋_GBK" w:hAnsi="方正小标宋_GBK" w:cs="方正小标宋_GBK" w:hint="eastAsia"/>
          <w:bCs/>
          <w:color w:val="000000" w:themeColor="text1"/>
          <w:sz w:val="44"/>
          <w:szCs w:val="44"/>
          <w:shd w:val="clear" w:color="auto" w:fill="FFFFFF"/>
        </w:rPr>
        <w:t>2023年单位整体支出绩效评价报告</w:t>
      </w:r>
    </w:p>
    <w:p w:rsidR="00104EF6" w:rsidRDefault="00104EF6">
      <w:pPr>
        <w:tabs>
          <w:tab w:val="left" w:pos="3885"/>
        </w:tabs>
        <w:snapToGrid w:val="0"/>
        <w:spacing w:line="600" w:lineRule="exact"/>
        <w:rPr>
          <w:rFonts w:eastAsia="仿宋"/>
          <w:color w:val="000000" w:themeColor="text1"/>
          <w:kern w:val="0"/>
          <w:szCs w:val="32"/>
        </w:rPr>
      </w:pPr>
    </w:p>
    <w:p w:rsidR="00104EF6" w:rsidRDefault="00197FDB">
      <w:pPr>
        <w:tabs>
          <w:tab w:val="left" w:pos="3885"/>
        </w:tabs>
        <w:snapToGrid w:val="0"/>
        <w:spacing w:line="578" w:lineRule="exact"/>
        <w:rPr>
          <w:rFonts w:ascii="方正仿宋_GBK" w:eastAsia="方正仿宋_GBK" w:hAnsi="方正仿宋_GBK" w:cs="方正仿宋_GBK"/>
          <w:color w:val="000000" w:themeColor="text1"/>
          <w:kern w:val="0"/>
          <w:szCs w:val="32"/>
        </w:rPr>
      </w:pPr>
      <w:r>
        <w:rPr>
          <w:rFonts w:ascii="方正仿宋_GBK" w:eastAsia="方正仿宋_GBK" w:hAnsi="方正仿宋_GBK" w:cs="方正仿宋_GBK" w:hint="eastAsia"/>
          <w:color w:val="000000" w:themeColor="text1"/>
          <w:kern w:val="0"/>
          <w:szCs w:val="32"/>
        </w:rPr>
        <w:t>达州市达川区财政局：</w:t>
      </w:r>
    </w:p>
    <w:p w:rsidR="00104EF6" w:rsidRDefault="00197FDB">
      <w:pPr>
        <w:tabs>
          <w:tab w:val="left" w:pos="3885"/>
        </w:tabs>
        <w:snapToGrid w:val="0"/>
        <w:spacing w:line="578" w:lineRule="exact"/>
        <w:ind w:firstLineChars="200" w:firstLine="640"/>
        <w:rPr>
          <w:rFonts w:ascii="方正仿宋_GBK" w:eastAsia="方正仿宋_GBK" w:hAnsi="方正仿宋_GBK" w:cs="方正仿宋_GBK"/>
          <w:color w:val="000000" w:themeColor="text1"/>
          <w:kern w:val="0"/>
          <w:szCs w:val="32"/>
        </w:rPr>
      </w:pPr>
      <w:r>
        <w:rPr>
          <w:rFonts w:ascii="方正仿宋_GBK" w:eastAsia="方正仿宋_GBK" w:hAnsi="方正仿宋_GBK" w:cs="方正仿宋_GBK" w:hint="eastAsia"/>
          <w:color w:val="000000" w:themeColor="text1"/>
          <w:kern w:val="0"/>
          <w:szCs w:val="32"/>
        </w:rPr>
        <w:t xml:space="preserve"> 按照达州市达川区财政局《关于开展2023年单位、政策和项目支出绩效评价工作的通知》（达川财绩效〔2023〕9号）文件要求，现将本单位2023年开展单位整体支出绩效评价情况报告如下：</w:t>
      </w:r>
    </w:p>
    <w:p w:rsidR="00104EF6" w:rsidRDefault="00197FDB">
      <w:pPr>
        <w:widowControl/>
        <w:adjustRightInd w:val="0"/>
        <w:snapToGrid w:val="0"/>
        <w:spacing w:line="578" w:lineRule="exact"/>
        <w:ind w:firstLineChars="200" w:firstLine="640"/>
        <w:contextualSpacing/>
        <w:jc w:val="left"/>
        <w:rPr>
          <w:rFonts w:ascii="方正黑体_GBK" w:eastAsia="方正黑体_GBK" w:hAnsi="方正黑体_GBK" w:cs="方正黑体_GBK"/>
          <w:color w:val="000000" w:themeColor="text1"/>
          <w:kern w:val="0"/>
          <w:szCs w:val="32"/>
          <w:shd w:val="clear" w:color="auto" w:fill="FFFFFF"/>
          <w:lang w:val="zh-CN"/>
        </w:rPr>
      </w:pPr>
      <w:r>
        <w:rPr>
          <w:rFonts w:ascii="方正黑体_GBK" w:eastAsia="方正黑体_GBK" w:hAnsi="方正黑体_GBK" w:cs="方正黑体_GBK" w:hint="eastAsia"/>
          <w:color w:val="000000" w:themeColor="text1"/>
          <w:kern w:val="0"/>
          <w:szCs w:val="32"/>
          <w:shd w:val="clear" w:color="auto" w:fill="FFFFFF"/>
        </w:rPr>
        <w:t>一、</w:t>
      </w:r>
      <w:r>
        <w:rPr>
          <w:rFonts w:ascii="方正黑体_GBK" w:eastAsia="方正黑体_GBK" w:hAnsi="方正黑体_GBK" w:cs="方正黑体_GBK" w:hint="eastAsia"/>
          <w:color w:val="000000" w:themeColor="text1"/>
          <w:kern w:val="0"/>
          <w:szCs w:val="32"/>
          <w:shd w:val="clear" w:color="auto" w:fill="FFFFFF"/>
          <w:lang w:val="zh-CN"/>
        </w:rPr>
        <w:t>单位概况</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（一）机构组成。</w:t>
      </w:r>
    </w:p>
    <w:p w:rsidR="00104EF6" w:rsidRDefault="00197FDB">
      <w:pPr>
        <w:tabs>
          <w:tab w:val="left" w:pos="3885"/>
        </w:tabs>
        <w:snapToGrid w:val="0"/>
        <w:spacing w:line="578" w:lineRule="exact"/>
        <w:ind w:firstLineChars="200" w:firstLine="640"/>
        <w:rPr>
          <w:rFonts w:ascii="方正仿宋_GBK" w:eastAsia="方正仿宋_GBK" w:hAnsi="方正仿宋_GBK" w:cs="方正仿宋_GBK"/>
          <w:color w:val="000000" w:themeColor="text1"/>
          <w:szCs w:val="32"/>
        </w:rPr>
      </w:pPr>
      <w:bookmarkStart w:id="0" w:name="_Hlk109805614"/>
      <w:r>
        <w:rPr>
          <w:rFonts w:ascii="方正仿宋_GBK" w:eastAsia="方正仿宋_GBK" w:hAnsi="方正仿宋_GBK" w:cs="方正仿宋_GBK" w:hint="eastAsia"/>
          <w:color w:val="000000" w:themeColor="text1"/>
          <w:kern w:val="0"/>
          <w:szCs w:val="32"/>
        </w:rPr>
        <w:t>达州市</w:t>
      </w:r>
      <w:bookmarkEnd w:id="0"/>
      <w:r>
        <w:rPr>
          <w:rFonts w:ascii="方正仿宋_GBK" w:eastAsia="方正仿宋_GBK" w:hAnsi="方正仿宋_GBK" w:cs="方正仿宋_GBK" w:hint="eastAsia"/>
          <w:color w:val="000000" w:themeColor="text1"/>
          <w:kern w:val="0"/>
          <w:szCs w:val="32"/>
        </w:rPr>
        <w:t>达川区石梯镇银铁中心学校是达川区二级预算单位。</w:t>
      </w:r>
      <w:bookmarkStart w:id="1" w:name="_Hlk109805662"/>
      <w:r>
        <w:rPr>
          <w:rFonts w:ascii="方正仿宋_GBK" w:eastAsia="方正仿宋_GBK" w:hAnsi="方正仿宋_GBK" w:cs="方正仿宋_GBK" w:hint="eastAsia"/>
          <w:color w:val="000000" w:themeColor="text1"/>
          <w:kern w:val="0"/>
          <w:szCs w:val="32"/>
        </w:rPr>
        <w:t>隶属于达州市达川区教育局主管，属公益一类事业单位，内设机构6个，分别是校务办、党建办、教务处、安全办、后勤处、政教处。</w:t>
      </w:r>
    </w:p>
    <w:bookmarkEnd w:id="1"/>
    <w:p w:rsidR="00104EF6" w:rsidRDefault="00197FDB">
      <w:pPr>
        <w:widowControl/>
        <w:numPr>
          <w:ilvl w:val="0"/>
          <w:numId w:val="1"/>
        </w:numPr>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机构职能。</w:t>
      </w:r>
    </w:p>
    <w:p w:rsidR="00104EF6" w:rsidRDefault="00197FDB">
      <w:pPr>
        <w:spacing w:line="578" w:lineRule="exact"/>
        <w:ind w:firstLineChars="196" w:firstLine="627"/>
        <w:rPr>
          <w:rFonts w:ascii="方正仿宋_GBK" w:eastAsia="方正仿宋_GBK" w:hAnsi="方正仿宋_GBK" w:cs="方正仿宋_GBK"/>
          <w:color w:val="000000" w:themeColor="text1"/>
          <w:kern w:val="0"/>
          <w:szCs w:val="32"/>
          <w:highlight w:val="yellow"/>
        </w:rPr>
      </w:pPr>
      <w:r>
        <w:rPr>
          <w:rFonts w:ascii="方正仿宋_GBK" w:eastAsia="方正仿宋_GBK" w:hAnsi="方正仿宋_GBK" w:cs="方正仿宋_GBK" w:hint="eastAsia"/>
          <w:color w:val="000000" w:themeColor="text1"/>
          <w:kern w:val="0"/>
          <w:szCs w:val="32"/>
        </w:rPr>
        <w:t>根据达州市达川区石梯镇银铁中心学校三定方案，我</w:t>
      </w:r>
      <w:r>
        <w:rPr>
          <w:rFonts w:ascii="方正仿宋_GBK" w:eastAsia="方正仿宋_GBK" w:hAnsi="方正仿宋_GBK" w:cs="方正仿宋_GBK" w:hint="eastAsia"/>
          <w:color w:val="000000" w:themeColor="text1"/>
          <w:kern w:val="0"/>
          <w:szCs w:val="32"/>
          <w:shd w:val="clear" w:color="auto" w:fill="FFFFFF"/>
          <w:lang w:val="zh-CN"/>
        </w:rPr>
        <w:t>单位</w:t>
      </w:r>
      <w:r>
        <w:rPr>
          <w:rFonts w:ascii="方正仿宋_GBK" w:eastAsia="方正仿宋_GBK" w:hAnsi="方正仿宋_GBK" w:cs="方正仿宋_GBK" w:hint="eastAsia"/>
          <w:color w:val="000000" w:themeColor="text1"/>
          <w:kern w:val="0"/>
          <w:szCs w:val="32"/>
        </w:rPr>
        <w:t>的主要职能职责为：对适龄儿童实施九年义务教育，提升他们的综合素质。</w:t>
      </w:r>
    </w:p>
    <w:p w:rsidR="00104EF6" w:rsidRDefault="00197FDB">
      <w:pPr>
        <w:widowControl/>
        <w:numPr>
          <w:ilvl w:val="0"/>
          <w:numId w:val="1"/>
        </w:numPr>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人员概况。</w:t>
      </w:r>
    </w:p>
    <w:p w:rsidR="00104EF6" w:rsidRDefault="00197FDB">
      <w:pPr>
        <w:spacing w:line="578" w:lineRule="exact"/>
        <w:ind w:firstLineChars="200" w:firstLine="640"/>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szCs w:val="32"/>
        </w:rPr>
        <w:t>根据人社局等相关编制批复文件，核定我</w:t>
      </w:r>
      <w:r>
        <w:rPr>
          <w:rFonts w:ascii="方正仿宋_GBK" w:eastAsia="方正仿宋_GBK" w:hAnsi="方正仿宋_GBK" w:cs="方正仿宋_GBK" w:hint="eastAsia"/>
          <w:color w:val="000000" w:themeColor="text1"/>
          <w:kern w:val="0"/>
          <w:szCs w:val="32"/>
          <w:shd w:val="clear" w:color="auto" w:fill="FFFFFF"/>
          <w:lang w:val="zh-CN"/>
        </w:rPr>
        <w:t>单位</w:t>
      </w:r>
      <w:r>
        <w:rPr>
          <w:rFonts w:ascii="方正仿宋_GBK" w:eastAsia="方正仿宋_GBK" w:hAnsi="方正仿宋_GBK" w:cs="方正仿宋_GBK" w:hint="eastAsia"/>
          <w:color w:val="000000" w:themeColor="text1"/>
          <w:szCs w:val="32"/>
        </w:rPr>
        <w:t>参照公务员法管理的事业编制32名，其中事业编制32名；</w:t>
      </w:r>
      <w:bookmarkStart w:id="2" w:name="_Hlk109807352"/>
      <w:r>
        <w:rPr>
          <w:rFonts w:ascii="方正仿宋_GBK" w:eastAsia="方正仿宋_GBK" w:hAnsi="方正仿宋_GBK" w:cs="方正仿宋_GBK" w:hint="eastAsia"/>
          <w:color w:val="000000" w:themeColor="text1"/>
          <w:szCs w:val="32"/>
        </w:rPr>
        <w:t>截至2022年年末实有在职人员29人，其中：事业编制29人。</w:t>
      </w:r>
      <w:bookmarkEnd w:id="2"/>
      <w:r>
        <w:rPr>
          <w:rFonts w:ascii="方正仿宋_GBK" w:eastAsia="方正仿宋_GBK" w:hAnsi="方正仿宋_GBK" w:cs="方正仿宋_GBK" w:hint="eastAsia"/>
          <w:bCs/>
          <w:color w:val="000000" w:themeColor="text1"/>
          <w:kern w:val="0"/>
          <w:szCs w:val="32"/>
        </w:rPr>
        <w:t>退休人员为28</w:t>
      </w:r>
      <w:r>
        <w:rPr>
          <w:rFonts w:ascii="方正仿宋_GBK" w:eastAsia="方正仿宋_GBK" w:hAnsi="方正仿宋_GBK" w:cs="方正仿宋_GBK" w:hint="eastAsia"/>
          <w:bCs/>
          <w:color w:val="000000" w:themeColor="text1"/>
          <w:kern w:val="0"/>
          <w:szCs w:val="32"/>
        </w:rPr>
        <w:lastRenderedPageBreak/>
        <w:t>人。</w:t>
      </w:r>
    </w:p>
    <w:p w:rsidR="00104EF6" w:rsidRDefault="00197FDB">
      <w:pPr>
        <w:widowControl/>
        <w:adjustRightInd w:val="0"/>
        <w:snapToGrid w:val="0"/>
        <w:spacing w:line="578" w:lineRule="exact"/>
        <w:ind w:firstLineChars="200" w:firstLine="640"/>
        <w:contextualSpacing/>
        <w:jc w:val="left"/>
        <w:rPr>
          <w:rFonts w:ascii="方正黑体_GBK" w:eastAsia="方正黑体_GBK" w:hAnsi="方正黑体_GBK" w:cs="方正黑体_GBK"/>
          <w:color w:val="000000" w:themeColor="text1"/>
          <w:kern w:val="0"/>
          <w:szCs w:val="32"/>
          <w:shd w:val="clear" w:color="auto" w:fill="FFFFFF"/>
        </w:rPr>
      </w:pPr>
      <w:r>
        <w:rPr>
          <w:rFonts w:ascii="方正黑体_GBK" w:eastAsia="方正黑体_GBK" w:hAnsi="方正黑体_GBK" w:cs="方正黑体_GBK" w:hint="eastAsia"/>
          <w:color w:val="000000" w:themeColor="text1"/>
          <w:kern w:val="0"/>
          <w:szCs w:val="32"/>
          <w:shd w:val="clear" w:color="auto" w:fill="FFFFFF"/>
        </w:rPr>
        <w:t>二、部门财政资金收支情况</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（一）部门财政资金收入情况。</w:t>
      </w:r>
    </w:p>
    <w:p w:rsidR="00104EF6" w:rsidRDefault="00197FDB">
      <w:pPr>
        <w:spacing w:line="578" w:lineRule="exact"/>
        <w:ind w:firstLineChars="200" w:firstLine="640"/>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bCs/>
          <w:color w:val="000000" w:themeColor="text1"/>
          <w:kern w:val="0"/>
          <w:szCs w:val="32"/>
        </w:rPr>
        <w:t>2022年年初预算收入431.02万元。</w:t>
      </w:r>
    </w:p>
    <w:p w:rsidR="00104EF6" w:rsidRDefault="00197FDB">
      <w:pPr>
        <w:widowControl/>
        <w:numPr>
          <w:ilvl w:val="0"/>
          <w:numId w:val="2"/>
        </w:numPr>
        <w:adjustRightInd w:val="0"/>
        <w:snapToGrid w:val="0"/>
        <w:spacing w:line="578" w:lineRule="exact"/>
        <w:ind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部门财政资金支出情况。</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2022年决算总支出505.52万元，基本支出505.52万元（人员经费支出465.27万元，公用经费支出40.25万元），项目支出0万元。</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达川区石梯镇银铁中心学校无下属单位，2022年无下属单位支出。</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（三）部门财政收入结转结余情况</w:t>
      </w:r>
    </w:p>
    <w:p w:rsidR="00104EF6" w:rsidRDefault="00197FDB">
      <w:pPr>
        <w:spacing w:line="578" w:lineRule="exact"/>
        <w:ind w:firstLineChars="200" w:firstLine="640"/>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bCs/>
          <w:color w:val="000000" w:themeColor="text1"/>
          <w:kern w:val="0"/>
          <w:szCs w:val="32"/>
        </w:rPr>
        <w:t>2022年年末财政拨款结转和结余74.49万元。</w:t>
      </w:r>
    </w:p>
    <w:p w:rsidR="00104EF6" w:rsidRDefault="00197FDB">
      <w:pPr>
        <w:widowControl/>
        <w:numPr>
          <w:ilvl w:val="0"/>
          <w:numId w:val="3"/>
        </w:numPr>
        <w:adjustRightInd w:val="0"/>
        <w:snapToGrid w:val="0"/>
        <w:spacing w:line="578" w:lineRule="exact"/>
        <w:ind w:firstLineChars="200" w:firstLine="640"/>
        <w:contextualSpacing/>
        <w:jc w:val="left"/>
        <w:rPr>
          <w:rFonts w:ascii="方正黑体_GBK" w:eastAsia="方正黑体_GBK" w:hAnsi="方正黑体_GBK" w:cs="方正黑体_GBK"/>
          <w:color w:val="000000" w:themeColor="text1"/>
          <w:kern w:val="0"/>
          <w:szCs w:val="32"/>
          <w:shd w:val="clear" w:color="auto" w:fill="FFFFFF"/>
        </w:rPr>
      </w:pPr>
      <w:r>
        <w:rPr>
          <w:rFonts w:ascii="方正黑体_GBK" w:eastAsia="方正黑体_GBK" w:hAnsi="方正黑体_GBK" w:cs="方正黑体_GBK" w:hint="eastAsia"/>
          <w:color w:val="000000" w:themeColor="text1"/>
          <w:kern w:val="0"/>
          <w:szCs w:val="32"/>
          <w:shd w:val="clear" w:color="auto" w:fill="FFFFFF"/>
        </w:rPr>
        <w:t>部门整体预算绩效管理情况</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（一）总体工作情况</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lang w:val="zh-CN"/>
        </w:rPr>
        <w:t>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ascii="方正仿宋_GBK" w:eastAsia="方正仿宋_GBK" w:hAnsi="方正仿宋_GBK" w:cs="方正仿宋_GBK" w:hint="eastAsia"/>
          <w:color w:val="000000" w:themeColor="text1"/>
          <w:kern w:val="0"/>
          <w:szCs w:val="32"/>
          <w:shd w:val="clear" w:color="auto" w:fill="FFFFFF"/>
        </w:rPr>
        <w:t>2022年年终各项工作任务均全面完成，完成质量较高。</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（二）部门预算管理情况</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年，我单位的部门预算管理工作有序开展，现结合整体支出绩效评价指标体系，将主要情况总结如下：</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highlight w:val="yellow"/>
          <w:shd w:val="clear" w:color="auto" w:fill="FFFFFF"/>
        </w:rPr>
      </w:pPr>
      <w:r>
        <w:rPr>
          <w:rFonts w:ascii="方正仿宋_GBK" w:eastAsia="方正仿宋_GBK" w:hAnsi="方正仿宋_GBK" w:cs="方正仿宋_GBK" w:hint="eastAsia"/>
          <w:color w:val="000000" w:themeColor="text1"/>
          <w:kern w:val="0"/>
          <w:szCs w:val="32"/>
          <w:shd w:val="clear" w:color="auto" w:fill="FFFFFF"/>
          <w:lang w:val="zh-CN"/>
        </w:rPr>
        <w:lastRenderedPageBreak/>
        <w:t>1.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w:t>
      </w:r>
      <w:r>
        <w:rPr>
          <w:rFonts w:ascii="方正仿宋_GBK" w:eastAsia="方正仿宋_GBK" w:hAnsi="方正仿宋_GBK" w:cs="方正仿宋_GBK" w:hint="eastAsia"/>
          <w:color w:val="000000" w:themeColor="text1"/>
          <w:kern w:val="0"/>
          <w:szCs w:val="32"/>
          <w:shd w:val="clear" w:color="auto" w:fill="FFFFFF"/>
        </w:rPr>
        <w:t>5</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2.在“目标实现”方面，我单位202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年共</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个部门预算项目，均属于特定目标类项目。部门所有纳入绩效目标管理的部门预算项目中涉及数量指标共计</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个，已完成数量为</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个。该项指标分值为10分，自评得分</w:t>
      </w:r>
      <w:r>
        <w:rPr>
          <w:rFonts w:ascii="方正仿宋_GBK" w:eastAsia="方正仿宋_GBK" w:hAnsi="方正仿宋_GBK" w:cs="方正仿宋_GBK" w:hint="eastAsia"/>
          <w:color w:val="000000" w:themeColor="text1"/>
          <w:kern w:val="0"/>
          <w:szCs w:val="32"/>
          <w:shd w:val="clear" w:color="auto" w:fill="FFFFFF"/>
        </w:rPr>
        <w:t>10</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3.在“支出控制”方面，我单位202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年日常公用经费、项目支出中“办公费、印刷费、水费、电费、物业管理费”年初预算额</w:t>
      </w:r>
      <w:r>
        <w:rPr>
          <w:rFonts w:ascii="方正仿宋_GBK" w:eastAsia="方正仿宋_GBK" w:hAnsi="方正仿宋_GBK" w:cs="方正仿宋_GBK" w:hint="eastAsia"/>
          <w:color w:val="000000" w:themeColor="text1"/>
          <w:kern w:val="0"/>
          <w:szCs w:val="32"/>
          <w:shd w:val="clear" w:color="auto" w:fill="FFFFFF"/>
        </w:rPr>
        <w:t>29.80</w:t>
      </w:r>
      <w:r>
        <w:rPr>
          <w:rFonts w:ascii="方正仿宋_GBK" w:eastAsia="方正仿宋_GBK" w:hAnsi="方正仿宋_GBK" w:cs="方正仿宋_GBK" w:hint="eastAsia"/>
          <w:color w:val="000000" w:themeColor="text1"/>
          <w:kern w:val="0"/>
          <w:szCs w:val="32"/>
          <w:shd w:val="clear" w:color="auto" w:fill="FFFFFF"/>
          <w:lang w:val="zh-CN"/>
        </w:rPr>
        <w:t>万元，年末决算数</w:t>
      </w:r>
      <w:r>
        <w:rPr>
          <w:rFonts w:ascii="方正仿宋_GBK" w:eastAsia="方正仿宋_GBK" w:hAnsi="方正仿宋_GBK" w:cs="方正仿宋_GBK" w:hint="eastAsia"/>
          <w:color w:val="000000" w:themeColor="text1"/>
          <w:kern w:val="0"/>
          <w:szCs w:val="32"/>
          <w:shd w:val="clear" w:color="auto" w:fill="FFFFFF"/>
        </w:rPr>
        <w:t>32.99</w:t>
      </w:r>
      <w:r>
        <w:rPr>
          <w:rFonts w:ascii="方正仿宋_GBK" w:eastAsia="方正仿宋_GBK" w:hAnsi="方正仿宋_GBK" w:cs="方正仿宋_GBK" w:hint="eastAsia"/>
          <w:color w:val="000000" w:themeColor="text1"/>
          <w:kern w:val="0"/>
          <w:szCs w:val="32"/>
          <w:shd w:val="clear" w:color="auto" w:fill="FFFFFF"/>
          <w:lang w:val="zh-CN"/>
        </w:rPr>
        <w:t>万元，偏差度</w:t>
      </w:r>
      <w:r>
        <w:rPr>
          <w:rFonts w:ascii="方正仿宋_GBK" w:eastAsia="方正仿宋_GBK" w:hAnsi="方正仿宋_GBK" w:cs="方正仿宋_GBK" w:hint="eastAsia"/>
          <w:color w:val="000000" w:themeColor="text1"/>
          <w:kern w:val="0"/>
          <w:szCs w:val="32"/>
          <w:shd w:val="clear" w:color="auto" w:fill="FFFFFF"/>
        </w:rPr>
        <w:t>10.70</w:t>
      </w:r>
      <w:r>
        <w:rPr>
          <w:rFonts w:ascii="方正仿宋_GBK" w:eastAsia="方正仿宋_GBK" w:hAnsi="方正仿宋_GBK" w:cs="方正仿宋_GBK" w:hint="eastAsia"/>
          <w:color w:val="000000" w:themeColor="text1"/>
          <w:kern w:val="0"/>
          <w:szCs w:val="32"/>
          <w:shd w:val="clear" w:color="auto" w:fill="FFFFFF"/>
          <w:lang w:val="zh-CN"/>
        </w:rPr>
        <w:t>%。该项指标分值为</w:t>
      </w:r>
      <w:r>
        <w:rPr>
          <w:rFonts w:ascii="方正仿宋_GBK" w:eastAsia="方正仿宋_GBK" w:hAnsi="方正仿宋_GBK" w:cs="方正仿宋_GBK" w:hint="eastAsia"/>
          <w:color w:val="000000" w:themeColor="text1"/>
          <w:kern w:val="0"/>
          <w:szCs w:val="32"/>
          <w:shd w:val="clear" w:color="auto" w:fill="FFFFFF"/>
        </w:rPr>
        <w:t>1</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4.在“及时处置”方面，当部门绩效监控调整取消额（</w:t>
      </w:r>
      <w:r>
        <w:rPr>
          <w:rFonts w:ascii="方正仿宋_GBK" w:eastAsia="方正仿宋_GBK" w:hAnsi="方正仿宋_GBK" w:cs="方正仿宋_GBK" w:hint="eastAsia"/>
          <w:color w:val="000000" w:themeColor="text1"/>
          <w:kern w:val="0"/>
          <w:szCs w:val="32"/>
          <w:shd w:val="clear" w:color="auto" w:fill="FFFFFF"/>
        </w:rPr>
        <w:t>0</w:t>
      </w:r>
      <w:r>
        <w:rPr>
          <w:rFonts w:ascii="方正仿宋_GBK" w:eastAsia="方正仿宋_GBK" w:hAnsi="方正仿宋_GBK" w:cs="方正仿宋_GBK" w:hint="eastAsia"/>
          <w:color w:val="000000" w:themeColor="text1"/>
          <w:kern w:val="0"/>
          <w:szCs w:val="32"/>
          <w:shd w:val="clear" w:color="auto" w:fill="FFFFFF"/>
          <w:lang w:val="zh-CN"/>
        </w:rPr>
        <w:t>万元）和结余注销额（</w:t>
      </w:r>
      <w:r>
        <w:rPr>
          <w:rFonts w:ascii="方正仿宋_GBK" w:eastAsia="方正仿宋_GBK" w:hAnsi="方正仿宋_GBK" w:cs="方正仿宋_GBK" w:hint="eastAsia"/>
          <w:color w:val="000000" w:themeColor="text1"/>
          <w:kern w:val="0"/>
          <w:szCs w:val="32"/>
          <w:shd w:val="clear" w:color="auto" w:fill="FFFFFF"/>
        </w:rPr>
        <w:t>0</w:t>
      </w:r>
      <w:r>
        <w:rPr>
          <w:rFonts w:ascii="方正仿宋_GBK" w:eastAsia="方正仿宋_GBK" w:hAnsi="方正仿宋_GBK" w:cs="方正仿宋_GBK" w:hint="eastAsia"/>
          <w:color w:val="000000" w:themeColor="text1"/>
          <w:kern w:val="0"/>
          <w:szCs w:val="32"/>
          <w:shd w:val="clear" w:color="auto" w:fill="FFFFFF"/>
          <w:lang w:val="zh-CN"/>
        </w:rPr>
        <w:t>万元）均不为零时，该项指标分值为4分，指标自评得分4分。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5.在“执行进度”方面，根据系统提取数据显示，我单位202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年6月、9月、11月执行进度分别为</w:t>
      </w:r>
      <w:r>
        <w:rPr>
          <w:rFonts w:ascii="方正仿宋_GBK" w:eastAsia="方正仿宋_GBK" w:hAnsi="方正仿宋_GBK" w:cs="方正仿宋_GBK" w:hint="eastAsia"/>
          <w:color w:val="000000" w:themeColor="text1"/>
          <w:kern w:val="0"/>
          <w:szCs w:val="32"/>
          <w:shd w:val="clear" w:color="auto" w:fill="FFFFFF"/>
        </w:rPr>
        <w:t>40</w:t>
      </w:r>
      <w:r>
        <w:rPr>
          <w:rFonts w:ascii="方正仿宋_GBK" w:eastAsia="方正仿宋_GBK" w:hAnsi="方正仿宋_GBK" w:cs="方正仿宋_GBK" w:hint="eastAsia"/>
          <w:color w:val="000000" w:themeColor="text1"/>
          <w:kern w:val="0"/>
          <w:szCs w:val="32"/>
          <w:shd w:val="clear" w:color="auto" w:fill="FFFFFF"/>
          <w:lang w:val="zh-CN"/>
        </w:rPr>
        <w:t>%、</w:t>
      </w:r>
      <w:r>
        <w:rPr>
          <w:rFonts w:ascii="方正仿宋_GBK" w:eastAsia="方正仿宋_GBK" w:hAnsi="方正仿宋_GBK" w:cs="方正仿宋_GBK" w:hint="eastAsia"/>
          <w:color w:val="000000" w:themeColor="text1"/>
          <w:kern w:val="0"/>
          <w:szCs w:val="32"/>
          <w:shd w:val="clear" w:color="auto" w:fill="FFFFFF"/>
        </w:rPr>
        <w:t>60</w:t>
      </w:r>
      <w:r>
        <w:rPr>
          <w:rFonts w:ascii="方正仿宋_GBK" w:eastAsia="方正仿宋_GBK" w:hAnsi="方正仿宋_GBK" w:cs="方正仿宋_GBK" w:hint="eastAsia"/>
          <w:color w:val="000000" w:themeColor="text1"/>
          <w:kern w:val="0"/>
          <w:szCs w:val="32"/>
          <w:shd w:val="clear" w:color="auto" w:fill="FFFFFF"/>
          <w:lang w:val="zh-CN"/>
        </w:rPr>
        <w:t xml:space="preserve">%、 </w:t>
      </w:r>
      <w:r>
        <w:rPr>
          <w:rFonts w:ascii="方正仿宋_GBK" w:eastAsia="方正仿宋_GBK" w:hAnsi="方正仿宋_GBK" w:cs="方正仿宋_GBK" w:hint="eastAsia"/>
          <w:color w:val="000000" w:themeColor="text1"/>
          <w:kern w:val="0"/>
          <w:szCs w:val="32"/>
          <w:shd w:val="clear" w:color="auto" w:fill="FFFFFF"/>
        </w:rPr>
        <w:t>80</w:t>
      </w:r>
      <w:r>
        <w:rPr>
          <w:rFonts w:ascii="方正仿宋_GBK" w:eastAsia="方正仿宋_GBK" w:hAnsi="方正仿宋_GBK" w:cs="方正仿宋_GBK" w:hint="eastAsia"/>
          <w:color w:val="000000" w:themeColor="text1"/>
          <w:kern w:val="0"/>
          <w:szCs w:val="32"/>
          <w:shd w:val="clear" w:color="auto" w:fill="FFFFFF"/>
          <w:lang w:val="zh-CN"/>
        </w:rPr>
        <w:t>%. 该项指标分值为4分，按其实际进度占目标进度的比重计算得分</w:t>
      </w:r>
      <w:r>
        <w:rPr>
          <w:rFonts w:ascii="方正仿宋_GBK" w:eastAsia="方正仿宋_GBK" w:hAnsi="方正仿宋_GBK" w:cs="方正仿宋_GBK" w:hint="eastAsia"/>
          <w:color w:val="000000" w:themeColor="text1"/>
          <w:kern w:val="0"/>
          <w:szCs w:val="32"/>
          <w:shd w:val="clear" w:color="auto" w:fill="FFFFFF"/>
        </w:rPr>
        <w:t>1</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6.在“预算完成”方面，部门预算项目年末预算执行进度</w:t>
      </w:r>
      <w:r>
        <w:rPr>
          <w:rFonts w:ascii="方正仿宋_GBK" w:eastAsia="方正仿宋_GBK" w:hAnsi="方正仿宋_GBK" w:cs="方正仿宋_GBK" w:hint="eastAsia"/>
          <w:color w:val="000000" w:themeColor="text1"/>
          <w:kern w:val="0"/>
          <w:szCs w:val="32"/>
          <w:shd w:val="clear" w:color="auto" w:fill="FFFFFF"/>
        </w:rPr>
        <w:t>100</w:t>
      </w:r>
      <w:r>
        <w:rPr>
          <w:rFonts w:ascii="方正仿宋_GBK" w:eastAsia="方正仿宋_GBK" w:hAnsi="方正仿宋_GBK" w:cs="方正仿宋_GBK" w:hint="eastAsia"/>
          <w:color w:val="000000" w:themeColor="text1"/>
          <w:kern w:val="0"/>
          <w:szCs w:val="32"/>
          <w:shd w:val="clear" w:color="auto" w:fill="FFFFFF"/>
          <w:lang w:val="zh-CN"/>
        </w:rPr>
        <w:t>%。该项指标分值为5分，按照实际进度量化计算得分</w:t>
      </w:r>
      <w:r>
        <w:rPr>
          <w:rFonts w:ascii="方正仿宋_GBK" w:eastAsia="方正仿宋_GBK" w:hAnsi="方正仿宋_GBK" w:cs="方正仿宋_GBK" w:hint="eastAsia"/>
          <w:color w:val="000000" w:themeColor="text1"/>
          <w:kern w:val="0"/>
          <w:szCs w:val="32"/>
          <w:shd w:val="clear" w:color="auto" w:fill="FFFFFF"/>
        </w:rPr>
        <w:t>5</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lastRenderedPageBreak/>
        <w:t>7.在“资金结余率”方面，我部门单位部门预算项目共</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项，资金余率小于</w:t>
      </w:r>
      <w:r>
        <w:rPr>
          <w:rFonts w:ascii="方正仿宋_GBK" w:eastAsia="方正仿宋_GBK" w:hAnsi="方正仿宋_GBK" w:cs="方正仿宋_GBK" w:hint="eastAsia"/>
          <w:color w:val="000000" w:themeColor="text1"/>
          <w:kern w:val="0"/>
          <w:szCs w:val="32"/>
          <w:shd w:val="clear" w:color="auto" w:fill="FFFFFF"/>
        </w:rPr>
        <w:t>0.1</w:t>
      </w:r>
      <w:r>
        <w:rPr>
          <w:rFonts w:ascii="方正仿宋_GBK" w:eastAsia="方正仿宋_GBK" w:hAnsi="方正仿宋_GBK" w:cs="方正仿宋_GBK" w:hint="eastAsia"/>
          <w:color w:val="000000" w:themeColor="text1"/>
          <w:kern w:val="0"/>
          <w:szCs w:val="32"/>
          <w:shd w:val="clear" w:color="auto" w:fill="FFFFFF"/>
          <w:lang w:val="zh-CN"/>
        </w:rPr>
        <w:t>的项目数</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项。该项指标分值为8分，按照相应量化计算得分</w:t>
      </w:r>
      <w:r>
        <w:rPr>
          <w:rFonts w:ascii="方正仿宋_GBK" w:eastAsia="方正仿宋_GBK" w:hAnsi="方正仿宋_GBK" w:cs="方正仿宋_GBK" w:hint="eastAsia"/>
          <w:color w:val="000000" w:themeColor="text1"/>
          <w:kern w:val="0"/>
          <w:szCs w:val="32"/>
          <w:shd w:val="clear" w:color="auto" w:fill="FFFFFF"/>
        </w:rPr>
        <w:t>8</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8.在违规记录上，我单位202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年没有出现部门预算管理方面违纪违规问题。该项指标分值为2分，自评得分2分。</w:t>
      </w:r>
      <w:bookmarkStart w:id="3" w:name="_Toc110955069"/>
    </w:p>
    <w:p w:rsidR="00104EF6" w:rsidRDefault="00197FDB">
      <w:pPr>
        <w:spacing w:line="578" w:lineRule="exact"/>
        <w:ind w:firstLineChars="200" w:firstLine="640"/>
        <w:outlineLvl w:val="2"/>
        <w:rPr>
          <w:rFonts w:ascii="方正楷体_GBK" w:eastAsia="方正楷体_GBK" w:hAnsi="方正楷体_GBK" w:cs="方正楷体_GBK"/>
          <w:b/>
          <w:bCs/>
          <w:color w:val="000000" w:themeColor="text1"/>
          <w:kern w:val="0"/>
          <w:szCs w:val="32"/>
          <w:highlight w:val="yellow"/>
        </w:rPr>
      </w:pPr>
      <w:r>
        <w:rPr>
          <w:rFonts w:ascii="方正楷体_GBK" w:eastAsia="方正楷体_GBK" w:hAnsi="方正楷体_GBK" w:cs="方正楷体_GBK" w:hint="eastAsia"/>
          <w:b/>
          <w:bCs/>
          <w:color w:val="000000" w:themeColor="text1"/>
          <w:kern w:val="0"/>
          <w:szCs w:val="32"/>
        </w:rPr>
        <w:t>（三）专项预算管理</w:t>
      </w:r>
      <w:bookmarkEnd w:id="3"/>
    </w:p>
    <w:p w:rsidR="00104EF6" w:rsidRDefault="00197FDB">
      <w:pPr>
        <w:keepLines/>
        <w:tabs>
          <w:tab w:val="left" w:pos="676"/>
        </w:tabs>
        <w:spacing w:line="578" w:lineRule="exact"/>
        <w:ind w:right="1120" w:firstLineChars="200" w:firstLine="640"/>
        <w:rPr>
          <w:rFonts w:ascii="方正楷体_GBK" w:eastAsia="方正楷体_GBK" w:hAnsi="方正楷体_GBK" w:cs="方正楷体_GBK"/>
          <w:color w:val="000000" w:themeColor="text1"/>
          <w:szCs w:val="32"/>
        </w:rPr>
      </w:pPr>
      <w:r>
        <w:rPr>
          <w:rFonts w:ascii="方正楷体_GBK" w:eastAsia="方正楷体_GBK" w:hAnsi="方正楷体_GBK" w:cs="方正楷体_GBK" w:hint="eastAsia"/>
          <w:color w:val="000000" w:themeColor="text1"/>
          <w:szCs w:val="32"/>
        </w:rPr>
        <w:t>1.专项绩效的预算情况</w:t>
      </w:r>
    </w:p>
    <w:p w:rsidR="00104EF6" w:rsidRDefault="00197FDB">
      <w:pPr>
        <w:spacing w:line="578" w:lineRule="exact"/>
        <w:ind w:firstLineChars="200" w:firstLine="64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2022年度共有3个项目，主要专项绩效预算情况为：</w:t>
      </w:r>
    </w:p>
    <w:p w:rsidR="00104EF6" w:rsidRDefault="00197FDB">
      <w:pPr>
        <w:spacing w:line="578" w:lineRule="exact"/>
        <w:ind w:firstLineChars="200" w:firstLine="64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1）营养餐专项项目12.54万元，全年目标为2022年内计划发放营养餐改善计划补助资金12.54万元，涉及补助学生人数132名，目的是改善农村义务教育学生的营养状况，提高农村义务教育学生的健康水平，促进城乡义务教育健康持续发展。2022年实际完成12.54万元工作任务，已完成100%；</w:t>
      </w:r>
    </w:p>
    <w:p w:rsidR="00104EF6" w:rsidRDefault="00197FDB">
      <w:pPr>
        <w:spacing w:line="578" w:lineRule="exact"/>
        <w:ind w:firstLineChars="200" w:firstLine="64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2）购买安保服务专项项目3.00万元，全年目标为2022年内计划发放学校物业管理服务费3.00万元，涉及补助保安人数2名，目的是维护学校正常教育教学秩序，保障学校及师生的人身、财产安全。2022年实际完成3.00万元工作任务，已完成100%；</w:t>
      </w:r>
    </w:p>
    <w:p w:rsidR="00104EF6" w:rsidRDefault="00197FDB">
      <w:pPr>
        <w:spacing w:line="578" w:lineRule="exact"/>
        <w:ind w:firstLineChars="200" w:firstLine="64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3）食堂购买服务专项项目3.30万元，全年目标为2022年内计划发放食堂从业人员劳务服务报酬补贴3.30万元，涉及补助食堂从业人员人数2名，目的是建立健全农村义务教育学生营养改善计划长效保障机制和保障学校食堂从业人员相关权益。2022年实际完成3.30万元工作任务，已完成100%；</w:t>
      </w:r>
    </w:p>
    <w:p w:rsidR="00104EF6" w:rsidRDefault="00104EF6">
      <w:pPr>
        <w:pStyle w:val="a0"/>
      </w:pPr>
    </w:p>
    <w:p w:rsidR="00104EF6" w:rsidRDefault="00197FDB">
      <w:pPr>
        <w:spacing w:line="578" w:lineRule="exact"/>
        <w:ind w:firstLineChars="300" w:firstLine="960"/>
        <w:rPr>
          <w:rFonts w:ascii="方正楷体_GBK" w:eastAsia="方正楷体_GBK" w:hAnsi="方正楷体_GBK" w:cs="方正楷体_GBK"/>
          <w:bCs/>
          <w:color w:val="000000" w:themeColor="text1"/>
          <w:kern w:val="0"/>
          <w:szCs w:val="32"/>
        </w:rPr>
      </w:pPr>
      <w:r>
        <w:rPr>
          <w:rFonts w:ascii="方正楷体_GBK" w:eastAsia="方正楷体_GBK" w:hAnsi="方正楷体_GBK" w:cs="方正楷体_GBK" w:hint="eastAsia"/>
          <w:bCs/>
          <w:color w:val="000000" w:themeColor="text1"/>
          <w:kern w:val="0"/>
          <w:szCs w:val="32"/>
        </w:rPr>
        <w:lastRenderedPageBreak/>
        <w:t>2.专项绩效的执行情况</w:t>
      </w:r>
    </w:p>
    <w:p w:rsidR="00104EF6" w:rsidRDefault="00197FDB">
      <w:pPr>
        <w:spacing w:line="578" w:lineRule="exact"/>
        <w:ind w:firstLineChars="250" w:firstLine="80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绩效目标项目年初有3个，开展绩效评价项目3个，开展自评项目数3个，完成绩效评价数3个；应填报绩效目标的项目数3个、应开展绩效监控的项目0个和应开展绩效自评项目3个，应完成绩效工作数为3个。项目执行达100%以上的项目3项，项目综合完成率为100%。</w:t>
      </w:r>
    </w:p>
    <w:p w:rsidR="00104EF6" w:rsidRDefault="00197FDB">
      <w:pPr>
        <w:spacing w:line="578" w:lineRule="exact"/>
        <w:ind w:firstLineChars="150" w:firstLine="480"/>
        <w:rPr>
          <w:rFonts w:ascii="方正仿宋_GBK" w:eastAsia="方正仿宋_GBK" w:hAnsi="方正仿宋_GBK" w:cs="方正仿宋_GBK"/>
          <w:bCs/>
          <w:color w:val="000000" w:themeColor="text1"/>
          <w:kern w:val="0"/>
          <w:szCs w:val="32"/>
        </w:rPr>
      </w:pPr>
      <w:r>
        <w:rPr>
          <w:rFonts w:ascii="方正仿宋_GBK" w:eastAsia="方正仿宋_GBK" w:hAnsi="方正仿宋_GBK" w:cs="方正仿宋_GBK" w:hint="eastAsia"/>
          <w:bCs/>
          <w:color w:val="000000" w:themeColor="text1"/>
          <w:kern w:val="0"/>
          <w:szCs w:val="32"/>
        </w:rPr>
        <w:t>专项预算管理分值为40分，自评得分为40分。</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w:t>
      </w:r>
      <w:r>
        <w:rPr>
          <w:rFonts w:ascii="方正楷体_GBK" w:eastAsia="方正楷体_GBK" w:hAnsi="方正楷体_GBK" w:cs="方正楷体_GBK" w:hint="eastAsia"/>
          <w:color w:val="000000" w:themeColor="text1"/>
          <w:kern w:val="0"/>
          <w:szCs w:val="32"/>
          <w:shd w:val="clear" w:color="auto" w:fill="FFFFFF"/>
        </w:rPr>
        <w:t>四</w:t>
      </w:r>
      <w:r>
        <w:rPr>
          <w:rFonts w:ascii="方正楷体_GBK" w:eastAsia="方正楷体_GBK" w:hAnsi="方正楷体_GBK" w:cs="方正楷体_GBK" w:hint="eastAsia"/>
          <w:color w:val="000000" w:themeColor="text1"/>
          <w:kern w:val="0"/>
          <w:szCs w:val="32"/>
          <w:shd w:val="clear" w:color="auto" w:fill="FFFFFF"/>
          <w:lang w:val="zh-CN"/>
        </w:rPr>
        <w:t>）结果应用情况</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1.在“预算挂钩”方面，我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已出台全面实施预算绩效管理工作方案，细化考核内容，加强各业务</w:t>
      </w:r>
      <w:r>
        <w:rPr>
          <w:rFonts w:ascii="方正仿宋_GBK" w:eastAsia="方正仿宋_GBK" w:hAnsi="方正仿宋_GBK" w:cs="方正仿宋_GBK" w:hint="eastAsia"/>
          <w:color w:val="000000" w:themeColor="text1"/>
          <w:kern w:val="0"/>
          <w:szCs w:val="32"/>
          <w:shd w:val="clear" w:color="auto" w:fill="FFFFFF"/>
        </w:rPr>
        <w:t>股</w:t>
      </w:r>
      <w:r>
        <w:rPr>
          <w:rFonts w:ascii="方正仿宋_GBK" w:eastAsia="方正仿宋_GBK" w:hAnsi="方正仿宋_GBK" w:cs="方正仿宋_GBK" w:hint="eastAsia"/>
          <w:color w:val="000000" w:themeColor="text1"/>
          <w:kern w:val="0"/>
          <w:szCs w:val="32"/>
          <w:shd w:val="clear" w:color="auto" w:fill="FFFFFF"/>
          <w:lang w:val="zh-CN"/>
        </w:rPr>
        <w:t>室与绩效管理工作的联系，明确考核及绩效结果与专项预算安排挂钩举措，推动绩效管理工作更好的实施。该项指标分值为4分，自评得分</w:t>
      </w:r>
      <w:r>
        <w:rPr>
          <w:rFonts w:ascii="方正仿宋_GBK" w:eastAsia="方正仿宋_GBK" w:hAnsi="方正仿宋_GBK" w:cs="方正仿宋_GBK" w:hint="eastAsia"/>
          <w:color w:val="000000" w:themeColor="text1"/>
          <w:kern w:val="0"/>
          <w:szCs w:val="32"/>
          <w:shd w:val="clear" w:color="auto" w:fill="FFFFFF"/>
        </w:rPr>
        <w:t>4</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2.在“自评公开”方面，我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严格按照预决算编制要求编制绩效目标，填列绩效目标完成情况，开展绩效自评工作，并按要求将相关绩效信息随部门预算决一并在厅门户网站公开。该项指.标分值为2分，自评得分</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3.在“问题整改”方面，结合部门预算项目实际情况，绩效目标设置要素完整也基本做到细化量化；对发现执行进度偏低的项目，要求各业务</w:t>
      </w:r>
      <w:r>
        <w:rPr>
          <w:rFonts w:ascii="方正仿宋_GBK" w:eastAsia="方正仿宋_GBK" w:hAnsi="方正仿宋_GBK" w:cs="方正仿宋_GBK" w:hint="eastAsia"/>
          <w:color w:val="000000" w:themeColor="text1"/>
          <w:kern w:val="0"/>
          <w:szCs w:val="32"/>
          <w:shd w:val="clear" w:color="auto" w:fill="FFFFFF"/>
        </w:rPr>
        <w:t>股</w:t>
      </w:r>
      <w:r>
        <w:rPr>
          <w:rFonts w:ascii="方正仿宋_GBK" w:eastAsia="方正仿宋_GBK" w:hAnsi="方正仿宋_GBK" w:cs="方正仿宋_GBK" w:hint="eastAsia"/>
          <w:color w:val="000000" w:themeColor="text1"/>
          <w:kern w:val="0"/>
          <w:szCs w:val="32"/>
          <w:shd w:val="clear" w:color="auto" w:fill="FFFFFF"/>
          <w:lang w:val="zh-CN"/>
        </w:rPr>
        <w:t>室加快预算执行进度；针对我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原内部考核办法有关预算绩效考核的内容不够完善且难以量化考核的情况，及时完善了相关考核办法，细化考核指标。该项指标分值为2分，自评得分</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lastRenderedPageBreak/>
        <w:t>4.在应用反馈上，我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已按要求在规定时间内将预算绩效结果应用结果向财政反馈。该项指标分值为</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分，自评得分</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w:t>
      </w:r>
      <w:r>
        <w:rPr>
          <w:rFonts w:ascii="方正楷体_GBK" w:eastAsia="方正楷体_GBK" w:hAnsi="方正楷体_GBK" w:cs="方正楷体_GBK" w:hint="eastAsia"/>
          <w:color w:val="000000" w:themeColor="text1"/>
          <w:kern w:val="0"/>
          <w:szCs w:val="32"/>
          <w:shd w:val="clear" w:color="auto" w:fill="FFFFFF"/>
        </w:rPr>
        <w:t>五</w:t>
      </w:r>
      <w:r>
        <w:rPr>
          <w:rFonts w:ascii="方正楷体_GBK" w:eastAsia="方正楷体_GBK" w:hAnsi="方正楷体_GBK" w:cs="方正楷体_GBK" w:hint="eastAsia"/>
          <w:color w:val="000000" w:themeColor="text1"/>
          <w:kern w:val="0"/>
          <w:szCs w:val="32"/>
          <w:shd w:val="clear" w:color="auto" w:fill="FFFFFF"/>
          <w:lang w:val="zh-CN"/>
        </w:rPr>
        <w:t>）自评质量情况</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rPr>
        <w:t>我单位</w:t>
      </w:r>
      <w:r>
        <w:rPr>
          <w:rFonts w:ascii="方正仿宋_GBK" w:eastAsia="方正仿宋_GBK" w:hAnsi="方正仿宋_GBK" w:cs="方正仿宋_GBK" w:hint="eastAsia"/>
          <w:color w:val="000000" w:themeColor="text1"/>
          <w:kern w:val="0"/>
          <w:szCs w:val="32"/>
          <w:shd w:val="clear" w:color="auto" w:fill="FFFFFF"/>
          <w:lang w:val="zh-CN"/>
        </w:rPr>
        <w:t>整体支出自评准确率较高，</w:t>
      </w:r>
      <w:r>
        <w:rPr>
          <w:rFonts w:ascii="方正仿宋_GBK" w:eastAsia="方正仿宋_GBK" w:hAnsi="方正仿宋_GBK" w:cs="方正仿宋_GBK" w:hint="eastAsia"/>
          <w:color w:val="000000" w:themeColor="text1"/>
          <w:kern w:val="0"/>
          <w:szCs w:val="32"/>
          <w:shd w:val="clear" w:color="auto" w:fill="FFFFFF"/>
        </w:rPr>
        <w:t>且全面开展自评</w:t>
      </w:r>
      <w:r>
        <w:rPr>
          <w:rFonts w:ascii="方正仿宋_GBK" w:eastAsia="方正仿宋_GBK" w:hAnsi="方正仿宋_GBK" w:cs="方正仿宋_GBK" w:hint="eastAsia"/>
          <w:color w:val="000000" w:themeColor="text1"/>
          <w:kern w:val="0"/>
          <w:szCs w:val="32"/>
          <w:shd w:val="clear" w:color="auto" w:fill="FFFFFF"/>
          <w:lang w:val="zh-CN"/>
        </w:rPr>
        <w:t>。</w:t>
      </w:r>
      <w:r>
        <w:rPr>
          <w:rFonts w:ascii="方正仿宋_GBK" w:eastAsia="方正仿宋_GBK" w:hAnsi="方正仿宋_GBK" w:cs="方正仿宋_GBK" w:hint="eastAsia"/>
          <w:color w:val="000000" w:themeColor="text1"/>
          <w:kern w:val="0"/>
          <w:szCs w:val="32"/>
          <w:shd w:val="clear" w:color="auto" w:fill="FFFFFF"/>
        </w:rPr>
        <w:t>自评质量分值为10分，由主管部门、财政部门考评，单位自评实际总分为90分。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lang w:val="zh-CN"/>
        </w:rPr>
        <w:t>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w:t>
      </w:r>
      <w:r>
        <w:rPr>
          <w:rFonts w:ascii="方正仿宋_GBK" w:eastAsia="方正仿宋_GBK" w:hAnsi="方正仿宋_GBK" w:cs="方正仿宋_GBK" w:hint="eastAsia"/>
          <w:color w:val="000000" w:themeColor="text1"/>
          <w:kern w:val="0"/>
          <w:szCs w:val="32"/>
          <w:shd w:val="clear" w:color="auto" w:fill="FFFFFF"/>
        </w:rPr>
        <w:t>我单位</w:t>
      </w:r>
      <w:r>
        <w:rPr>
          <w:rFonts w:ascii="方正仿宋_GBK" w:eastAsia="方正仿宋_GBK" w:hAnsi="方正仿宋_GBK" w:cs="方正仿宋_GBK" w:hint="eastAsia"/>
          <w:color w:val="000000" w:themeColor="text1"/>
          <w:kern w:val="0"/>
          <w:szCs w:val="32"/>
          <w:shd w:val="clear" w:color="auto" w:fill="FFFFFF"/>
          <w:lang w:val="zh-CN"/>
        </w:rPr>
        <w:t>整体支出绩效自评得分</w:t>
      </w:r>
      <w:r>
        <w:rPr>
          <w:rFonts w:ascii="方正仿宋_GBK" w:eastAsia="方正仿宋_GBK" w:hAnsi="方正仿宋_GBK" w:cs="方正仿宋_GBK" w:hint="eastAsia"/>
          <w:color w:val="000000" w:themeColor="text1"/>
          <w:kern w:val="0"/>
          <w:szCs w:val="32"/>
          <w:shd w:val="clear" w:color="auto" w:fill="FFFFFF"/>
        </w:rPr>
        <w:t>实际为8</w:t>
      </w:r>
      <w:r w:rsidR="002537DC">
        <w:rPr>
          <w:rFonts w:ascii="方正仿宋_GBK" w:eastAsia="方正仿宋_GBK" w:hAnsi="方正仿宋_GBK" w:cs="方正仿宋_GBK" w:hint="eastAsia"/>
          <w:color w:val="000000" w:themeColor="text1"/>
          <w:kern w:val="0"/>
          <w:szCs w:val="32"/>
          <w:shd w:val="clear" w:color="auto" w:fill="FFFFFF"/>
        </w:rPr>
        <w:t>6</w:t>
      </w:r>
      <w:r>
        <w:rPr>
          <w:rFonts w:ascii="方正仿宋_GBK" w:eastAsia="方正仿宋_GBK" w:hAnsi="方正仿宋_GBK" w:cs="方正仿宋_GBK" w:hint="eastAsia"/>
          <w:color w:val="000000" w:themeColor="text1"/>
          <w:kern w:val="0"/>
          <w:szCs w:val="32"/>
          <w:shd w:val="clear" w:color="auto" w:fill="FFFFFF"/>
          <w:lang w:val="zh-CN"/>
        </w:rPr>
        <w:t>分。</w:t>
      </w:r>
    </w:p>
    <w:p w:rsidR="00104EF6" w:rsidRDefault="00197FDB">
      <w:pPr>
        <w:widowControl/>
        <w:adjustRightInd w:val="0"/>
        <w:snapToGrid w:val="0"/>
        <w:spacing w:line="578" w:lineRule="exact"/>
        <w:ind w:firstLineChars="200" w:firstLine="640"/>
        <w:contextualSpacing/>
        <w:jc w:val="left"/>
        <w:rPr>
          <w:rFonts w:ascii="方正黑体_GBK" w:eastAsia="方正黑体_GBK" w:hAnsi="方正黑体_GBK" w:cs="方正黑体_GBK"/>
          <w:color w:val="000000" w:themeColor="text1"/>
          <w:kern w:val="0"/>
          <w:szCs w:val="32"/>
          <w:shd w:val="clear" w:color="auto" w:fill="FFFFFF"/>
          <w:lang w:val="zh-CN"/>
        </w:rPr>
      </w:pPr>
      <w:r>
        <w:rPr>
          <w:rFonts w:ascii="方正黑体_GBK" w:eastAsia="方正黑体_GBK" w:hAnsi="方正黑体_GBK" w:cs="方正黑体_GBK" w:hint="eastAsia"/>
          <w:color w:val="000000" w:themeColor="text1"/>
          <w:kern w:val="0"/>
          <w:szCs w:val="32"/>
          <w:shd w:val="clear" w:color="auto" w:fill="FFFFFF"/>
          <w:lang w:val="zh-CN"/>
        </w:rPr>
        <w:t>四、评价结论及建议</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（一）评价结论</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按照202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年度</w:t>
      </w:r>
      <w:r>
        <w:rPr>
          <w:rFonts w:ascii="方正仿宋_GBK" w:eastAsia="方正仿宋_GBK" w:hAnsi="方正仿宋_GBK" w:cs="方正仿宋_GBK" w:hint="eastAsia"/>
          <w:color w:val="000000" w:themeColor="text1"/>
          <w:kern w:val="0"/>
          <w:szCs w:val="32"/>
          <w:shd w:val="clear" w:color="auto" w:fill="FFFFFF"/>
        </w:rPr>
        <w:t>区</w:t>
      </w:r>
      <w:r>
        <w:rPr>
          <w:rFonts w:ascii="方正仿宋_GBK" w:eastAsia="方正仿宋_GBK" w:hAnsi="方正仿宋_GBK" w:cs="方正仿宋_GBK" w:hint="eastAsia"/>
          <w:color w:val="000000" w:themeColor="text1"/>
          <w:kern w:val="0"/>
          <w:szCs w:val="32"/>
          <w:shd w:val="clear" w:color="auto" w:fill="FFFFFF"/>
          <w:lang w:val="zh-CN"/>
        </w:rPr>
        <w:t>级部门整体支出绩效评价指标体系，绩效评价总分</w:t>
      </w:r>
      <w:r>
        <w:rPr>
          <w:rFonts w:ascii="方正仿宋_GBK" w:eastAsia="方正仿宋_GBK" w:hAnsi="方正仿宋_GBK" w:cs="方正仿宋_GBK" w:hint="eastAsia"/>
          <w:color w:val="000000" w:themeColor="text1"/>
          <w:kern w:val="0"/>
          <w:szCs w:val="32"/>
          <w:shd w:val="clear" w:color="auto" w:fill="FFFFFF"/>
        </w:rPr>
        <w:t>90</w:t>
      </w:r>
      <w:r>
        <w:rPr>
          <w:rFonts w:ascii="方正仿宋_GBK" w:eastAsia="方正仿宋_GBK" w:hAnsi="方正仿宋_GBK" w:cs="方正仿宋_GBK" w:hint="eastAsia"/>
          <w:color w:val="000000" w:themeColor="text1"/>
          <w:kern w:val="0"/>
          <w:szCs w:val="32"/>
          <w:shd w:val="clear" w:color="auto" w:fill="FFFFFF"/>
          <w:lang w:val="zh-CN"/>
        </w:rPr>
        <w:t>分，我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得分</w:t>
      </w:r>
      <w:r>
        <w:rPr>
          <w:rFonts w:ascii="方正仿宋_GBK" w:eastAsia="方正仿宋_GBK" w:hAnsi="方正仿宋_GBK" w:cs="方正仿宋_GBK" w:hint="eastAsia"/>
          <w:color w:val="000000" w:themeColor="text1"/>
          <w:kern w:val="0"/>
          <w:szCs w:val="32"/>
          <w:shd w:val="clear" w:color="auto" w:fill="FFFFFF"/>
        </w:rPr>
        <w:t>8</w:t>
      </w:r>
      <w:r w:rsidR="002537DC">
        <w:rPr>
          <w:rFonts w:ascii="方正仿宋_GBK" w:eastAsia="方正仿宋_GBK" w:hAnsi="方正仿宋_GBK" w:cs="方正仿宋_GBK" w:hint="eastAsia"/>
          <w:color w:val="000000" w:themeColor="text1"/>
          <w:kern w:val="0"/>
          <w:szCs w:val="32"/>
          <w:shd w:val="clear" w:color="auto" w:fill="FFFFFF"/>
        </w:rPr>
        <w:t>6</w:t>
      </w:r>
      <w:r>
        <w:rPr>
          <w:rFonts w:ascii="方正仿宋_GBK" w:eastAsia="方正仿宋_GBK" w:hAnsi="方正仿宋_GBK" w:cs="方正仿宋_GBK" w:hint="eastAsia"/>
          <w:color w:val="000000" w:themeColor="text1"/>
          <w:kern w:val="0"/>
          <w:szCs w:val="32"/>
          <w:shd w:val="clear" w:color="auto" w:fill="FFFFFF"/>
          <w:lang w:val="zh-CN"/>
        </w:rPr>
        <w:t>分（</w:t>
      </w:r>
      <w:r>
        <w:rPr>
          <w:rFonts w:ascii="方正仿宋_GBK" w:eastAsia="方正仿宋_GBK" w:hAnsi="方正仿宋_GBK" w:cs="方正仿宋_GBK" w:hint="eastAsia"/>
          <w:color w:val="000000" w:themeColor="text1"/>
          <w:kern w:val="0"/>
          <w:szCs w:val="32"/>
          <w:shd w:val="clear" w:color="auto" w:fill="FFFFFF"/>
        </w:rPr>
        <w:t>详见《2023年整体支出绩效评价指标体系表》）。</w:t>
      </w:r>
      <w:r>
        <w:rPr>
          <w:rFonts w:ascii="方正仿宋_GBK" w:eastAsia="方正仿宋_GBK" w:hAnsi="方正仿宋_GBK" w:cs="方正仿宋_GBK" w:hint="eastAsia"/>
          <w:color w:val="000000" w:themeColor="text1"/>
          <w:kern w:val="0"/>
          <w:szCs w:val="32"/>
          <w:shd w:val="clear" w:color="auto" w:fill="FFFFFF"/>
          <w:lang w:val="zh-CN"/>
        </w:rPr>
        <w:t>基本完成了年度预算绩效管理目标，扣分项主要涉及预算调整金额偏大和个别时间节点预算执行进度不高。</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（二）存在问题</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一是绩效管理意识还有待加强。 绩效管理目标细化量化方式较为单一，前期对预算项目定位、功能、实施内容梳理不够深入，项目资金绩效目标设置不够合理。</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lang w:val="zh-CN"/>
        </w:rPr>
      </w:pPr>
      <w:r>
        <w:rPr>
          <w:rFonts w:ascii="方正仿宋_GBK" w:eastAsia="方正仿宋_GBK" w:hAnsi="方正仿宋_GBK" w:cs="方正仿宋_GBK" w:hint="eastAsia"/>
          <w:color w:val="000000" w:themeColor="text1"/>
          <w:kern w:val="0"/>
          <w:szCs w:val="32"/>
          <w:shd w:val="clear" w:color="auto" w:fill="FFFFFF"/>
          <w:lang w:val="zh-CN"/>
        </w:rPr>
        <w:t>二是预算执行力度不强，预算执行进度偏慢。</w:t>
      </w:r>
    </w:p>
    <w:p w:rsidR="00104EF6" w:rsidRDefault="00197FDB">
      <w:pPr>
        <w:widowControl/>
        <w:adjustRightInd w:val="0"/>
        <w:snapToGrid w:val="0"/>
        <w:spacing w:line="578" w:lineRule="exact"/>
        <w:ind w:firstLineChars="200" w:firstLine="640"/>
        <w:contextualSpacing/>
        <w:jc w:val="left"/>
        <w:rPr>
          <w:rFonts w:ascii="方正楷体_GBK" w:eastAsia="方正楷体_GBK" w:hAnsi="方正楷体_GBK" w:cs="方正楷体_GBK"/>
          <w:color w:val="000000" w:themeColor="text1"/>
          <w:kern w:val="0"/>
          <w:szCs w:val="32"/>
          <w:shd w:val="clear" w:color="auto" w:fill="FFFFFF"/>
          <w:lang w:val="zh-CN"/>
        </w:rPr>
      </w:pPr>
      <w:r>
        <w:rPr>
          <w:rFonts w:ascii="方正楷体_GBK" w:eastAsia="方正楷体_GBK" w:hAnsi="方正楷体_GBK" w:cs="方正楷体_GBK" w:hint="eastAsia"/>
          <w:color w:val="000000" w:themeColor="text1"/>
          <w:kern w:val="0"/>
          <w:szCs w:val="32"/>
          <w:shd w:val="clear" w:color="auto" w:fill="FFFFFF"/>
          <w:lang w:val="zh-CN"/>
        </w:rPr>
        <w:t>（三）改进措施</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202</w:t>
      </w:r>
      <w:r>
        <w:rPr>
          <w:rFonts w:ascii="方正仿宋_GBK" w:eastAsia="方正仿宋_GBK" w:hAnsi="方正仿宋_GBK" w:cs="方正仿宋_GBK" w:hint="eastAsia"/>
          <w:color w:val="000000" w:themeColor="text1"/>
          <w:kern w:val="0"/>
          <w:szCs w:val="32"/>
          <w:shd w:val="clear" w:color="auto" w:fill="FFFFFF"/>
        </w:rPr>
        <w:t>3</w:t>
      </w:r>
      <w:r>
        <w:rPr>
          <w:rFonts w:ascii="方正仿宋_GBK" w:eastAsia="方正仿宋_GBK" w:hAnsi="方正仿宋_GBK" w:cs="方正仿宋_GBK" w:hint="eastAsia"/>
          <w:color w:val="000000" w:themeColor="text1"/>
          <w:kern w:val="0"/>
          <w:szCs w:val="32"/>
          <w:shd w:val="clear" w:color="auto" w:fill="FFFFFF"/>
          <w:lang w:val="zh-CN"/>
        </w:rPr>
        <w:t>年，我</w:t>
      </w:r>
      <w:r>
        <w:rPr>
          <w:rFonts w:ascii="方正仿宋_GBK" w:eastAsia="方正仿宋_GBK" w:hAnsi="方正仿宋_GBK" w:cs="方正仿宋_GBK" w:hint="eastAsia"/>
          <w:color w:val="000000" w:themeColor="text1"/>
          <w:kern w:val="0"/>
          <w:szCs w:val="32"/>
          <w:shd w:val="clear" w:color="auto" w:fill="FFFFFF"/>
        </w:rPr>
        <w:t>单位</w:t>
      </w:r>
      <w:r>
        <w:rPr>
          <w:rFonts w:ascii="方正仿宋_GBK" w:eastAsia="方正仿宋_GBK" w:hAnsi="方正仿宋_GBK" w:cs="方正仿宋_GBK" w:hint="eastAsia"/>
          <w:color w:val="000000" w:themeColor="text1"/>
          <w:kern w:val="0"/>
          <w:szCs w:val="32"/>
          <w:shd w:val="clear" w:color="auto" w:fill="FFFFFF"/>
          <w:lang w:val="zh-CN"/>
        </w:rPr>
        <w:t>将采取以下措施，提升预算绩效工作水平。一是继续加强预算统筹调控，把握工作重点，加强沟通协调，按照“统筹兼顾、突出重点、厉行节约、讲求效益”的原则统筹预</w:t>
      </w:r>
      <w:r>
        <w:rPr>
          <w:rFonts w:ascii="方正仿宋_GBK" w:eastAsia="方正仿宋_GBK" w:hAnsi="方正仿宋_GBK" w:cs="方正仿宋_GBK" w:hint="eastAsia"/>
          <w:color w:val="000000" w:themeColor="text1"/>
          <w:kern w:val="0"/>
          <w:szCs w:val="32"/>
          <w:shd w:val="clear" w:color="auto" w:fill="FFFFFF"/>
          <w:lang w:val="zh-CN"/>
        </w:rPr>
        <w:lastRenderedPageBreak/>
        <w:t>算，保障单位正常运转和履行各项职能开支需要，力争202</w:t>
      </w:r>
      <w:r>
        <w:rPr>
          <w:rFonts w:ascii="方正仿宋_GBK" w:eastAsia="方正仿宋_GBK" w:hAnsi="方正仿宋_GBK" w:cs="方正仿宋_GBK" w:hint="eastAsia"/>
          <w:color w:val="000000" w:themeColor="text1"/>
          <w:kern w:val="0"/>
          <w:szCs w:val="32"/>
          <w:shd w:val="clear" w:color="auto" w:fill="FFFFFF"/>
        </w:rPr>
        <w:t>3</w:t>
      </w:r>
      <w:r>
        <w:rPr>
          <w:rFonts w:ascii="方正仿宋_GBK" w:eastAsia="方正仿宋_GBK" w:hAnsi="方正仿宋_GBK" w:cs="方正仿宋_GBK" w:hint="eastAsia"/>
          <w:color w:val="000000" w:themeColor="text1"/>
          <w:kern w:val="0"/>
          <w:szCs w:val="32"/>
          <w:shd w:val="clear" w:color="auto" w:fill="FFFFFF"/>
          <w:lang w:val="zh-CN"/>
        </w:rPr>
        <w:t>年预算执行进度在202</w:t>
      </w:r>
      <w:r>
        <w:rPr>
          <w:rFonts w:ascii="方正仿宋_GBK" w:eastAsia="方正仿宋_GBK" w:hAnsi="方正仿宋_GBK" w:cs="方正仿宋_GBK" w:hint="eastAsia"/>
          <w:color w:val="000000" w:themeColor="text1"/>
          <w:kern w:val="0"/>
          <w:szCs w:val="32"/>
          <w:shd w:val="clear" w:color="auto" w:fill="FFFFFF"/>
        </w:rPr>
        <w:t>2</w:t>
      </w:r>
      <w:r>
        <w:rPr>
          <w:rFonts w:ascii="方正仿宋_GBK" w:eastAsia="方正仿宋_GBK" w:hAnsi="方正仿宋_GBK" w:cs="方正仿宋_GBK" w:hint="eastAsia"/>
          <w:color w:val="000000" w:themeColor="text1"/>
          <w:kern w:val="0"/>
          <w:szCs w:val="32"/>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二是进一步加强队伍能力建设。强化业务培训，提高预算编制的科学化和精细化程度。在财政部门的指导下，定期组织开展预算编制培训工作，增强财务人员预算精细化管理的意识，提高预算精细化管理的能力。</w:t>
      </w: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r>
        <w:rPr>
          <w:rFonts w:ascii="方正仿宋_GBK" w:eastAsia="方正仿宋_GBK" w:hAnsi="方正仿宋_GBK" w:cs="方正仿宋_GBK" w:hint="eastAsia"/>
          <w:color w:val="000000" w:themeColor="text1"/>
          <w:kern w:val="0"/>
          <w:szCs w:val="32"/>
          <w:shd w:val="clear" w:color="auto" w:fill="FFFFFF"/>
          <w:lang w:val="zh-CN"/>
        </w:rPr>
        <w:t>三是提高预算绩效管理工作意识，按照预算绩效管理工作方案要求，明确职责分工，压实主体责任，强化各具体项目承办.</w:t>
      </w:r>
      <w:r>
        <w:rPr>
          <w:rFonts w:ascii="方正仿宋_GBK" w:eastAsia="方正仿宋_GBK" w:hAnsi="方正仿宋_GBK" w:cs="方正仿宋_GBK" w:hint="eastAsia"/>
          <w:color w:val="000000" w:themeColor="text1"/>
          <w:kern w:val="0"/>
          <w:szCs w:val="32"/>
          <w:shd w:val="clear" w:color="auto" w:fill="FFFFFF"/>
        </w:rPr>
        <w:t>股</w:t>
      </w:r>
      <w:r>
        <w:rPr>
          <w:rFonts w:ascii="方正仿宋_GBK" w:eastAsia="方正仿宋_GBK" w:hAnsi="方正仿宋_GBK" w:cs="方正仿宋_GBK" w:hint="eastAsia"/>
          <w:color w:val="000000" w:themeColor="text1"/>
          <w:kern w:val="0"/>
          <w:szCs w:val="32"/>
          <w:shd w:val="clear" w:color="auto" w:fill="FFFFFF"/>
          <w:lang w:val="zh-CN"/>
        </w:rPr>
        <w:t>室的资金绩效管理意识，加强对项目需求的论证，合理测算预算资金，提高预算编制的准确性和科学性，确保预算具有较强的指引性、调控性和操作性.三是统筹安排政府采购项目，科学规划，提前介入，充分考.虑各种影响项目进度的因素，提前做好预案，保证在预算资金下达后能尽快进入采购程序，提高政府采购的执行进度和项目的实施效率。</w:t>
      </w:r>
    </w:p>
    <w:p w:rsidR="00104EF6" w:rsidRDefault="00104EF6">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lang w:val="zh-CN"/>
        </w:rPr>
      </w:pPr>
    </w:p>
    <w:p w:rsidR="00104EF6" w:rsidRDefault="00197FDB">
      <w:pPr>
        <w:widowControl/>
        <w:adjustRightInd w:val="0"/>
        <w:snapToGrid w:val="0"/>
        <w:spacing w:line="578" w:lineRule="exact"/>
        <w:ind w:firstLineChars="200" w:firstLine="640"/>
        <w:contextualSpacing/>
        <w:jc w:val="left"/>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rPr>
        <w:t>附件：</w:t>
      </w:r>
    </w:p>
    <w:p w:rsidR="00104EF6" w:rsidRDefault="00197FDB">
      <w:pPr>
        <w:spacing w:line="578" w:lineRule="exact"/>
        <w:ind w:firstLineChars="400" w:firstLine="1280"/>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rPr>
        <w:t>1.2022年特定目标类部门预算项目绩效目标自评（项目名称：营养餐专项）</w:t>
      </w:r>
    </w:p>
    <w:p w:rsidR="00104EF6" w:rsidRDefault="00197FDB">
      <w:pPr>
        <w:spacing w:line="578" w:lineRule="exact"/>
        <w:ind w:firstLineChars="400" w:firstLine="1280"/>
        <w:rPr>
          <w:rFonts w:ascii="方正仿宋_GBK" w:eastAsia="方正仿宋_GBK" w:hAnsi="方正仿宋_GBK" w:cs="方正仿宋_GBK"/>
          <w:color w:val="000000" w:themeColor="text1"/>
        </w:rPr>
      </w:pPr>
      <w:r>
        <w:rPr>
          <w:rFonts w:ascii="方正仿宋_GBK" w:eastAsia="方正仿宋_GBK" w:hAnsi="方正仿宋_GBK" w:cs="方正仿宋_GBK" w:hint="eastAsia"/>
          <w:color w:val="000000" w:themeColor="text1"/>
          <w:kern w:val="0"/>
          <w:szCs w:val="32"/>
          <w:shd w:val="clear" w:color="auto" w:fill="FFFFFF"/>
        </w:rPr>
        <w:t>2.2022年特定目标类部门预算项目绩效目标自评（项目名称：购买安保服务专项）</w:t>
      </w:r>
    </w:p>
    <w:p w:rsidR="00104EF6" w:rsidRDefault="00197FDB">
      <w:pPr>
        <w:spacing w:line="578" w:lineRule="exact"/>
        <w:ind w:firstLineChars="400" w:firstLine="1280"/>
        <w:rPr>
          <w:rFonts w:ascii="方正仿宋_GBK" w:eastAsia="方正仿宋_GBK" w:hAnsi="方正仿宋_GBK" w:cs="方正仿宋_GBK"/>
          <w:color w:val="000000" w:themeColor="text1"/>
        </w:rPr>
      </w:pPr>
      <w:r>
        <w:rPr>
          <w:rFonts w:ascii="方正仿宋_GBK" w:eastAsia="方正仿宋_GBK" w:hAnsi="方正仿宋_GBK" w:cs="方正仿宋_GBK" w:hint="eastAsia"/>
          <w:color w:val="000000" w:themeColor="text1"/>
          <w:kern w:val="0"/>
          <w:szCs w:val="32"/>
          <w:shd w:val="clear" w:color="auto" w:fill="FFFFFF"/>
        </w:rPr>
        <w:lastRenderedPageBreak/>
        <w:t>3.2022年特定目标类部门预算项目绩效目标自评（项目名称：购买安保服务专项）</w:t>
      </w:r>
    </w:p>
    <w:p w:rsidR="00104EF6" w:rsidRDefault="00197FDB">
      <w:pPr>
        <w:spacing w:line="578" w:lineRule="exact"/>
        <w:ind w:firstLineChars="400" w:firstLine="1280"/>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rPr>
        <w:t>4.达川区石梯镇银铁中心学校2023年整体支出绩效评价指标体系表</w:t>
      </w:r>
    </w:p>
    <w:p w:rsidR="00104EF6" w:rsidRDefault="00104EF6">
      <w:pPr>
        <w:spacing w:line="578" w:lineRule="exact"/>
        <w:rPr>
          <w:rFonts w:ascii="方正仿宋_GBK" w:eastAsia="方正仿宋_GBK" w:hAnsi="方正仿宋_GBK" w:cs="方正仿宋_GBK"/>
          <w:color w:val="000000" w:themeColor="text1"/>
        </w:rPr>
      </w:pPr>
    </w:p>
    <w:p w:rsidR="00104EF6" w:rsidRDefault="00104EF6">
      <w:pPr>
        <w:widowControl/>
        <w:wordWrap w:val="0"/>
        <w:adjustRightInd w:val="0"/>
        <w:snapToGrid w:val="0"/>
        <w:spacing w:line="578" w:lineRule="exact"/>
        <w:ind w:firstLineChars="200" w:firstLine="640"/>
        <w:contextualSpacing/>
        <w:jc w:val="right"/>
        <w:rPr>
          <w:rFonts w:ascii="方正仿宋_GBK" w:eastAsia="方正仿宋_GBK" w:hAnsi="方正仿宋_GBK" w:cs="方正仿宋_GBK"/>
          <w:color w:val="000000" w:themeColor="text1"/>
          <w:kern w:val="0"/>
          <w:szCs w:val="32"/>
          <w:shd w:val="clear" w:color="auto" w:fill="FFFFFF"/>
        </w:rPr>
      </w:pPr>
    </w:p>
    <w:p w:rsidR="00104EF6" w:rsidRDefault="00104EF6">
      <w:pPr>
        <w:widowControl/>
        <w:wordWrap w:val="0"/>
        <w:adjustRightInd w:val="0"/>
        <w:snapToGrid w:val="0"/>
        <w:spacing w:line="578" w:lineRule="exact"/>
        <w:contextualSpacing/>
        <w:rPr>
          <w:rFonts w:ascii="方正仿宋_GBK" w:eastAsia="方正仿宋_GBK" w:hAnsi="方正仿宋_GBK" w:cs="方正仿宋_GBK"/>
          <w:color w:val="000000" w:themeColor="text1"/>
          <w:kern w:val="0"/>
          <w:szCs w:val="32"/>
          <w:shd w:val="clear" w:color="auto" w:fill="FFFFFF"/>
        </w:rPr>
      </w:pPr>
    </w:p>
    <w:p w:rsidR="00104EF6" w:rsidRDefault="00104EF6">
      <w:pPr>
        <w:widowControl/>
        <w:wordWrap w:val="0"/>
        <w:adjustRightInd w:val="0"/>
        <w:snapToGrid w:val="0"/>
        <w:spacing w:line="578" w:lineRule="exact"/>
        <w:ind w:firstLineChars="200" w:firstLine="640"/>
        <w:contextualSpacing/>
        <w:jc w:val="right"/>
        <w:rPr>
          <w:rFonts w:ascii="方正仿宋_GBK" w:eastAsia="方正仿宋_GBK" w:hAnsi="方正仿宋_GBK" w:cs="方正仿宋_GBK"/>
          <w:color w:val="000000" w:themeColor="text1"/>
          <w:kern w:val="0"/>
          <w:szCs w:val="32"/>
          <w:shd w:val="clear" w:color="auto" w:fill="FFFFFF"/>
        </w:rPr>
      </w:pPr>
    </w:p>
    <w:p w:rsidR="00104EF6" w:rsidRDefault="00197FDB">
      <w:pPr>
        <w:widowControl/>
        <w:wordWrap w:val="0"/>
        <w:adjustRightInd w:val="0"/>
        <w:snapToGrid w:val="0"/>
        <w:spacing w:line="578" w:lineRule="exact"/>
        <w:ind w:firstLineChars="200" w:firstLine="640"/>
        <w:contextualSpacing/>
        <w:jc w:val="center"/>
        <w:rPr>
          <w:rFonts w:ascii="方正仿宋_GBK" w:eastAsia="方正仿宋_GBK" w:hAnsi="方正仿宋_GBK" w:cs="方正仿宋_GBK"/>
          <w:color w:val="000000" w:themeColor="text1"/>
          <w:kern w:val="0"/>
          <w:szCs w:val="32"/>
          <w:shd w:val="clear" w:color="auto" w:fill="FFFFFF"/>
        </w:rPr>
      </w:pPr>
      <w:r>
        <w:rPr>
          <w:rFonts w:ascii="方正仿宋_GBK" w:eastAsia="方正仿宋_GBK" w:hAnsi="方正仿宋_GBK" w:cs="方正仿宋_GBK" w:hint="eastAsia"/>
          <w:color w:val="000000" w:themeColor="text1"/>
          <w:kern w:val="0"/>
          <w:szCs w:val="32"/>
          <w:shd w:val="clear" w:color="auto" w:fill="FFFFFF"/>
        </w:rPr>
        <w:t xml:space="preserve">                     达州市达川区石梯镇银铁中心学校                             2023年3月31日  </w:t>
      </w:r>
    </w:p>
    <w:p w:rsidR="00104EF6" w:rsidRDefault="00104EF6">
      <w:pPr>
        <w:widowControl/>
        <w:wordWrap w:val="0"/>
        <w:adjustRightInd w:val="0"/>
        <w:snapToGrid w:val="0"/>
        <w:spacing w:line="580" w:lineRule="exact"/>
        <w:ind w:firstLineChars="200" w:firstLine="640"/>
        <w:contextualSpacing/>
        <w:jc w:val="right"/>
        <w:rPr>
          <w:rFonts w:ascii="仿宋_GB2312" w:hAnsi="宋体" w:cs="宋体"/>
          <w:color w:val="000000" w:themeColor="text1"/>
          <w:kern w:val="0"/>
          <w:szCs w:val="32"/>
          <w:shd w:val="clear" w:color="auto" w:fill="FFFFFF"/>
        </w:rPr>
      </w:pPr>
    </w:p>
    <w:p w:rsidR="00104EF6" w:rsidRDefault="00104EF6">
      <w:pPr>
        <w:widowControl/>
        <w:wordWrap w:val="0"/>
        <w:adjustRightInd w:val="0"/>
        <w:snapToGrid w:val="0"/>
        <w:spacing w:line="580" w:lineRule="exact"/>
        <w:ind w:firstLineChars="200" w:firstLine="640"/>
        <w:contextualSpacing/>
        <w:jc w:val="right"/>
        <w:rPr>
          <w:rFonts w:ascii="仿宋_GB2312" w:hAnsi="宋体" w:cs="宋体"/>
          <w:color w:val="000000" w:themeColor="text1"/>
          <w:kern w:val="0"/>
          <w:szCs w:val="32"/>
          <w:shd w:val="clear" w:color="auto" w:fill="FFFFFF"/>
        </w:rPr>
      </w:pPr>
    </w:p>
    <w:p w:rsidR="00104EF6" w:rsidRDefault="00104EF6">
      <w:pPr>
        <w:widowControl/>
        <w:wordWrap w:val="0"/>
        <w:adjustRightInd w:val="0"/>
        <w:snapToGrid w:val="0"/>
        <w:spacing w:line="580" w:lineRule="exact"/>
        <w:ind w:firstLineChars="200" w:firstLine="640"/>
        <w:contextualSpacing/>
        <w:jc w:val="right"/>
        <w:rPr>
          <w:rFonts w:ascii="仿宋_GB2312" w:hAnsi="宋体" w:cs="宋体"/>
          <w:color w:val="000000" w:themeColor="text1"/>
          <w:kern w:val="0"/>
          <w:szCs w:val="32"/>
          <w:shd w:val="clear" w:color="auto" w:fill="FFFFFF"/>
        </w:rPr>
      </w:pPr>
    </w:p>
    <w:p w:rsidR="00104EF6" w:rsidRDefault="00104EF6">
      <w:pPr>
        <w:pStyle w:val="a0"/>
      </w:pPr>
    </w:p>
    <w:p w:rsidR="00104EF6" w:rsidRDefault="00104EF6">
      <w:pPr>
        <w:widowControl/>
        <w:wordWrap w:val="0"/>
        <w:adjustRightInd w:val="0"/>
        <w:snapToGrid w:val="0"/>
        <w:spacing w:line="580" w:lineRule="exact"/>
        <w:ind w:firstLineChars="200" w:firstLine="640"/>
        <w:contextualSpacing/>
        <w:jc w:val="right"/>
        <w:rPr>
          <w:rFonts w:ascii="仿宋_GB2312" w:hAnsi="宋体" w:cs="宋体"/>
          <w:color w:val="000000" w:themeColor="text1"/>
          <w:kern w:val="0"/>
          <w:szCs w:val="32"/>
          <w:shd w:val="clear" w:color="auto" w:fill="FFFFFF"/>
        </w:rPr>
      </w:pPr>
    </w:p>
    <w:p w:rsidR="00104EF6" w:rsidRDefault="00104EF6">
      <w:pPr>
        <w:widowControl/>
        <w:wordWrap w:val="0"/>
        <w:adjustRightInd w:val="0"/>
        <w:snapToGrid w:val="0"/>
        <w:spacing w:line="580" w:lineRule="exact"/>
        <w:ind w:firstLineChars="200" w:firstLine="640"/>
        <w:contextualSpacing/>
        <w:jc w:val="right"/>
        <w:rPr>
          <w:rFonts w:ascii="仿宋_GB2312" w:hAnsi="宋体" w:cs="宋体"/>
          <w:color w:val="000000" w:themeColor="text1"/>
          <w:kern w:val="0"/>
          <w:szCs w:val="32"/>
          <w:shd w:val="clear" w:color="auto" w:fill="FFFFFF"/>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04EF6">
      <w:pPr>
        <w:widowControl/>
        <w:adjustRightInd w:val="0"/>
        <w:snapToGrid w:val="0"/>
        <w:spacing w:line="580" w:lineRule="exact"/>
        <w:contextualSpacing/>
        <w:jc w:val="left"/>
        <w:rPr>
          <w:rFonts w:ascii="仿宋_GB2312" w:hAnsi="宋体" w:cs="宋体"/>
          <w:color w:val="000000" w:themeColor="text1"/>
          <w:kern w:val="0"/>
          <w:szCs w:val="32"/>
          <w:shd w:val="clear" w:color="auto" w:fill="FFFFFF"/>
          <w:lang w:val="zh-CN"/>
        </w:rPr>
      </w:pPr>
    </w:p>
    <w:p w:rsidR="00104EF6" w:rsidRDefault="00197FDB">
      <w:pPr>
        <w:widowControl/>
        <w:adjustRightInd w:val="0"/>
        <w:snapToGrid w:val="0"/>
        <w:spacing w:line="580" w:lineRule="exact"/>
        <w:contextualSpacing/>
        <w:jc w:val="left"/>
        <w:rPr>
          <w:color w:val="000000" w:themeColor="text1"/>
          <w:lang w:val="zh-CN"/>
        </w:rPr>
      </w:pPr>
      <w:r>
        <w:rPr>
          <w:rFonts w:ascii="仿宋_GB2312" w:hAnsi="宋体" w:cs="宋体" w:hint="eastAsia"/>
          <w:color w:val="000000" w:themeColor="text1"/>
          <w:kern w:val="0"/>
          <w:szCs w:val="32"/>
          <w:shd w:val="clear" w:color="auto" w:fill="FFFFFF"/>
          <w:lang w:val="zh-CN"/>
        </w:rPr>
        <w:lastRenderedPageBreak/>
        <w:t>附表</w:t>
      </w:r>
      <w:r>
        <w:rPr>
          <w:rFonts w:ascii="仿宋_GB2312" w:hAnsi="宋体" w:cs="宋体" w:hint="eastAsia"/>
          <w:color w:val="000000" w:themeColor="text1"/>
          <w:kern w:val="0"/>
          <w:szCs w:val="32"/>
          <w:shd w:val="clear" w:color="auto" w:fill="FFFFFF"/>
        </w:rPr>
        <w:t>1</w:t>
      </w:r>
      <w:r>
        <w:rPr>
          <w:rFonts w:ascii="仿宋_GB2312" w:hAnsi="宋体" w:cs="宋体" w:hint="eastAsia"/>
          <w:color w:val="000000" w:themeColor="text1"/>
          <w:kern w:val="0"/>
          <w:szCs w:val="32"/>
          <w:shd w:val="clear" w:color="auto" w:fill="FFFFFF"/>
          <w:lang w:val="zh-CN"/>
        </w:rPr>
        <w:t>：</w:t>
      </w:r>
    </w:p>
    <w:p w:rsidR="00104EF6" w:rsidRDefault="00104EF6">
      <w:pPr>
        <w:pStyle w:val="a0"/>
        <w:rPr>
          <w:rFonts w:ascii="仿宋_GB2312" w:hAnsi="宋体" w:cs="宋体"/>
          <w:color w:val="000000" w:themeColor="text1"/>
          <w:kern w:val="0"/>
          <w:szCs w:val="32"/>
          <w:highlight w:val="red"/>
          <w:shd w:val="clear" w:color="auto" w:fill="FFFFFF"/>
          <w:lang w:val="zh-CN"/>
        </w:rPr>
      </w:pPr>
    </w:p>
    <w:tbl>
      <w:tblPr>
        <w:tblpPr w:leftFromText="180" w:rightFromText="180" w:vertAnchor="text" w:horzAnchor="page" w:tblpX="1256" w:tblpY="221"/>
        <w:tblOverlap w:val="never"/>
        <w:tblW w:w="5170" w:type="pct"/>
        <w:tblLook w:val="04A0"/>
      </w:tblPr>
      <w:tblGrid>
        <w:gridCol w:w="1043"/>
        <w:gridCol w:w="603"/>
        <w:gridCol w:w="157"/>
        <w:gridCol w:w="1848"/>
        <w:gridCol w:w="330"/>
        <w:gridCol w:w="941"/>
        <w:gridCol w:w="989"/>
        <w:gridCol w:w="712"/>
        <w:gridCol w:w="686"/>
        <w:gridCol w:w="594"/>
        <w:gridCol w:w="1244"/>
        <w:gridCol w:w="222"/>
      </w:tblGrid>
      <w:tr w:rsidR="00104EF6">
        <w:trPr>
          <w:trHeight w:val="675"/>
        </w:trPr>
        <w:tc>
          <w:tcPr>
            <w:tcW w:w="4882" w:type="pct"/>
            <w:gridSpan w:val="11"/>
            <w:tcBorders>
              <w:top w:val="nil"/>
              <w:left w:val="nil"/>
              <w:bottom w:val="nil"/>
              <w:right w:val="nil"/>
            </w:tcBorders>
            <w:shd w:val="clear" w:color="auto" w:fill="auto"/>
            <w:vAlign w:val="center"/>
          </w:tcPr>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2022年特定目标类部门预算项目绩效目标自评</w:t>
            </w:r>
          </w:p>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（项目名称：购买安保服务专项）</w:t>
            </w:r>
          </w:p>
        </w:tc>
        <w:tc>
          <w:tcPr>
            <w:tcW w:w="118" w:type="pct"/>
            <w:tcBorders>
              <w:top w:val="nil"/>
              <w:left w:val="nil"/>
              <w:bottom w:val="nil"/>
              <w:right w:val="nil"/>
            </w:tcBorders>
            <w:shd w:val="clear" w:color="auto" w:fill="auto"/>
            <w:vAlign w:val="center"/>
          </w:tcPr>
          <w:p w:rsidR="00104EF6" w:rsidRDefault="00104EF6">
            <w:pPr>
              <w:widowControl/>
              <w:jc w:val="center"/>
              <w:textAlignment w:val="center"/>
              <w:rPr>
                <w:rFonts w:ascii="宋体" w:eastAsia="宋体" w:hAnsi="宋体" w:cs="宋体"/>
                <w:b/>
                <w:color w:val="000000" w:themeColor="text1"/>
                <w:kern w:val="0"/>
                <w:szCs w:val="32"/>
              </w:rPr>
            </w:pPr>
          </w:p>
        </w:tc>
      </w:tr>
      <w:tr w:rsidR="00104EF6">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达川区石梯镇银铁中心学校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达川区教育局</w:t>
            </w:r>
          </w:p>
        </w:tc>
      </w:tr>
      <w:tr w:rsidR="00104EF6">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项目预算</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执行情况</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w:t>
            </w:r>
          </w:p>
        </w:tc>
      </w:tr>
      <w:tr w:rsidR="00104EF6">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w:t>
            </w:r>
          </w:p>
        </w:tc>
      </w:tr>
      <w:tr w:rsidR="00104EF6">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r>
      <w:tr w:rsidR="00104EF6">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年度总体目标</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目标实际完成情况</w:t>
            </w:r>
          </w:p>
        </w:tc>
      </w:tr>
      <w:tr w:rsidR="00104EF6">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2022年内计划发放学校物业管理服务费3万元，涉及人数2人。目的是维护学校正常教育教学秩序，保障学校及师生的人身、财产安全。</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2022年实际发放学校物业管理服务费3万元，涉及人数2人。维护了学校正常教育教学秩序，保障了学校及师生的人身、财产安全。</w:t>
            </w:r>
          </w:p>
        </w:tc>
      </w:tr>
      <w:tr w:rsidR="00104EF6">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一级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二级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三级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实际完成指标值</w:t>
            </w:r>
          </w:p>
        </w:tc>
      </w:tr>
      <w:tr w:rsidR="00104EF6">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0"/>
                <w:szCs w:val="20"/>
              </w:rPr>
            </w:pPr>
            <w:r>
              <w:rPr>
                <w:rFonts w:ascii="仿宋_GB2312" w:hAnsi="仿宋_GB2312" w:cs="仿宋_GB2312" w:hint="eastAsia"/>
                <w:color w:val="000000" w:themeColor="text1"/>
                <w:kern w:val="0"/>
                <w:sz w:val="20"/>
                <w:szCs w:val="20"/>
              </w:rPr>
              <w:t>完成</w:t>
            </w:r>
          </w:p>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数量指标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专职保安人员聘请数量</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2</w:t>
            </w:r>
            <w:r>
              <w:rPr>
                <w:rFonts w:hint="eastAsia"/>
                <w:color w:val="000000" w:themeColor="text1"/>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2</w:t>
            </w:r>
            <w:r>
              <w:rPr>
                <w:rFonts w:hint="eastAsia"/>
                <w:color w:val="000000" w:themeColor="text1"/>
                <w:sz w:val="20"/>
                <w:szCs w:val="20"/>
              </w:rPr>
              <w:t>人</w:t>
            </w:r>
          </w:p>
        </w:tc>
      </w:tr>
      <w:tr w:rsidR="00104EF6">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保安人员正常到岗率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成本指标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项目成本控制数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3</w:t>
            </w:r>
            <w:r>
              <w:rPr>
                <w:rFonts w:hint="eastAsia"/>
                <w:color w:val="000000" w:themeColor="text1"/>
                <w:sz w:val="20"/>
                <w:szCs w:val="20"/>
              </w:rPr>
              <w:t>万元</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3</w:t>
            </w:r>
            <w:r>
              <w:rPr>
                <w:rFonts w:hint="eastAsia"/>
                <w:color w:val="000000" w:themeColor="text1"/>
                <w:sz w:val="20"/>
                <w:szCs w:val="20"/>
              </w:rPr>
              <w:t>万元</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专职保安人员工资发放准确率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时效指标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专职保安人员工资发放及时率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保安人员资质符合率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效益指标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保障学师生人身财产安全</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优</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维护学校正常教育教学秩序</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优</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物业管理服务制度健全性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优</w:t>
            </w:r>
          </w:p>
        </w:tc>
      </w:tr>
      <w:tr w:rsidR="00104EF6">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满意度指标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spacing w:line="240" w:lineRule="exact"/>
              <w:jc w:val="center"/>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满意度指标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100%</w:t>
            </w:r>
          </w:p>
        </w:tc>
      </w:tr>
    </w:tbl>
    <w:p w:rsidR="00104EF6" w:rsidRDefault="00104EF6">
      <w:pPr>
        <w:rPr>
          <w:rFonts w:ascii="仿宋_GB2312" w:hAnsi="宋体" w:cs="宋体"/>
          <w:color w:val="000000" w:themeColor="text1"/>
          <w:kern w:val="0"/>
          <w:szCs w:val="32"/>
          <w:highlight w:val="red"/>
          <w:shd w:val="clear" w:color="auto" w:fill="FFFFFF"/>
          <w:lang w:val="zh-CN"/>
        </w:rPr>
      </w:pPr>
    </w:p>
    <w:p w:rsidR="00104EF6" w:rsidRDefault="00104EF6">
      <w:pPr>
        <w:pStyle w:val="a0"/>
        <w:rPr>
          <w:rFonts w:ascii="仿宋_GB2312" w:hAnsi="宋体" w:cs="宋体"/>
          <w:color w:val="000000" w:themeColor="text1"/>
          <w:kern w:val="0"/>
          <w:szCs w:val="32"/>
          <w:highlight w:val="red"/>
          <w:shd w:val="clear" w:color="auto" w:fill="FFFFFF"/>
          <w:lang w:val="zh-CN"/>
        </w:rPr>
      </w:pPr>
    </w:p>
    <w:p w:rsidR="00104EF6" w:rsidRDefault="00104EF6">
      <w:pPr>
        <w:rPr>
          <w:rFonts w:ascii="仿宋_GB2312" w:hAnsi="宋体" w:cs="宋体"/>
          <w:color w:val="000000" w:themeColor="text1"/>
          <w:kern w:val="0"/>
          <w:szCs w:val="32"/>
          <w:highlight w:val="red"/>
          <w:shd w:val="clear" w:color="auto" w:fill="FFFFFF"/>
          <w:lang w:val="zh-CN"/>
        </w:rPr>
      </w:pPr>
    </w:p>
    <w:p w:rsidR="00104EF6" w:rsidRDefault="00104EF6">
      <w:pPr>
        <w:pStyle w:val="a0"/>
        <w:rPr>
          <w:rFonts w:ascii="仿宋_GB2312" w:hAnsi="宋体" w:cs="宋体"/>
          <w:color w:val="000000" w:themeColor="text1"/>
          <w:kern w:val="0"/>
          <w:szCs w:val="32"/>
          <w:highlight w:val="red"/>
          <w:shd w:val="clear" w:color="auto" w:fill="FFFFFF"/>
          <w:lang w:val="zh-CN"/>
        </w:rPr>
      </w:pPr>
    </w:p>
    <w:p w:rsidR="00104EF6" w:rsidRDefault="00197FDB">
      <w:pPr>
        <w:rPr>
          <w:color w:val="000000" w:themeColor="text1"/>
        </w:rPr>
      </w:pPr>
      <w:r>
        <w:rPr>
          <w:rFonts w:hint="eastAsia"/>
          <w:color w:val="000000" w:themeColor="text1"/>
        </w:rPr>
        <w:t>附表</w:t>
      </w:r>
      <w:r>
        <w:rPr>
          <w:rFonts w:hint="eastAsia"/>
          <w:color w:val="000000" w:themeColor="text1"/>
        </w:rPr>
        <w:t>2</w:t>
      </w:r>
      <w:r>
        <w:rPr>
          <w:rFonts w:hint="eastAsia"/>
          <w:color w:val="000000" w:themeColor="text1"/>
        </w:rPr>
        <w:t>：</w:t>
      </w:r>
    </w:p>
    <w:p w:rsidR="00104EF6" w:rsidRDefault="00104EF6">
      <w:pPr>
        <w:pStyle w:val="a0"/>
        <w:rPr>
          <w:color w:val="000000" w:themeColor="text1"/>
          <w:lang w:val="zh-CN"/>
        </w:rPr>
      </w:pPr>
    </w:p>
    <w:tbl>
      <w:tblPr>
        <w:tblpPr w:leftFromText="180" w:rightFromText="180" w:vertAnchor="text" w:horzAnchor="page" w:tblpX="1256" w:tblpY="221"/>
        <w:tblOverlap w:val="never"/>
        <w:tblW w:w="5170" w:type="pct"/>
        <w:tblLook w:val="04A0"/>
      </w:tblPr>
      <w:tblGrid>
        <w:gridCol w:w="1043"/>
        <w:gridCol w:w="603"/>
        <w:gridCol w:w="157"/>
        <w:gridCol w:w="1848"/>
        <w:gridCol w:w="330"/>
        <w:gridCol w:w="941"/>
        <w:gridCol w:w="989"/>
        <w:gridCol w:w="712"/>
        <w:gridCol w:w="686"/>
        <w:gridCol w:w="594"/>
        <w:gridCol w:w="1244"/>
        <w:gridCol w:w="222"/>
      </w:tblGrid>
      <w:tr w:rsidR="00104EF6">
        <w:trPr>
          <w:trHeight w:val="675"/>
        </w:trPr>
        <w:tc>
          <w:tcPr>
            <w:tcW w:w="4882" w:type="pct"/>
            <w:gridSpan w:val="11"/>
            <w:tcBorders>
              <w:top w:val="nil"/>
              <w:left w:val="nil"/>
              <w:bottom w:val="nil"/>
              <w:right w:val="nil"/>
            </w:tcBorders>
            <w:shd w:val="clear" w:color="auto" w:fill="auto"/>
            <w:vAlign w:val="center"/>
          </w:tcPr>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2022年特定目标类部门预算项目绩效目标自评</w:t>
            </w:r>
          </w:p>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（项目名称：学生营养餐专项）</w:t>
            </w:r>
          </w:p>
        </w:tc>
        <w:tc>
          <w:tcPr>
            <w:tcW w:w="118" w:type="pct"/>
            <w:tcBorders>
              <w:top w:val="nil"/>
              <w:left w:val="nil"/>
              <w:bottom w:val="nil"/>
              <w:right w:val="nil"/>
            </w:tcBorders>
            <w:shd w:val="clear" w:color="auto" w:fill="auto"/>
            <w:vAlign w:val="center"/>
          </w:tcPr>
          <w:p w:rsidR="00104EF6" w:rsidRDefault="00104EF6">
            <w:pPr>
              <w:widowControl/>
              <w:jc w:val="center"/>
              <w:textAlignment w:val="center"/>
              <w:rPr>
                <w:rFonts w:ascii="宋体" w:eastAsia="宋体" w:hAnsi="宋体" w:cs="宋体"/>
                <w:b/>
                <w:color w:val="000000" w:themeColor="text1"/>
                <w:kern w:val="0"/>
                <w:szCs w:val="32"/>
              </w:rPr>
            </w:pPr>
          </w:p>
        </w:tc>
      </w:tr>
      <w:tr w:rsidR="00104EF6">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达川区石梯镇银铁中心学校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达川区教育局</w:t>
            </w:r>
          </w:p>
        </w:tc>
      </w:tr>
      <w:tr w:rsidR="00104EF6">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项目预算</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执行情况</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12.54</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righ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12.54</w:t>
            </w:r>
          </w:p>
        </w:tc>
      </w:tr>
      <w:tr w:rsidR="00104EF6">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12.54</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righ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12.54</w:t>
            </w:r>
          </w:p>
        </w:tc>
      </w:tr>
      <w:tr w:rsidR="00104EF6">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r>
      <w:tr w:rsidR="00104EF6">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年度总体目标</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目标实际完成情况</w:t>
            </w:r>
          </w:p>
        </w:tc>
      </w:tr>
      <w:tr w:rsidR="00104EF6">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2022年内计划发放营养餐改善计划补助资金12.54万元，涉及补助学生人数132名，目的是改善农村义务教育学生的营养状况，提高农村义务教育学生的健康水平，促进城乡义务教育健康持续发展。</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2022年内实际发放营养餐改善计划补助资金12.54万元，涉及补助学生人数132名，改善了农村义务教育学生的营养状况，提高了学生的健康水平，促进城乡义务教育均衡发展。</w:t>
            </w:r>
          </w:p>
        </w:tc>
      </w:tr>
      <w:tr w:rsidR="00104EF6">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一级</w:t>
            </w:r>
          </w:p>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二级</w:t>
            </w:r>
          </w:p>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三级</w:t>
            </w:r>
          </w:p>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实际完成指标值</w:t>
            </w:r>
          </w:p>
        </w:tc>
      </w:tr>
      <w:tr w:rsidR="00104EF6">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完成</w:t>
            </w:r>
          </w:p>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营养餐补助达标率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营养餐质量合格率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成本指标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补助标准</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hAnsi="宋体" w:cs="宋体"/>
                <w:color w:val="000000" w:themeColor="text1"/>
                <w:sz w:val="20"/>
                <w:szCs w:val="20"/>
              </w:rPr>
            </w:pPr>
            <w:r>
              <w:rPr>
                <w:rFonts w:hint="eastAsia"/>
                <w:color w:val="000000" w:themeColor="text1"/>
                <w:sz w:val="20"/>
                <w:szCs w:val="20"/>
              </w:rPr>
              <w:t>5</w:t>
            </w:r>
            <w:r>
              <w:rPr>
                <w:rFonts w:hint="eastAsia"/>
                <w:color w:val="000000" w:themeColor="text1"/>
                <w:sz w:val="20"/>
                <w:szCs w:val="20"/>
              </w:rPr>
              <w:t>元</w:t>
            </w:r>
            <w:r>
              <w:rPr>
                <w:rFonts w:hint="eastAsia"/>
                <w:color w:val="000000" w:themeColor="text1"/>
                <w:sz w:val="20"/>
                <w:szCs w:val="20"/>
              </w:rPr>
              <w:t>/</w:t>
            </w:r>
            <w:r>
              <w:rPr>
                <w:rFonts w:hint="eastAsia"/>
                <w:color w:val="000000" w:themeColor="text1"/>
                <w:sz w:val="20"/>
                <w:szCs w:val="20"/>
              </w:rPr>
              <w:t>人次</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hAnsi="宋体" w:cs="宋体"/>
                <w:color w:val="000000" w:themeColor="text1"/>
                <w:sz w:val="20"/>
                <w:szCs w:val="20"/>
              </w:rPr>
            </w:pPr>
            <w:r>
              <w:rPr>
                <w:rFonts w:hint="eastAsia"/>
                <w:color w:val="000000" w:themeColor="text1"/>
                <w:sz w:val="20"/>
                <w:szCs w:val="20"/>
              </w:rPr>
              <w:t>5</w:t>
            </w:r>
            <w:r>
              <w:rPr>
                <w:rFonts w:hint="eastAsia"/>
                <w:color w:val="000000" w:themeColor="text1"/>
                <w:sz w:val="20"/>
                <w:szCs w:val="20"/>
              </w:rPr>
              <w:t>元</w:t>
            </w:r>
            <w:r>
              <w:rPr>
                <w:rFonts w:hint="eastAsia"/>
                <w:color w:val="000000" w:themeColor="text1"/>
                <w:sz w:val="20"/>
                <w:szCs w:val="20"/>
              </w:rPr>
              <w:t>/</w:t>
            </w:r>
            <w:r>
              <w:rPr>
                <w:rFonts w:hint="eastAsia"/>
                <w:color w:val="000000" w:themeColor="text1"/>
                <w:sz w:val="20"/>
                <w:szCs w:val="20"/>
              </w:rPr>
              <w:t>人次</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营养餐补助发放准确率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数量指标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营养餐改善计划补助学生人数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132</w:t>
            </w:r>
            <w:r>
              <w:rPr>
                <w:rFonts w:hint="eastAsia"/>
                <w:color w:val="000000" w:themeColor="text1"/>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132</w:t>
            </w:r>
            <w:r>
              <w:rPr>
                <w:rFonts w:hint="eastAsia"/>
                <w:color w:val="000000" w:themeColor="text1"/>
                <w:sz w:val="20"/>
                <w:szCs w:val="20"/>
              </w:rPr>
              <w:t>人</w:t>
            </w:r>
          </w:p>
        </w:tc>
      </w:tr>
      <w:tr w:rsidR="00104EF6">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时效指标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营养餐（蛋、奶等）发放及时率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效益指标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改善学生营养状况</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优</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营养餐应吃尽吃率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100%</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学生营养膳食补助政策健全性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优</w:t>
            </w:r>
          </w:p>
        </w:tc>
      </w:tr>
      <w:tr w:rsidR="00104EF6">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kern w:val="0"/>
                <w:sz w:val="21"/>
                <w:szCs w:val="21"/>
              </w:rPr>
              <w:t>满意度指标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spacing w:line="240" w:lineRule="exact"/>
              <w:jc w:val="left"/>
              <w:rPr>
                <w:rFonts w:ascii="仿宋_GB2312" w:hAnsi="仿宋_GB2312" w:cs="仿宋_GB2312"/>
                <w:color w:val="000000" w:themeColor="text1"/>
                <w:sz w:val="21"/>
                <w:szCs w:val="21"/>
              </w:rPr>
            </w:pPr>
            <w:r>
              <w:rPr>
                <w:rFonts w:hint="eastAsia"/>
                <w:color w:val="000000" w:themeColor="text1"/>
                <w:sz w:val="20"/>
                <w:szCs w:val="20"/>
              </w:rPr>
              <w:t>满意度指标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left"/>
              <w:rPr>
                <w:rFonts w:ascii="宋体" w:eastAsia="宋体" w:hAnsi="宋体" w:cs="宋体"/>
                <w:color w:val="000000" w:themeColor="text1"/>
                <w:sz w:val="20"/>
                <w:szCs w:val="20"/>
              </w:rPr>
            </w:pPr>
            <w:r>
              <w:rPr>
                <w:rFonts w:hint="eastAsia"/>
                <w:color w:val="000000" w:themeColor="text1"/>
                <w:sz w:val="20"/>
                <w:szCs w:val="20"/>
              </w:rPr>
              <w:t>受惠学生满意度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1"/>
                <w:szCs w:val="21"/>
              </w:rPr>
            </w:pPr>
            <w:r>
              <w:rPr>
                <w:rFonts w:ascii="仿宋_GB2312" w:hAnsi="仿宋_GB2312" w:cs="仿宋_GB2312" w:hint="eastAsia"/>
                <w:color w:val="000000" w:themeColor="text1"/>
                <w:sz w:val="21"/>
                <w:szCs w:val="21"/>
              </w:rPr>
              <w:t>100%</w:t>
            </w:r>
          </w:p>
        </w:tc>
      </w:tr>
    </w:tbl>
    <w:p w:rsidR="00104EF6" w:rsidRDefault="00104EF6">
      <w:pPr>
        <w:pStyle w:val="a0"/>
        <w:rPr>
          <w:rFonts w:ascii="仿宋_GB2312" w:hAnsi="宋体" w:cs="宋体"/>
          <w:color w:val="000000" w:themeColor="text1"/>
          <w:kern w:val="0"/>
          <w:szCs w:val="32"/>
          <w:highlight w:val="red"/>
          <w:shd w:val="clear" w:color="auto" w:fill="FFFFFF"/>
          <w:lang w:val="zh-CN"/>
        </w:rPr>
      </w:pPr>
    </w:p>
    <w:p w:rsidR="00104EF6" w:rsidRDefault="00104EF6">
      <w:pPr>
        <w:rPr>
          <w:rFonts w:ascii="仿宋_GB2312" w:hAnsi="宋体" w:cs="宋体"/>
          <w:color w:val="000000" w:themeColor="text1"/>
          <w:kern w:val="0"/>
          <w:szCs w:val="32"/>
          <w:highlight w:val="red"/>
          <w:shd w:val="clear" w:color="auto" w:fill="FFFFFF"/>
          <w:lang w:val="zh-CN"/>
        </w:rPr>
      </w:pPr>
    </w:p>
    <w:p w:rsidR="00104EF6" w:rsidRDefault="00104EF6">
      <w:pPr>
        <w:pStyle w:val="a0"/>
        <w:rPr>
          <w:rFonts w:ascii="仿宋_GB2312" w:hAnsi="宋体" w:cs="宋体"/>
          <w:color w:val="000000" w:themeColor="text1"/>
          <w:kern w:val="0"/>
          <w:szCs w:val="32"/>
          <w:highlight w:val="red"/>
          <w:shd w:val="clear" w:color="auto" w:fill="FFFFFF"/>
          <w:lang w:val="zh-CN"/>
        </w:rPr>
      </w:pPr>
    </w:p>
    <w:p w:rsidR="00104EF6" w:rsidRDefault="00197FDB">
      <w:pPr>
        <w:widowControl/>
        <w:adjustRightInd w:val="0"/>
        <w:snapToGrid w:val="0"/>
        <w:spacing w:line="580" w:lineRule="exact"/>
        <w:contextualSpacing/>
        <w:jc w:val="left"/>
        <w:rPr>
          <w:color w:val="000000" w:themeColor="text1"/>
          <w:lang w:val="zh-CN"/>
        </w:rPr>
      </w:pPr>
      <w:r>
        <w:rPr>
          <w:rFonts w:ascii="仿宋_GB2312" w:hAnsi="宋体" w:cs="宋体" w:hint="eastAsia"/>
          <w:color w:val="000000" w:themeColor="text1"/>
          <w:kern w:val="0"/>
          <w:szCs w:val="32"/>
          <w:shd w:val="clear" w:color="auto" w:fill="FFFFFF"/>
          <w:lang w:val="zh-CN"/>
        </w:rPr>
        <w:t>附表</w:t>
      </w:r>
      <w:r>
        <w:rPr>
          <w:rFonts w:ascii="仿宋_GB2312" w:hAnsi="宋体" w:cs="宋体" w:hint="eastAsia"/>
          <w:color w:val="000000" w:themeColor="text1"/>
          <w:kern w:val="0"/>
          <w:szCs w:val="32"/>
          <w:shd w:val="clear" w:color="auto" w:fill="FFFFFF"/>
        </w:rPr>
        <w:t>3</w:t>
      </w:r>
      <w:r>
        <w:rPr>
          <w:rFonts w:ascii="仿宋_GB2312" w:hAnsi="宋体" w:cs="宋体" w:hint="eastAsia"/>
          <w:color w:val="000000" w:themeColor="text1"/>
          <w:kern w:val="0"/>
          <w:szCs w:val="32"/>
          <w:shd w:val="clear" w:color="auto" w:fill="FFFFFF"/>
          <w:lang w:val="zh-CN"/>
        </w:rPr>
        <w:t>：</w:t>
      </w:r>
    </w:p>
    <w:p w:rsidR="00104EF6" w:rsidRDefault="00104EF6">
      <w:pPr>
        <w:pStyle w:val="a0"/>
        <w:rPr>
          <w:rFonts w:ascii="仿宋_GB2312" w:hAnsi="宋体" w:cs="宋体"/>
          <w:color w:val="000000" w:themeColor="text1"/>
          <w:kern w:val="0"/>
          <w:szCs w:val="32"/>
          <w:highlight w:val="red"/>
          <w:shd w:val="clear" w:color="auto" w:fill="FFFFFF"/>
          <w:lang w:val="zh-CN"/>
        </w:rPr>
      </w:pPr>
    </w:p>
    <w:tbl>
      <w:tblPr>
        <w:tblpPr w:leftFromText="180" w:rightFromText="180" w:vertAnchor="text" w:horzAnchor="page" w:tblpX="1256" w:tblpY="221"/>
        <w:tblOverlap w:val="never"/>
        <w:tblW w:w="5170" w:type="pct"/>
        <w:tblLook w:val="04A0"/>
      </w:tblPr>
      <w:tblGrid>
        <w:gridCol w:w="1043"/>
        <w:gridCol w:w="603"/>
        <w:gridCol w:w="157"/>
        <w:gridCol w:w="1848"/>
        <w:gridCol w:w="330"/>
        <w:gridCol w:w="941"/>
        <w:gridCol w:w="989"/>
        <w:gridCol w:w="712"/>
        <w:gridCol w:w="686"/>
        <w:gridCol w:w="594"/>
        <w:gridCol w:w="1244"/>
        <w:gridCol w:w="222"/>
      </w:tblGrid>
      <w:tr w:rsidR="00104EF6">
        <w:trPr>
          <w:trHeight w:val="675"/>
        </w:trPr>
        <w:tc>
          <w:tcPr>
            <w:tcW w:w="4882" w:type="pct"/>
            <w:gridSpan w:val="11"/>
            <w:tcBorders>
              <w:top w:val="nil"/>
              <w:left w:val="nil"/>
              <w:bottom w:val="nil"/>
              <w:right w:val="nil"/>
            </w:tcBorders>
            <w:shd w:val="clear" w:color="auto" w:fill="auto"/>
            <w:vAlign w:val="center"/>
          </w:tcPr>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2022年特定目标类部门预算项目绩效目标自评</w:t>
            </w:r>
          </w:p>
          <w:p w:rsidR="00104EF6" w:rsidRDefault="00197FDB">
            <w:pPr>
              <w:widowControl/>
              <w:jc w:val="center"/>
              <w:textAlignment w:val="center"/>
              <w:rPr>
                <w:rFonts w:ascii="宋体" w:eastAsia="宋体" w:hAnsi="宋体" w:cs="宋体"/>
                <w:b/>
                <w:color w:val="000000" w:themeColor="text1"/>
                <w:szCs w:val="32"/>
              </w:rPr>
            </w:pPr>
            <w:r>
              <w:rPr>
                <w:rFonts w:ascii="宋体" w:eastAsia="宋体" w:hAnsi="宋体" w:cs="宋体" w:hint="eastAsia"/>
                <w:b/>
                <w:color w:val="000000" w:themeColor="text1"/>
                <w:szCs w:val="32"/>
              </w:rPr>
              <w:t>（项目名称：购买食堂服务专项）</w:t>
            </w:r>
          </w:p>
        </w:tc>
        <w:tc>
          <w:tcPr>
            <w:tcW w:w="118" w:type="pct"/>
            <w:tcBorders>
              <w:top w:val="nil"/>
              <w:left w:val="nil"/>
              <w:bottom w:val="nil"/>
              <w:right w:val="nil"/>
            </w:tcBorders>
            <w:shd w:val="clear" w:color="auto" w:fill="auto"/>
            <w:vAlign w:val="center"/>
          </w:tcPr>
          <w:p w:rsidR="00104EF6" w:rsidRDefault="00104EF6">
            <w:pPr>
              <w:widowControl/>
              <w:jc w:val="center"/>
              <w:textAlignment w:val="center"/>
              <w:rPr>
                <w:rFonts w:ascii="宋体" w:eastAsia="宋体" w:hAnsi="宋体" w:cs="宋体"/>
                <w:b/>
                <w:color w:val="000000" w:themeColor="text1"/>
                <w:kern w:val="0"/>
                <w:szCs w:val="32"/>
              </w:rPr>
            </w:pPr>
          </w:p>
        </w:tc>
      </w:tr>
      <w:tr w:rsidR="00104EF6">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达川区石梯镇银铁中心学校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达川区教育局</w:t>
            </w:r>
          </w:p>
        </w:tc>
      </w:tr>
      <w:tr w:rsidR="00104EF6">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项目预算</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执行情况</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3.30</w:t>
            </w:r>
          </w:p>
        </w:tc>
      </w:tr>
      <w:tr w:rsidR="00104EF6">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3.30</w:t>
            </w:r>
          </w:p>
        </w:tc>
      </w:tr>
      <w:tr w:rsidR="00104EF6">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0</w:t>
            </w:r>
          </w:p>
        </w:tc>
      </w:tr>
      <w:tr w:rsidR="00104EF6">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年度总体目标</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目标实际完成情况</w:t>
            </w:r>
          </w:p>
        </w:tc>
      </w:tr>
      <w:tr w:rsidR="00104EF6">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320" w:lineRule="exact"/>
              <w:jc w:val="center"/>
              <w:textAlignment w:val="bottom"/>
              <w:rPr>
                <w:rFonts w:ascii="仿宋_GB2312" w:hAnsi="仿宋_GB2312" w:cs="仿宋_GB2312"/>
                <w:color w:val="000000" w:themeColor="text1"/>
                <w:kern w:val="0"/>
                <w:sz w:val="21"/>
                <w:szCs w:val="21"/>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2022年内计划发放食堂从业人员劳务服务报酬补贴3.3万元，涉及人数2人。目的是建立健全农村义务教育学生营养改善计划长效保障机制和保障学校食堂从业人员相关权益。</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104EF6" w:rsidRDefault="00197FDB">
            <w:pPr>
              <w:widowControl/>
              <w:spacing w:line="320" w:lineRule="exact"/>
              <w:jc w:val="left"/>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2022年实际发放食堂从业人员劳务服务报酬补贴3.3万元，涉及人数2人。维护了农村义务教育学生营养改善计划长效保障机制和保障了学校食堂从业人员相关权益。</w:t>
            </w:r>
          </w:p>
        </w:tc>
      </w:tr>
      <w:tr w:rsidR="00104EF6">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一级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二级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三级</w:t>
            </w:r>
          </w:p>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1"/>
                <w:szCs w:val="21"/>
              </w:rPr>
            </w:pPr>
            <w:r>
              <w:rPr>
                <w:rFonts w:ascii="仿宋_GB2312" w:hAnsi="仿宋_GB2312" w:cs="仿宋_GB2312" w:hint="eastAsia"/>
                <w:color w:val="000000" w:themeColor="text1"/>
                <w:kern w:val="0"/>
                <w:sz w:val="21"/>
                <w:szCs w:val="21"/>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center"/>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实际完成指标值</w:t>
            </w:r>
          </w:p>
        </w:tc>
      </w:tr>
      <w:tr w:rsidR="00104EF6">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kern w:val="0"/>
                <w:sz w:val="20"/>
                <w:szCs w:val="20"/>
              </w:rPr>
            </w:pPr>
            <w:r>
              <w:rPr>
                <w:rFonts w:ascii="仿宋_GB2312" w:hAnsi="仿宋_GB2312" w:cs="仿宋_GB2312" w:hint="eastAsia"/>
                <w:color w:val="000000" w:themeColor="text1"/>
                <w:kern w:val="0"/>
                <w:sz w:val="20"/>
                <w:szCs w:val="20"/>
              </w:rPr>
              <w:t>完成</w:t>
            </w:r>
          </w:p>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数量指标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食堂从业人员聘请数量</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2</w:t>
            </w:r>
            <w:r>
              <w:rPr>
                <w:rFonts w:hint="eastAsia"/>
                <w:color w:val="000000" w:themeColor="text1"/>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2</w:t>
            </w:r>
            <w:r>
              <w:rPr>
                <w:rFonts w:hint="eastAsia"/>
                <w:color w:val="000000" w:themeColor="text1"/>
                <w:sz w:val="20"/>
                <w:szCs w:val="20"/>
              </w:rPr>
              <w:t>人</w:t>
            </w:r>
          </w:p>
        </w:tc>
      </w:tr>
      <w:tr w:rsidR="00104EF6">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食堂从业人员正常到岗率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成本指标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项目成本控制数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3.30</w:t>
            </w:r>
            <w:r>
              <w:rPr>
                <w:rFonts w:hint="eastAsia"/>
                <w:color w:val="000000" w:themeColor="text1"/>
                <w:sz w:val="20"/>
                <w:szCs w:val="20"/>
              </w:rPr>
              <w:t>万元</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3.30</w:t>
            </w:r>
            <w:r>
              <w:rPr>
                <w:rFonts w:hint="eastAsia"/>
                <w:color w:val="000000" w:themeColor="text1"/>
                <w:sz w:val="20"/>
                <w:szCs w:val="20"/>
              </w:rPr>
              <w:t>万元</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食堂从业人员工资发放准确率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时效指标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食堂从业人员工资发放及时率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104EF6" w:rsidRDefault="00197FDB">
            <w:pPr>
              <w:rPr>
                <w:color w:val="000000" w:themeColor="text1"/>
                <w:sz w:val="20"/>
                <w:szCs w:val="20"/>
              </w:rPr>
            </w:pPr>
            <w:r>
              <w:rPr>
                <w:rFonts w:hint="eastAsia"/>
                <w:color w:val="000000" w:themeColor="text1"/>
                <w:sz w:val="20"/>
                <w:szCs w:val="20"/>
              </w:rPr>
              <w:t>食堂从业人员资质符合率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center"/>
              <w:rPr>
                <w:rFonts w:ascii="宋体" w:eastAsia="宋体" w:hAnsi="宋体" w:cs="宋体"/>
                <w:color w:val="000000" w:themeColor="text1"/>
                <w:sz w:val="20"/>
                <w:szCs w:val="20"/>
              </w:rPr>
            </w:pPr>
            <w:r>
              <w:rPr>
                <w:rFonts w:hint="eastAsia"/>
                <w:color w:val="000000" w:themeColor="text1"/>
                <w:sz w:val="20"/>
                <w:szCs w:val="20"/>
              </w:rPr>
              <w:t>100%</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效益指标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食堂从业人员劳动服务报酬应发尽发率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100%</w:t>
            </w:r>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农村义务教育学生营养改善计划长效保障机制健全性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优</w:t>
            </w:r>
            <w:bookmarkStart w:id="4" w:name="_GoBack"/>
            <w:bookmarkEnd w:id="4"/>
          </w:p>
        </w:tc>
      </w:tr>
      <w:tr w:rsidR="00104EF6">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04EF6">
            <w:pPr>
              <w:spacing w:line="320" w:lineRule="exact"/>
              <w:jc w:val="center"/>
              <w:rPr>
                <w:rFonts w:ascii="仿宋_GB2312" w:hAnsi="仿宋_GB2312" w:cs="仿宋_GB2312"/>
                <w:color w:val="000000" w:themeColor="text1"/>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rPr>
                <w:rFonts w:ascii="宋体" w:eastAsia="宋体" w:hAnsi="宋体" w:cs="宋体"/>
                <w:color w:val="000000" w:themeColor="text1"/>
                <w:sz w:val="20"/>
                <w:szCs w:val="20"/>
              </w:rPr>
            </w:pPr>
            <w:r>
              <w:rPr>
                <w:rFonts w:hint="eastAsia"/>
                <w:color w:val="000000" w:themeColor="text1"/>
                <w:sz w:val="20"/>
                <w:szCs w:val="20"/>
              </w:rPr>
              <w:t>学校食堂从业人员劳动服务报酬发放管理机制健全性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优</w:t>
            </w:r>
          </w:p>
        </w:tc>
      </w:tr>
      <w:tr w:rsidR="00104EF6">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104EF6" w:rsidRDefault="00104EF6">
            <w:pPr>
              <w:spacing w:line="320" w:lineRule="exact"/>
              <w:jc w:val="center"/>
              <w:rPr>
                <w:rFonts w:ascii="仿宋_GB2312" w:hAnsi="仿宋_GB2312" w:cs="仿宋_GB2312"/>
                <w:color w:val="000000" w:themeColor="text1"/>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kern w:val="0"/>
                <w:sz w:val="20"/>
                <w:szCs w:val="20"/>
              </w:rPr>
              <w:t>满意度指标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spacing w:line="240" w:lineRule="exact"/>
              <w:jc w:val="left"/>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满意度指标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jc w:val="left"/>
              <w:rPr>
                <w:rFonts w:ascii="宋体" w:eastAsia="宋体" w:hAnsi="宋体" w:cs="宋体"/>
                <w:color w:val="000000" w:themeColor="text1"/>
                <w:sz w:val="20"/>
                <w:szCs w:val="20"/>
              </w:rPr>
            </w:pPr>
            <w:r>
              <w:rPr>
                <w:rFonts w:hint="eastAsia"/>
                <w:color w:val="000000" w:themeColor="text1"/>
                <w:sz w:val="20"/>
                <w:szCs w:val="20"/>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320" w:lineRule="exact"/>
              <w:jc w:val="center"/>
              <w:textAlignment w:val="bottom"/>
              <w:rPr>
                <w:rFonts w:ascii="仿宋_GB2312" w:hAnsi="仿宋_GB2312" w:cs="仿宋_GB2312"/>
                <w:color w:val="000000" w:themeColor="text1"/>
                <w:sz w:val="20"/>
                <w:szCs w:val="20"/>
              </w:rPr>
            </w:pPr>
            <w:r>
              <w:rPr>
                <w:rFonts w:ascii="仿宋_GB2312" w:hAnsi="仿宋_GB2312" w:cs="仿宋_GB2312" w:hint="eastAsia"/>
                <w:color w:val="000000" w:themeColor="text1"/>
                <w:sz w:val="20"/>
                <w:szCs w:val="20"/>
              </w:rPr>
              <w:t>100%</w:t>
            </w:r>
          </w:p>
        </w:tc>
      </w:tr>
    </w:tbl>
    <w:p w:rsidR="00104EF6" w:rsidRDefault="00104EF6">
      <w:pPr>
        <w:pStyle w:val="a0"/>
        <w:rPr>
          <w:rFonts w:ascii="仿宋_GB2312" w:hAnsi="宋体" w:cs="宋体"/>
          <w:color w:val="000000" w:themeColor="text1"/>
          <w:kern w:val="0"/>
          <w:szCs w:val="32"/>
          <w:highlight w:val="red"/>
          <w:shd w:val="clear" w:color="auto" w:fill="FFFFFF"/>
          <w:lang w:val="zh-CN"/>
        </w:rPr>
      </w:pPr>
    </w:p>
    <w:p w:rsidR="00104EF6" w:rsidRDefault="00104EF6">
      <w:pPr>
        <w:rPr>
          <w:color w:val="000000" w:themeColor="text1"/>
          <w:highlight w:val="red"/>
        </w:rPr>
        <w:sectPr w:rsidR="00104EF6">
          <w:headerReference w:type="default" r:id="rId8"/>
          <w:pgSz w:w="11906" w:h="16838"/>
          <w:pgMar w:top="1701" w:right="1474" w:bottom="1134" w:left="1587" w:header="851" w:footer="992" w:gutter="0"/>
          <w:pgNumType w:fmt="numberInDash" w:start="16"/>
          <w:cols w:space="0"/>
          <w:docGrid w:type="lines" w:linePitch="435"/>
        </w:sectPr>
      </w:pPr>
    </w:p>
    <w:tbl>
      <w:tblPr>
        <w:tblW w:w="14276" w:type="dxa"/>
        <w:tblInd w:w="93" w:type="dxa"/>
        <w:tblLook w:val="04A0"/>
      </w:tblPr>
      <w:tblGrid>
        <w:gridCol w:w="942"/>
        <w:gridCol w:w="781"/>
        <w:gridCol w:w="660"/>
        <w:gridCol w:w="579"/>
        <w:gridCol w:w="554"/>
        <w:gridCol w:w="2187"/>
        <w:gridCol w:w="5192"/>
        <w:gridCol w:w="672"/>
        <w:gridCol w:w="672"/>
        <w:gridCol w:w="672"/>
        <w:gridCol w:w="672"/>
        <w:gridCol w:w="693"/>
      </w:tblGrid>
      <w:tr w:rsidR="00104EF6">
        <w:trPr>
          <w:trHeight w:val="594"/>
        </w:trPr>
        <w:tc>
          <w:tcPr>
            <w:tcW w:w="1723" w:type="dxa"/>
            <w:gridSpan w:val="2"/>
            <w:tcBorders>
              <w:top w:val="nil"/>
              <w:left w:val="nil"/>
              <w:bottom w:val="nil"/>
              <w:right w:val="nil"/>
            </w:tcBorders>
            <w:shd w:val="clear" w:color="auto" w:fill="auto"/>
            <w:vAlign w:val="center"/>
          </w:tcPr>
          <w:p w:rsidR="00104EF6" w:rsidRDefault="00197FDB">
            <w:pPr>
              <w:widowControl/>
              <w:jc w:val="left"/>
              <w:textAlignment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附件4：</w:t>
            </w:r>
          </w:p>
        </w:tc>
        <w:tc>
          <w:tcPr>
            <w:tcW w:w="660" w:type="dxa"/>
            <w:tcBorders>
              <w:top w:val="nil"/>
              <w:left w:val="nil"/>
              <w:bottom w:val="nil"/>
              <w:right w:val="nil"/>
            </w:tcBorders>
            <w:shd w:val="clear" w:color="auto" w:fill="auto"/>
            <w:vAlign w:val="center"/>
          </w:tcPr>
          <w:p w:rsidR="00104EF6" w:rsidRDefault="00104EF6">
            <w:pPr>
              <w:jc w:val="center"/>
              <w:rPr>
                <w:rFonts w:ascii="宋体" w:eastAsia="宋体" w:hAnsi="宋体" w:cs="宋体"/>
                <w:color w:val="000000" w:themeColor="text1"/>
                <w:sz w:val="24"/>
              </w:rPr>
            </w:pPr>
          </w:p>
        </w:tc>
        <w:tc>
          <w:tcPr>
            <w:tcW w:w="579" w:type="dxa"/>
            <w:tcBorders>
              <w:top w:val="nil"/>
              <w:left w:val="nil"/>
              <w:bottom w:val="nil"/>
              <w:right w:val="nil"/>
            </w:tcBorders>
            <w:shd w:val="clear" w:color="auto" w:fill="auto"/>
            <w:vAlign w:val="center"/>
          </w:tcPr>
          <w:p w:rsidR="00104EF6" w:rsidRDefault="00104EF6">
            <w:pPr>
              <w:jc w:val="center"/>
              <w:rPr>
                <w:rFonts w:ascii="宋体" w:eastAsia="宋体" w:hAnsi="宋体" w:cs="宋体"/>
                <w:color w:val="000000" w:themeColor="text1"/>
                <w:sz w:val="24"/>
              </w:rPr>
            </w:pPr>
          </w:p>
        </w:tc>
        <w:tc>
          <w:tcPr>
            <w:tcW w:w="554" w:type="dxa"/>
            <w:tcBorders>
              <w:top w:val="nil"/>
              <w:left w:val="nil"/>
              <w:bottom w:val="nil"/>
              <w:right w:val="nil"/>
            </w:tcBorders>
            <w:shd w:val="clear" w:color="auto" w:fill="auto"/>
            <w:vAlign w:val="center"/>
          </w:tcPr>
          <w:p w:rsidR="00104EF6" w:rsidRDefault="00104EF6">
            <w:pPr>
              <w:jc w:val="center"/>
              <w:rPr>
                <w:rFonts w:ascii="宋体" w:eastAsia="宋体" w:hAnsi="宋体" w:cs="宋体"/>
                <w:color w:val="000000" w:themeColor="text1"/>
                <w:sz w:val="24"/>
              </w:rPr>
            </w:pPr>
          </w:p>
        </w:tc>
        <w:tc>
          <w:tcPr>
            <w:tcW w:w="2187" w:type="dxa"/>
            <w:tcBorders>
              <w:top w:val="nil"/>
              <w:left w:val="nil"/>
              <w:bottom w:val="nil"/>
              <w:right w:val="nil"/>
            </w:tcBorders>
            <w:shd w:val="clear" w:color="auto" w:fill="auto"/>
            <w:vAlign w:val="center"/>
          </w:tcPr>
          <w:p w:rsidR="00104EF6" w:rsidRDefault="00104EF6">
            <w:pPr>
              <w:jc w:val="left"/>
              <w:rPr>
                <w:rFonts w:ascii="宋体" w:eastAsia="宋体" w:hAnsi="宋体" w:cs="宋体"/>
                <w:color w:val="000000" w:themeColor="text1"/>
                <w:sz w:val="24"/>
              </w:rPr>
            </w:pPr>
          </w:p>
        </w:tc>
        <w:tc>
          <w:tcPr>
            <w:tcW w:w="5192"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16"/>
                <w:szCs w:val="16"/>
              </w:rPr>
            </w:pPr>
          </w:p>
        </w:tc>
        <w:tc>
          <w:tcPr>
            <w:tcW w:w="672"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16"/>
                <w:szCs w:val="16"/>
              </w:rPr>
            </w:pPr>
          </w:p>
        </w:tc>
        <w:tc>
          <w:tcPr>
            <w:tcW w:w="672"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16"/>
                <w:szCs w:val="16"/>
              </w:rPr>
            </w:pPr>
          </w:p>
        </w:tc>
        <w:tc>
          <w:tcPr>
            <w:tcW w:w="672"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16"/>
                <w:szCs w:val="16"/>
              </w:rPr>
            </w:pPr>
          </w:p>
        </w:tc>
        <w:tc>
          <w:tcPr>
            <w:tcW w:w="672"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24"/>
              </w:rPr>
            </w:pPr>
          </w:p>
        </w:tc>
        <w:tc>
          <w:tcPr>
            <w:tcW w:w="693" w:type="dxa"/>
            <w:tcBorders>
              <w:top w:val="nil"/>
              <w:left w:val="nil"/>
              <w:bottom w:val="nil"/>
              <w:right w:val="nil"/>
            </w:tcBorders>
            <w:shd w:val="clear" w:color="auto" w:fill="auto"/>
            <w:vAlign w:val="center"/>
          </w:tcPr>
          <w:p w:rsidR="00104EF6" w:rsidRDefault="00104EF6">
            <w:pPr>
              <w:rPr>
                <w:rFonts w:ascii="宋体" w:eastAsia="宋体" w:hAnsi="宋体" w:cs="宋体"/>
                <w:color w:val="000000" w:themeColor="text1"/>
                <w:sz w:val="24"/>
              </w:rPr>
            </w:pPr>
          </w:p>
        </w:tc>
      </w:tr>
      <w:tr w:rsidR="00104EF6">
        <w:trPr>
          <w:trHeight w:val="1187"/>
        </w:trPr>
        <w:tc>
          <w:tcPr>
            <w:tcW w:w="14276" w:type="dxa"/>
            <w:gridSpan w:val="12"/>
            <w:tcBorders>
              <w:top w:val="nil"/>
              <w:left w:val="nil"/>
              <w:bottom w:val="single" w:sz="4" w:space="0" w:color="000000"/>
              <w:right w:val="nil"/>
            </w:tcBorders>
            <w:shd w:val="clear" w:color="auto" w:fill="auto"/>
            <w:vAlign w:val="center"/>
          </w:tcPr>
          <w:p w:rsidR="00104EF6" w:rsidRDefault="00197FDB">
            <w:pPr>
              <w:widowControl/>
              <w:jc w:val="center"/>
              <w:textAlignment w:val="center"/>
              <w:rPr>
                <w:rFonts w:ascii="宋体" w:eastAsia="宋体" w:hAnsi="宋体" w:cs="宋体"/>
                <w:b/>
                <w:bCs/>
                <w:color w:val="000000" w:themeColor="text1"/>
                <w:szCs w:val="32"/>
              </w:rPr>
            </w:pPr>
            <w:r>
              <w:rPr>
                <w:rFonts w:ascii="宋体" w:eastAsia="宋体" w:hAnsi="宋体" w:cs="宋体" w:hint="eastAsia"/>
                <w:b/>
                <w:bCs/>
                <w:color w:val="000000" w:themeColor="text1"/>
                <w:kern w:val="0"/>
                <w:szCs w:val="32"/>
              </w:rPr>
              <w:t>达川区石梯镇银铁中心学校2023年整体支出绩效评价指标体系</w:t>
            </w:r>
          </w:p>
        </w:tc>
      </w:tr>
      <w:tr w:rsidR="00104EF6">
        <w:trPr>
          <w:trHeight w:val="362"/>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绩效指标</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指标分值</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评价得分</w:t>
            </w:r>
          </w:p>
        </w:tc>
        <w:tc>
          <w:tcPr>
            <w:tcW w:w="2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指标解释</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计分标准</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评价方式</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评价属性</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备注</w:t>
            </w:r>
          </w:p>
        </w:tc>
      </w:tr>
      <w:tr w:rsidR="00104EF6">
        <w:trPr>
          <w:trHeight w:val="1003"/>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一级指标</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二级指标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三级指标</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c>
          <w:tcPr>
            <w:tcW w:w="2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整体评价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样本评价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定性评价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定量评价</w:t>
            </w:r>
          </w:p>
        </w:tc>
        <w:tc>
          <w:tcPr>
            <w:tcW w:w="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r>
      <w:tr w:rsidR="00104EF6">
        <w:trPr>
          <w:trHeight w:val="362"/>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18"/>
                <w:szCs w:val="18"/>
              </w:rPr>
              <w:t>得分合计</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b/>
                <w:bCs/>
                <w:color w:val="000000" w:themeColor="text1"/>
                <w:sz w:val="18"/>
                <w:szCs w:val="18"/>
              </w:rPr>
            </w:pPr>
          </w:p>
        </w:tc>
        <w:tc>
          <w:tcPr>
            <w:tcW w:w="7933" w:type="dxa"/>
            <w:gridSpan w:val="3"/>
            <w:tcBorders>
              <w:top w:val="single" w:sz="4" w:space="0" w:color="000000"/>
              <w:left w:val="single" w:sz="4" w:space="0" w:color="000000"/>
              <w:bottom w:val="single" w:sz="4" w:space="0" w:color="000000"/>
              <w:right w:val="nil"/>
            </w:tcBorders>
            <w:shd w:val="clear" w:color="auto" w:fill="auto"/>
            <w:vAlign w:val="center"/>
          </w:tcPr>
          <w:p w:rsidR="00104EF6" w:rsidRDefault="00197FDB">
            <w:pPr>
              <w:widowControl/>
              <w:spacing w:line="24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95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b/>
                <w:bCs/>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b/>
                <w:bCs/>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b/>
                <w:bCs/>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b/>
                <w:bCs/>
                <w:color w:val="000000" w:themeColor="text1"/>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b/>
                <w:bCs/>
                <w:color w:val="000000" w:themeColor="text1"/>
                <w:sz w:val="18"/>
                <w:szCs w:val="18"/>
              </w:rPr>
            </w:pPr>
          </w:p>
        </w:tc>
      </w:tr>
      <w:tr w:rsidR="00104EF6">
        <w:trPr>
          <w:trHeight w:val="1999"/>
        </w:trPr>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部门预算项目绩效管理（40分）</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目标管理（15分）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目标制定</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评价部门绩效目标是否要素完整、细化量化并集体决策。</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2981"/>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目标实现</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评价部门绩效目标实际实现程度与预期目标的偏离度。</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w:t>
            </w:r>
            <w:r>
              <w:rPr>
                <w:rFonts w:ascii="宋体" w:eastAsia="宋体" w:hAnsi="宋体" w:cs="宋体" w:hint="eastAsia"/>
                <w:color w:val="000000" w:themeColor="text1"/>
                <w:kern w:val="0"/>
                <w:sz w:val="15"/>
                <w:szCs w:val="15"/>
              </w:rPr>
              <w:t>自评范围为部门所有纳入绩效目标管理的部门预算项目</w:t>
            </w:r>
          </w:p>
        </w:tc>
      </w:tr>
      <w:tr w:rsidR="00104EF6">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                                                                             动态调整（10分）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支出控制</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部门公用经费及非定额公用支出控制情况。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2325"/>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及时处置</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评价部门开展绩效运行监控后，将绩效监控结果应用到预算调整的情况。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205"/>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执行进度</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评价部门在6、9、11月的预算执行情况。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部门预算执行进度在6、9、11月应达到序时进度的80%、90%、95%，即实际支出进度分别达到40%、67.5%、82.5%。                                                     6、9、11月部门预算执行进度达到量化指标的分别得1分、1分、2分，未达到目标进度的按其实际进度占目标进度的比重计算得分。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690"/>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完成效率（15分）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预算完成</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评价部门预算项目年终预算执行情况。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部门预算项目12月预算执行进度达到100%的，得5分，未达100%的，按照实际进度量化计算得分。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资金结余率</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8</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评价部门预算项目年终资金结余情况。                 </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部门预算项目资金结余率小于0.1的项目数/部门预算项目总数*8。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（低效无效率）</w:t>
            </w:r>
          </w:p>
        </w:tc>
      </w:tr>
      <w:tr w:rsidR="00104EF6">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违规记录</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根据审计监督、财政检查等结果反映部门上一年度部门预算管理是否合规。</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依据评价年度审计监督、财政检查结果，出现部门预算管理方面违纪违规问题的，每个问题扣0.2分，直至扣完。</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344"/>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lastRenderedPageBreak/>
              <w:t>专项预算项目绩效管理（40分）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专项预算项目绩效管理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项目个数（*个）</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40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40</w:t>
            </w:r>
          </w:p>
        </w:tc>
        <w:tc>
          <w:tcPr>
            <w:tcW w:w="107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rsidR="00104EF6">
        <w:trPr>
          <w:trHeight w:val="1016"/>
        </w:trPr>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绩效结果应用（10分）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内部应用（4分）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预算挂钩</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部门内部绩效结果与预算挂钩情况。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 xml:space="preserve">将内设机构和下属单位绩效自评纳入考核体系，建立对内设机构和下属单位预算与绩效挂钩机制的，得4分，否则酌情扣分。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r>
      <w:tr w:rsidR="00104EF6">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信息公开（2分）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自评公开</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评价部门是否按要求将部门整体绩效自评情况和自行组织的评价情况向社会公开。</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按要求将相关绩效信息随同决算公开的，得2分，否则不得分。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整改反馈（4分）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问题整改</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评价部门根据绩效管理结果整改问题、完善政策、改进管理的情况。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针对绩效管理过程中（包括绩效目标核查、绩效监控核查和重点绩效评价）提出的问题进行整改，得2分，否则酌情扣分。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应用反馈</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评价部门按要求及时向财政部门反馈结果应用情况。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部门在规定时间内向财政部门反馈应用绩效结果报告的，得2分，否则不得分。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left"/>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344"/>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自评质量（10分）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自评质量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自评质量</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9</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评价部门整体支出自评准确率。</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r w:rsidR="00104EF6">
        <w:trPr>
          <w:trHeight w:val="1050"/>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扣分项（10分）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被评价单位配合评价工作情况。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jc w:val="center"/>
              <w:rPr>
                <w:rFonts w:ascii="宋体" w:eastAsia="宋体" w:hAnsi="宋体" w:cs="宋体"/>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97FDB">
            <w:pPr>
              <w:widowControl/>
              <w:spacing w:line="2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EF6" w:rsidRDefault="00104EF6">
            <w:pPr>
              <w:widowControl/>
              <w:spacing w:line="240" w:lineRule="exact"/>
              <w:rPr>
                <w:rFonts w:ascii="宋体" w:eastAsia="宋体" w:hAnsi="宋体" w:cs="宋体"/>
                <w:color w:val="000000" w:themeColor="text1"/>
                <w:sz w:val="18"/>
                <w:szCs w:val="18"/>
              </w:rPr>
            </w:pPr>
          </w:p>
        </w:tc>
      </w:tr>
    </w:tbl>
    <w:p w:rsidR="00104EF6" w:rsidRDefault="00104EF6">
      <w:pPr>
        <w:pStyle w:val="a0"/>
        <w:rPr>
          <w:color w:val="000000" w:themeColor="text1"/>
        </w:rPr>
      </w:pPr>
    </w:p>
    <w:sectPr w:rsidR="00104EF6" w:rsidSect="00104EF6">
      <w:pgSz w:w="16838" w:h="11906" w:orient="landscape"/>
      <w:pgMar w:top="1701" w:right="1474" w:bottom="1134" w:left="1587" w:header="851" w:footer="992" w:gutter="0"/>
      <w:pgNumType w:fmt="numberInDash" w:start="16"/>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EF6" w:rsidRDefault="00104EF6" w:rsidP="00104EF6">
      <w:r>
        <w:separator/>
      </w:r>
    </w:p>
  </w:endnote>
  <w:endnote w:type="continuationSeparator" w:id="0">
    <w:p w:rsidR="00104EF6" w:rsidRDefault="00104EF6" w:rsidP="00104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EF6" w:rsidRDefault="00104EF6" w:rsidP="00104EF6">
      <w:r>
        <w:separator/>
      </w:r>
    </w:p>
  </w:footnote>
  <w:footnote w:type="continuationSeparator" w:id="0">
    <w:p w:rsidR="00104EF6" w:rsidRDefault="00104EF6" w:rsidP="00104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F6" w:rsidRDefault="00104EF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C6C42"/>
    <w:multiLevelType w:val="singleLevel"/>
    <w:tmpl w:val="AFDC6C42"/>
    <w:lvl w:ilvl="0">
      <w:start w:val="2"/>
      <w:numFmt w:val="chineseCounting"/>
      <w:suff w:val="nothing"/>
      <w:lvlText w:val="（%1）"/>
      <w:lvlJc w:val="left"/>
      <w:rPr>
        <w:rFonts w:hint="eastAsia"/>
      </w:rPr>
    </w:lvl>
  </w:abstractNum>
  <w:abstractNum w:abstractNumId="1">
    <w:nsid w:val="D9B2ADC8"/>
    <w:multiLevelType w:val="singleLevel"/>
    <w:tmpl w:val="D9B2ADC8"/>
    <w:lvl w:ilvl="0">
      <w:start w:val="2"/>
      <w:numFmt w:val="chineseCounting"/>
      <w:suff w:val="nothing"/>
      <w:lvlText w:val="（%1）"/>
      <w:lvlJc w:val="left"/>
      <w:pPr>
        <w:ind w:left="640"/>
      </w:pPr>
      <w:rPr>
        <w:rFonts w:hint="eastAsia"/>
      </w:rPr>
    </w:lvl>
  </w:abstractNum>
  <w:abstractNum w:abstractNumId="2">
    <w:nsid w:val="09CC7128"/>
    <w:multiLevelType w:val="singleLevel"/>
    <w:tmpl w:val="09CC7128"/>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g5YTMyOTFjYzFjZjc2ZWE4ODU5Y2VhZDRjM2RjYzMifQ=="/>
  </w:docVars>
  <w:rsids>
    <w:rsidRoot w:val="24DD0D9F"/>
    <w:rsid w:val="00104EF6"/>
    <w:rsid w:val="001751D8"/>
    <w:rsid w:val="00197FDB"/>
    <w:rsid w:val="002537DC"/>
    <w:rsid w:val="004E502D"/>
    <w:rsid w:val="00667963"/>
    <w:rsid w:val="008F4A47"/>
    <w:rsid w:val="00C77B0F"/>
    <w:rsid w:val="013D4277"/>
    <w:rsid w:val="02144870"/>
    <w:rsid w:val="02546A72"/>
    <w:rsid w:val="02675F92"/>
    <w:rsid w:val="030777EC"/>
    <w:rsid w:val="0329668A"/>
    <w:rsid w:val="0345351B"/>
    <w:rsid w:val="035D3297"/>
    <w:rsid w:val="038B7230"/>
    <w:rsid w:val="03EE05AA"/>
    <w:rsid w:val="03F2150D"/>
    <w:rsid w:val="03F34AF1"/>
    <w:rsid w:val="03F93B1B"/>
    <w:rsid w:val="046D40D6"/>
    <w:rsid w:val="04A80415"/>
    <w:rsid w:val="05160BC6"/>
    <w:rsid w:val="053553CA"/>
    <w:rsid w:val="05485DF6"/>
    <w:rsid w:val="05CD4745"/>
    <w:rsid w:val="06302C4A"/>
    <w:rsid w:val="06A0572A"/>
    <w:rsid w:val="06F86E33"/>
    <w:rsid w:val="07157053"/>
    <w:rsid w:val="077F41EF"/>
    <w:rsid w:val="07A56FBB"/>
    <w:rsid w:val="084D5D0C"/>
    <w:rsid w:val="09217675"/>
    <w:rsid w:val="09522E19"/>
    <w:rsid w:val="09614F76"/>
    <w:rsid w:val="09DA0859"/>
    <w:rsid w:val="0A824068"/>
    <w:rsid w:val="0AB91D87"/>
    <w:rsid w:val="0B086CFB"/>
    <w:rsid w:val="0B2D6FBF"/>
    <w:rsid w:val="0B4B5C4A"/>
    <w:rsid w:val="0BB10187"/>
    <w:rsid w:val="0C077163"/>
    <w:rsid w:val="0C462CA8"/>
    <w:rsid w:val="0C7137EE"/>
    <w:rsid w:val="0CBD6908"/>
    <w:rsid w:val="0CF602B9"/>
    <w:rsid w:val="0D3C32AC"/>
    <w:rsid w:val="0DAE673D"/>
    <w:rsid w:val="0DB67576"/>
    <w:rsid w:val="0E06609E"/>
    <w:rsid w:val="0E462918"/>
    <w:rsid w:val="0E6D3530"/>
    <w:rsid w:val="0ED35B18"/>
    <w:rsid w:val="0EE05570"/>
    <w:rsid w:val="0EEA0603"/>
    <w:rsid w:val="0F7C0A5E"/>
    <w:rsid w:val="10347C6B"/>
    <w:rsid w:val="105113E1"/>
    <w:rsid w:val="10F35A79"/>
    <w:rsid w:val="11340302"/>
    <w:rsid w:val="1176045B"/>
    <w:rsid w:val="118B5F8A"/>
    <w:rsid w:val="120D5781"/>
    <w:rsid w:val="12420353"/>
    <w:rsid w:val="12B66520"/>
    <w:rsid w:val="13276A0E"/>
    <w:rsid w:val="133F5EF7"/>
    <w:rsid w:val="13702C49"/>
    <w:rsid w:val="137D6C5D"/>
    <w:rsid w:val="13844C50"/>
    <w:rsid w:val="13EE6904"/>
    <w:rsid w:val="145D29CB"/>
    <w:rsid w:val="14863F75"/>
    <w:rsid w:val="14F56125"/>
    <w:rsid w:val="15D023E1"/>
    <w:rsid w:val="16126DDA"/>
    <w:rsid w:val="16CB091A"/>
    <w:rsid w:val="17244A9A"/>
    <w:rsid w:val="181D73A4"/>
    <w:rsid w:val="1863523D"/>
    <w:rsid w:val="18C21AF1"/>
    <w:rsid w:val="19355618"/>
    <w:rsid w:val="196E0920"/>
    <w:rsid w:val="19D674A8"/>
    <w:rsid w:val="19E074A6"/>
    <w:rsid w:val="1A2A046E"/>
    <w:rsid w:val="1A5F2FF9"/>
    <w:rsid w:val="1A8A6890"/>
    <w:rsid w:val="1A8F6A5B"/>
    <w:rsid w:val="1B133BCA"/>
    <w:rsid w:val="1B537071"/>
    <w:rsid w:val="1BE044FE"/>
    <w:rsid w:val="1BEE7124"/>
    <w:rsid w:val="1C0D18F5"/>
    <w:rsid w:val="1CC103E8"/>
    <w:rsid w:val="1D28187E"/>
    <w:rsid w:val="1D8901A5"/>
    <w:rsid w:val="1D9D4633"/>
    <w:rsid w:val="1DD71937"/>
    <w:rsid w:val="1DD71A40"/>
    <w:rsid w:val="1E4525F0"/>
    <w:rsid w:val="1E800ECE"/>
    <w:rsid w:val="1E811F2D"/>
    <w:rsid w:val="1EAA14DD"/>
    <w:rsid w:val="1EAF0002"/>
    <w:rsid w:val="1ED41261"/>
    <w:rsid w:val="1F051986"/>
    <w:rsid w:val="1FBF7AA1"/>
    <w:rsid w:val="20292739"/>
    <w:rsid w:val="205F1DDC"/>
    <w:rsid w:val="206300A8"/>
    <w:rsid w:val="207B38A4"/>
    <w:rsid w:val="20977747"/>
    <w:rsid w:val="21BA76AF"/>
    <w:rsid w:val="21D62A90"/>
    <w:rsid w:val="21EF57B9"/>
    <w:rsid w:val="227D2BB6"/>
    <w:rsid w:val="228F28EA"/>
    <w:rsid w:val="22C22788"/>
    <w:rsid w:val="23587F51"/>
    <w:rsid w:val="23A377A4"/>
    <w:rsid w:val="240D363E"/>
    <w:rsid w:val="240D5E3C"/>
    <w:rsid w:val="242668EE"/>
    <w:rsid w:val="24455271"/>
    <w:rsid w:val="24DD0D9F"/>
    <w:rsid w:val="25761B3F"/>
    <w:rsid w:val="25846BE9"/>
    <w:rsid w:val="258C6A3A"/>
    <w:rsid w:val="25B15618"/>
    <w:rsid w:val="25DC1D81"/>
    <w:rsid w:val="25F071DA"/>
    <w:rsid w:val="25FC5ED2"/>
    <w:rsid w:val="264F7A39"/>
    <w:rsid w:val="275E4067"/>
    <w:rsid w:val="27F75D2D"/>
    <w:rsid w:val="281007E5"/>
    <w:rsid w:val="284819FF"/>
    <w:rsid w:val="28EF5908"/>
    <w:rsid w:val="28FB3842"/>
    <w:rsid w:val="29A72857"/>
    <w:rsid w:val="29BB2FBA"/>
    <w:rsid w:val="29D64754"/>
    <w:rsid w:val="2A3B4896"/>
    <w:rsid w:val="2AB44067"/>
    <w:rsid w:val="2AF431BC"/>
    <w:rsid w:val="2B8F1ED2"/>
    <w:rsid w:val="2BFE1A74"/>
    <w:rsid w:val="2C1A12E0"/>
    <w:rsid w:val="2C276DF0"/>
    <w:rsid w:val="2C970772"/>
    <w:rsid w:val="2CD45AC9"/>
    <w:rsid w:val="2D2C09C7"/>
    <w:rsid w:val="2D97648F"/>
    <w:rsid w:val="2E0A4DE3"/>
    <w:rsid w:val="2E5D5E8C"/>
    <w:rsid w:val="2E914D5E"/>
    <w:rsid w:val="2F3054D7"/>
    <w:rsid w:val="2FE268F1"/>
    <w:rsid w:val="2FE54655"/>
    <w:rsid w:val="30460994"/>
    <w:rsid w:val="30C909CA"/>
    <w:rsid w:val="31950B3C"/>
    <w:rsid w:val="32350E38"/>
    <w:rsid w:val="325E210A"/>
    <w:rsid w:val="328C4682"/>
    <w:rsid w:val="32AB3878"/>
    <w:rsid w:val="32E34FD8"/>
    <w:rsid w:val="331E668C"/>
    <w:rsid w:val="33A20BB5"/>
    <w:rsid w:val="341A67FB"/>
    <w:rsid w:val="352F19CD"/>
    <w:rsid w:val="35535BAE"/>
    <w:rsid w:val="36316C35"/>
    <w:rsid w:val="36AD0CC0"/>
    <w:rsid w:val="36E9371D"/>
    <w:rsid w:val="37163DCB"/>
    <w:rsid w:val="37896841"/>
    <w:rsid w:val="37E64902"/>
    <w:rsid w:val="37EE23AF"/>
    <w:rsid w:val="38120B24"/>
    <w:rsid w:val="384E46DC"/>
    <w:rsid w:val="38EF5871"/>
    <w:rsid w:val="39523466"/>
    <w:rsid w:val="397D35E3"/>
    <w:rsid w:val="3A176A0C"/>
    <w:rsid w:val="3ADB44C6"/>
    <w:rsid w:val="3B4E1B66"/>
    <w:rsid w:val="3B927FC0"/>
    <w:rsid w:val="3B973F04"/>
    <w:rsid w:val="3BA1661B"/>
    <w:rsid w:val="3C0D76D7"/>
    <w:rsid w:val="3C4168BF"/>
    <w:rsid w:val="3C6C1155"/>
    <w:rsid w:val="3CC870D7"/>
    <w:rsid w:val="3D3B070D"/>
    <w:rsid w:val="3E581A30"/>
    <w:rsid w:val="3EC531C0"/>
    <w:rsid w:val="3EF436BA"/>
    <w:rsid w:val="3EF43A7A"/>
    <w:rsid w:val="3F1B51C8"/>
    <w:rsid w:val="3F864857"/>
    <w:rsid w:val="3FA64212"/>
    <w:rsid w:val="3FB34286"/>
    <w:rsid w:val="3FCA10BA"/>
    <w:rsid w:val="403B4E5B"/>
    <w:rsid w:val="407D1676"/>
    <w:rsid w:val="40C9514D"/>
    <w:rsid w:val="41574677"/>
    <w:rsid w:val="430B26BB"/>
    <w:rsid w:val="430F052D"/>
    <w:rsid w:val="432711BB"/>
    <w:rsid w:val="437F29F8"/>
    <w:rsid w:val="43A833B4"/>
    <w:rsid w:val="446B40B2"/>
    <w:rsid w:val="44EB4583"/>
    <w:rsid w:val="453E5ADB"/>
    <w:rsid w:val="459221AF"/>
    <w:rsid w:val="45A0681F"/>
    <w:rsid w:val="45AA1447"/>
    <w:rsid w:val="467A2B43"/>
    <w:rsid w:val="46B64F68"/>
    <w:rsid w:val="471E3036"/>
    <w:rsid w:val="475447B9"/>
    <w:rsid w:val="47B553DC"/>
    <w:rsid w:val="47C812FA"/>
    <w:rsid w:val="481212DA"/>
    <w:rsid w:val="482A569D"/>
    <w:rsid w:val="48344F93"/>
    <w:rsid w:val="48CA6540"/>
    <w:rsid w:val="492E25E8"/>
    <w:rsid w:val="494D5B12"/>
    <w:rsid w:val="496C59D8"/>
    <w:rsid w:val="4A294BF0"/>
    <w:rsid w:val="4ABB6F11"/>
    <w:rsid w:val="4ADE6B3E"/>
    <w:rsid w:val="4B0F5DBD"/>
    <w:rsid w:val="4B4165E7"/>
    <w:rsid w:val="4B840F58"/>
    <w:rsid w:val="4BC46433"/>
    <w:rsid w:val="4C0C2FE0"/>
    <w:rsid w:val="4CC21DE8"/>
    <w:rsid w:val="4CD77D18"/>
    <w:rsid w:val="4CF345BD"/>
    <w:rsid w:val="4DCF02B9"/>
    <w:rsid w:val="4DD35A19"/>
    <w:rsid w:val="4DDA5C4B"/>
    <w:rsid w:val="4DDF644F"/>
    <w:rsid w:val="4DE304D6"/>
    <w:rsid w:val="4EB836A9"/>
    <w:rsid w:val="4EBA0A2E"/>
    <w:rsid w:val="4F7638BE"/>
    <w:rsid w:val="4F895663"/>
    <w:rsid w:val="4FAF3CEF"/>
    <w:rsid w:val="4FF0236A"/>
    <w:rsid w:val="504F4E23"/>
    <w:rsid w:val="50787D2F"/>
    <w:rsid w:val="50EF420C"/>
    <w:rsid w:val="51506CEE"/>
    <w:rsid w:val="515676A3"/>
    <w:rsid w:val="51846FF5"/>
    <w:rsid w:val="51F85989"/>
    <w:rsid w:val="52982042"/>
    <w:rsid w:val="52F67C97"/>
    <w:rsid w:val="538B71AA"/>
    <w:rsid w:val="53F457AC"/>
    <w:rsid w:val="54011CBD"/>
    <w:rsid w:val="54E60E9E"/>
    <w:rsid w:val="54EB3797"/>
    <w:rsid w:val="55256529"/>
    <w:rsid w:val="55E01770"/>
    <w:rsid w:val="5624200F"/>
    <w:rsid w:val="56765354"/>
    <w:rsid w:val="57C1696A"/>
    <w:rsid w:val="57D16367"/>
    <w:rsid w:val="57F468E6"/>
    <w:rsid w:val="58DC4DC9"/>
    <w:rsid w:val="594B05CE"/>
    <w:rsid w:val="598D7122"/>
    <w:rsid w:val="59AC533B"/>
    <w:rsid w:val="5A5773F1"/>
    <w:rsid w:val="5A9C7A2D"/>
    <w:rsid w:val="5AA67CE7"/>
    <w:rsid w:val="5ACA788E"/>
    <w:rsid w:val="5B2651D8"/>
    <w:rsid w:val="5B570375"/>
    <w:rsid w:val="5B5D1179"/>
    <w:rsid w:val="5B650361"/>
    <w:rsid w:val="5BAC74A6"/>
    <w:rsid w:val="5BB112D2"/>
    <w:rsid w:val="5CCA7E92"/>
    <w:rsid w:val="5D2E44D2"/>
    <w:rsid w:val="5D4B5084"/>
    <w:rsid w:val="5E8B00E2"/>
    <w:rsid w:val="5EA72CF2"/>
    <w:rsid w:val="5F1836CD"/>
    <w:rsid w:val="5F497AD2"/>
    <w:rsid w:val="5F5844DC"/>
    <w:rsid w:val="5F734876"/>
    <w:rsid w:val="5F7B095B"/>
    <w:rsid w:val="5FC45888"/>
    <w:rsid w:val="607B3DA1"/>
    <w:rsid w:val="60BF0CD2"/>
    <w:rsid w:val="60F24CDB"/>
    <w:rsid w:val="6187621A"/>
    <w:rsid w:val="62C70D09"/>
    <w:rsid w:val="632D5177"/>
    <w:rsid w:val="63690766"/>
    <w:rsid w:val="63A83743"/>
    <w:rsid w:val="63EC1FDA"/>
    <w:rsid w:val="64A0775E"/>
    <w:rsid w:val="64D84A58"/>
    <w:rsid w:val="651833E8"/>
    <w:rsid w:val="65836EA5"/>
    <w:rsid w:val="65FF0204"/>
    <w:rsid w:val="66633E6E"/>
    <w:rsid w:val="66703465"/>
    <w:rsid w:val="66931727"/>
    <w:rsid w:val="67570EB1"/>
    <w:rsid w:val="67647781"/>
    <w:rsid w:val="68EF6D3E"/>
    <w:rsid w:val="693D23AB"/>
    <w:rsid w:val="694A02F2"/>
    <w:rsid w:val="69530FDA"/>
    <w:rsid w:val="69BC0C28"/>
    <w:rsid w:val="69CF799B"/>
    <w:rsid w:val="6A542C1F"/>
    <w:rsid w:val="6B731339"/>
    <w:rsid w:val="6B995F45"/>
    <w:rsid w:val="6C940E00"/>
    <w:rsid w:val="6D1241A0"/>
    <w:rsid w:val="6E406318"/>
    <w:rsid w:val="6E6A2640"/>
    <w:rsid w:val="6F6C2DCC"/>
    <w:rsid w:val="707B3132"/>
    <w:rsid w:val="70BE708F"/>
    <w:rsid w:val="70D92C27"/>
    <w:rsid w:val="71982220"/>
    <w:rsid w:val="71E35433"/>
    <w:rsid w:val="71FE401B"/>
    <w:rsid w:val="72352623"/>
    <w:rsid w:val="723E4C29"/>
    <w:rsid w:val="72C8211B"/>
    <w:rsid w:val="735B0C23"/>
    <w:rsid w:val="73BD1ADF"/>
    <w:rsid w:val="73E9130F"/>
    <w:rsid w:val="740D3E60"/>
    <w:rsid w:val="746A213F"/>
    <w:rsid w:val="74A54D32"/>
    <w:rsid w:val="75856752"/>
    <w:rsid w:val="75E635B5"/>
    <w:rsid w:val="77636A64"/>
    <w:rsid w:val="778E46D4"/>
    <w:rsid w:val="77C6261E"/>
    <w:rsid w:val="77EA25B1"/>
    <w:rsid w:val="787D7EFC"/>
    <w:rsid w:val="790243F1"/>
    <w:rsid w:val="796A35B7"/>
    <w:rsid w:val="79710303"/>
    <w:rsid w:val="7A3E4ED4"/>
    <w:rsid w:val="7A566539"/>
    <w:rsid w:val="7A802674"/>
    <w:rsid w:val="7AB06959"/>
    <w:rsid w:val="7B0001E5"/>
    <w:rsid w:val="7B89704B"/>
    <w:rsid w:val="7BD90934"/>
    <w:rsid w:val="7BF62539"/>
    <w:rsid w:val="7C305C04"/>
    <w:rsid w:val="7D007E4C"/>
    <w:rsid w:val="7E9F6E46"/>
    <w:rsid w:val="7ECE188F"/>
    <w:rsid w:val="7EDE1DB6"/>
    <w:rsid w:val="7EDE20FC"/>
    <w:rsid w:val="7EE5009B"/>
    <w:rsid w:val="7F430977"/>
    <w:rsid w:val="7F721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04EF6"/>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qFormat/>
    <w:rsid w:val="00104EF6"/>
    <w:pPr>
      <w:tabs>
        <w:tab w:val="center" w:pos="4153"/>
        <w:tab w:val="right" w:pos="8306"/>
      </w:tabs>
      <w:snapToGrid w:val="0"/>
      <w:jc w:val="left"/>
    </w:pPr>
    <w:rPr>
      <w:rFonts w:eastAsia="宋体"/>
      <w:sz w:val="18"/>
      <w:szCs w:val="18"/>
    </w:rPr>
  </w:style>
  <w:style w:type="paragraph" w:styleId="a4">
    <w:name w:val="Body Text"/>
    <w:basedOn w:val="a"/>
    <w:qFormat/>
    <w:rsid w:val="00104EF6"/>
    <w:rPr>
      <w:rFonts w:ascii="仿宋_GB2312" w:cs="仿宋_GB2312"/>
      <w:szCs w:val="32"/>
      <w:lang w:val="zh-CN" w:bidi="zh-CN"/>
    </w:rPr>
  </w:style>
  <w:style w:type="paragraph" w:styleId="a5">
    <w:name w:val="header"/>
    <w:basedOn w:val="a"/>
    <w:qFormat/>
    <w:rsid w:val="00104EF6"/>
    <w:pPr>
      <w:pBdr>
        <w:bottom w:val="single" w:sz="6" w:space="1" w:color="auto"/>
      </w:pBdr>
      <w:tabs>
        <w:tab w:val="center" w:pos="4153"/>
        <w:tab w:val="right" w:pos="8306"/>
      </w:tabs>
      <w:snapToGrid w:val="0"/>
      <w:jc w:val="center"/>
    </w:pPr>
    <w:rPr>
      <w:rFonts w:eastAsia="宋体"/>
      <w:sz w:val="18"/>
      <w:szCs w:val="18"/>
    </w:rPr>
  </w:style>
  <w:style w:type="character" w:customStyle="1" w:styleId="font31">
    <w:name w:val="font31"/>
    <w:basedOn w:val="a1"/>
    <w:qFormat/>
    <w:rsid w:val="00104EF6"/>
    <w:rPr>
      <w:rFonts w:ascii="宋体" w:eastAsia="宋体" w:hAnsi="宋体" w:cs="宋体" w:hint="eastAsia"/>
      <w:color w:val="000000"/>
      <w:sz w:val="24"/>
      <w:szCs w:val="24"/>
      <w:u w:val="none"/>
    </w:rPr>
  </w:style>
  <w:style w:type="character" w:customStyle="1" w:styleId="font01">
    <w:name w:val="font01"/>
    <w:basedOn w:val="a1"/>
    <w:qFormat/>
    <w:rsid w:val="00104EF6"/>
    <w:rPr>
      <w:rFonts w:ascii="宋体" w:eastAsia="宋体" w:hAnsi="宋体" w:cs="宋体" w:hint="eastAsia"/>
      <w:color w:val="FF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6764</Words>
  <Characters>1832</Characters>
  <Application>Microsoft Office Word</Application>
  <DocSecurity>0</DocSecurity>
  <Lines>15</Lines>
  <Paragraphs>17</Paragraphs>
  <ScaleCrop>false</ScaleCrop>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WPS_1676363659</dc:creator>
  <cp:lastModifiedBy>Administrator</cp:lastModifiedBy>
  <cp:revision>3</cp:revision>
  <dcterms:created xsi:type="dcterms:W3CDTF">2023-03-17T07:44:00Z</dcterms:created>
  <dcterms:modified xsi:type="dcterms:W3CDTF">2023-04-18T01:15:00Z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AE19C68C866E4F36BD8829F1C1A31B4E</vt:lpwstr>
  </property>
</Properties>
</file>