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宋体" w:eastAsia="方正小标宋简体"/>
          <w:spacing w:val="-34"/>
          <w:sz w:val="72"/>
          <w:szCs w:val="72"/>
        </w:rPr>
      </w:pPr>
      <w:r>
        <w:rPr>
          <w:rFonts w:hint="eastAsia" w:ascii="方正小标宋简体" w:hAnsi="宋体" w:eastAsia="方正小标宋简体"/>
          <w:spacing w:val="-34"/>
          <w:sz w:val="72"/>
          <w:szCs w:val="72"/>
        </w:rPr>
        <w:t>达川区麻柳镇檀木初级中学</w:t>
      </w:r>
    </w:p>
    <w:p>
      <w:pPr>
        <w:adjustRightInd w:val="0"/>
        <w:snapToGrid w:val="0"/>
        <w:spacing w:line="360" w:lineRule="auto"/>
        <w:jc w:val="center"/>
        <w:outlineLvl w:val="0"/>
        <w:rPr>
          <w:rFonts w:ascii="方正小标宋简体" w:hAnsi="宋体" w:eastAsia="方正小标宋简体"/>
          <w:sz w:val="72"/>
          <w:szCs w:val="72"/>
        </w:rPr>
      </w:pPr>
      <w:bookmarkStart w:id="1" w:name="_Toc15377193"/>
      <w:bookmarkStart w:id="2" w:name="_Toc15378441"/>
      <w:bookmarkStart w:id="3" w:name="_Toc15396475"/>
      <w:bookmarkStart w:id="4" w:name="_Toc15396597"/>
      <w:bookmarkStart w:id="5" w:name="_Toc15377425"/>
      <w:bookmarkStart w:id="6" w:name="_Toc82683200"/>
      <w:r>
        <w:rPr>
          <w:rFonts w:ascii="黑体" w:hAnsi="黑体" w:eastAsia="黑体"/>
          <w:sz w:val="72"/>
          <w:szCs w:val="72"/>
        </w:rPr>
        <w:t>20</w:t>
      </w:r>
      <w:r>
        <w:rPr>
          <w:rFonts w:hint="eastAsia" w:ascii="黑体" w:hAnsi="黑体" w:eastAsia="黑体"/>
          <w:sz w:val="72"/>
          <w:szCs w:val="72"/>
        </w:rPr>
        <w:t>20</w:t>
      </w:r>
      <w:r>
        <w:rPr>
          <w:rFonts w:hint="eastAsia" w:ascii="方正小标宋简体" w:hAnsi="宋体" w:eastAsia="方正小标宋简体"/>
          <w:sz w:val="72"/>
          <w:szCs w:val="72"/>
        </w:rPr>
        <w:t>年度</w:t>
      </w:r>
      <w:bookmarkEnd w:id="0"/>
      <w:bookmarkEnd w:id="1"/>
      <w:bookmarkEnd w:id="2"/>
      <w:bookmarkEnd w:id="3"/>
      <w:bookmarkEnd w:id="4"/>
      <w:bookmarkEnd w:id="5"/>
      <w:bookmarkStart w:id="7" w:name="_Toc15396476"/>
      <w:bookmarkStart w:id="8" w:name="_Toc15396598"/>
      <w:bookmarkStart w:id="9" w:name="_Toc15377426"/>
      <w:bookmarkStart w:id="10" w:name="_Toc15306268"/>
      <w:bookmarkStart w:id="11" w:name="_Toc15378442"/>
      <w:bookmarkStart w:id="12" w:name="_Toc15377194"/>
      <w:r>
        <w:rPr>
          <w:rFonts w:hint="eastAsia" w:ascii="方正小标宋简体" w:hAnsi="宋体" w:eastAsia="方正小标宋简体"/>
          <w:sz w:val="72"/>
          <w:szCs w:val="72"/>
        </w:rPr>
        <w:t>决算</w:t>
      </w:r>
      <w:bookmarkEnd w:id="7"/>
      <w:bookmarkEnd w:id="8"/>
      <w:bookmarkEnd w:id="9"/>
      <w:bookmarkEnd w:id="10"/>
      <w:bookmarkEnd w:id="11"/>
      <w:bookmarkEnd w:id="12"/>
      <w:r>
        <w:rPr>
          <w:rFonts w:hint="eastAsia" w:ascii="方正小标宋简体" w:hAnsi="宋体" w:eastAsia="方正小标宋简体"/>
          <w:sz w:val="72"/>
          <w:szCs w:val="72"/>
        </w:rPr>
        <w:t>编制说明</w:t>
      </w:r>
      <w:bookmarkEnd w:id="6"/>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10"/>
        <w:rPr>
          <w:rFonts w:cstheme="minorBidi"/>
        </w:rPr>
      </w:pPr>
      <w:r>
        <w:rPr>
          <w:rFonts w:ascii="黑体" w:hAnsi="黑体" w:eastAsia="黑体"/>
        </w:rPr>
        <w:fldChar w:fldCharType="begin"/>
      </w:r>
      <w:r>
        <w:rPr>
          <w:rFonts w:ascii="黑体" w:hAnsi="黑体" w:eastAsia="黑体"/>
        </w:rPr>
        <w:instrText xml:space="preserve"> TOC \o "1-2" \h \z \u </w:instrText>
      </w:r>
      <w:r>
        <w:rPr>
          <w:rFonts w:ascii="黑体" w:hAnsi="黑体" w:eastAsia="黑体"/>
        </w:rPr>
        <w:fldChar w:fldCharType="separate"/>
      </w:r>
    </w:p>
    <w:p>
      <w:pPr>
        <w:pStyle w:val="10"/>
        <w:rPr>
          <w:rFonts w:cstheme="minorBidi"/>
        </w:rPr>
      </w:pPr>
      <w:r>
        <w:fldChar w:fldCharType="begin"/>
      </w:r>
      <w:r>
        <w:instrText xml:space="preserve"> HYPERLINK \l "_Toc82683201" </w:instrText>
      </w:r>
      <w:r>
        <w:fldChar w:fldCharType="separate"/>
      </w:r>
      <w:r>
        <w:rPr>
          <w:rStyle w:val="16"/>
          <w:rFonts w:hint="eastAsia"/>
          <w:color w:val="auto"/>
        </w:rPr>
        <w:t>第一部分</w:t>
      </w:r>
      <w:r>
        <w:rPr>
          <w:rStyle w:val="16"/>
          <w:color w:val="auto"/>
        </w:rPr>
        <w:t xml:space="preserve"> </w:t>
      </w:r>
      <w:r>
        <w:rPr>
          <w:rStyle w:val="16"/>
          <w:rFonts w:hint="eastAsia"/>
          <w:color w:val="auto"/>
        </w:rPr>
        <w:t>部门概况</w:t>
      </w:r>
      <w:r>
        <w:tab/>
      </w:r>
      <w:r>
        <w:fldChar w:fldCharType="begin"/>
      </w:r>
      <w:r>
        <w:instrText xml:space="preserve"> PAGEREF _Toc82683201 \h </w:instrText>
      </w:r>
      <w:r>
        <w:fldChar w:fldCharType="separate"/>
      </w:r>
      <w:r>
        <w:t>4</w:t>
      </w:r>
      <w:r>
        <w:fldChar w:fldCharType="end"/>
      </w:r>
      <w:r>
        <w:fldChar w:fldCharType="end"/>
      </w:r>
    </w:p>
    <w:p>
      <w:pPr>
        <w:pStyle w:val="11"/>
        <w:rPr>
          <w:rFonts w:cstheme="minorBidi"/>
          <w:sz w:val="28"/>
          <w:szCs w:val="28"/>
        </w:rPr>
      </w:pPr>
      <w:r>
        <w:fldChar w:fldCharType="begin"/>
      </w:r>
      <w:r>
        <w:instrText xml:space="preserve"> HYPERLINK \l "_Toc82683202" </w:instrText>
      </w:r>
      <w:r>
        <w:fldChar w:fldCharType="separate"/>
      </w:r>
      <w:r>
        <w:rPr>
          <w:rStyle w:val="16"/>
          <w:rFonts w:hint="eastAsia" w:ascii="仿宋" w:eastAsia="仿宋"/>
          <w:color w:val="auto"/>
          <w:sz w:val="28"/>
          <w:szCs w:val="28"/>
        </w:rPr>
        <w:t>一、基本职能及主要工作</w:t>
      </w:r>
      <w:r>
        <w:rPr>
          <w:sz w:val="28"/>
          <w:szCs w:val="28"/>
        </w:rPr>
        <w:tab/>
      </w:r>
      <w:r>
        <w:rPr>
          <w:sz w:val="28"/>
          <w:szCs w:val="28"/>
        </w:rPr>
        <w:fldChar w:fldCharType="begin"/>
      </w:r>
      <w:r>
        <w:rPr>
          <w:sz w:val="28"/>
          <w:szCs w:val="28"/>
        </w:rPr>
        <w:instrText xml:space="preserve"> PAGEREF _Toc82683202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"_Toc82683203" </w:instrText>
      </w:r>
      <w:r>
        <w:fldChar w:fldCharType="separate"/>
      </w:r>
      <w:r>
        <w:rPr>
          <w:rStyle w:val="16"/>
          <w:rFonts w:hint="eastAsia" w:ascii="仿宋" w:eastAsia="仿宋"/>
          <w:color w:val="auto"/>
          <w:sz w:val="28"/>
          <w:szCs w:val="28"/>
        </w:rPr>
        <w:t>二、机构设置</w:t>
      </w:r>
      <w:r>
        <w:rPr>
          <w:sz w:val="28"/>
          <w:szCs w:val="28"/>
        </w:rPr>
        <w:tab/>
      </w:r>
      <w:r>
        <w:rPr>
          <w:sz w:val="28"/>
          <w:szCs w:val="28"/>
        </w:rPr>
        <w:fldChar w:fldCharType="begin"/>
      </w:r>
      <w:r>
        <w:rPr>
          <w:sz w:val="28"/>
          <w:szCs w:val="28"/>
        </w:rPr>
        <w:instrText xml:space="preserve"> PAGEREF _Toc82683203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rPr>
          <w:rFonts w:cstheme="minorBidi"/>
        </w:rPr>
      </w:pPr>
      <w:r>
        <w:fldChar w:fldCharType="begin"/>
      </w:r>
      <w:r>
        <w:instrText xml:space="preserve"> HYPERLINK \l "_Toc82683204" </w:instrText>
      </w:r>
      <w:r>
        <w:fldChar w:fldCharType="separate"/>
      </w:r>
      <w:r>
        <w:rPr>
          <w:rStyle w:val="16"/>
          <w:rFonts w:hint="eastAsia"/>
          <w:color w:val="auto"/>
        </w:rPr>
        <w:t>第二部分</w:t>
      </w:r>
      <w:r>
        <w:rPr>
          <w:rStyle w:val="16"/>
          <w:color w:val="auto"/>
        </w:rPr>
        <w:t>2020</w:t>
      </w:r>
      <w:r>
        <w:rPr>
          <w:rStyle w:val="16"/>
          <w:rFonts w:hint="eastAsia"/>
          <w:color w:val="auto"/>
        </w:rPr>
        <w:t>年度部门决算情况说明</w:t>
      </w:r>
      <w:r>
        <w:tab/>
      </w:r>
      <w:r>
        <w:rPr>
          <w:rFonts w:ascii="仿宋_GB2312" w:eastAsia="仿宋_GB2312"/>
        </w:rPr>
        <w:fldChar w:fldCharType="begin"/>
      </w:r>
      <w:r>
        <w:rPr>
          <w:rFonts w:ascii="仿宋_GB2312" w:eastAsia="仿宋_GB2312"/>
        </w:rPr>
        <w:instrText xml:space="preserve"> PAGEREF _Toc82683204 \h </w:instrText>
      </w:r>
      <w:r>
        <w:rPr>
          <w:rFonts w:ascii="仿宋_GB2312" w:eastAsia="仿宋_GB2312"/>
        </w:rPr>
        <w:fldChar w:fldCharType="separate"/>
      </w:r>
      <w:r>
        <w:rPr>
          <w:rFonts w:ascii="仿宋_GB2312" w:eastAsia="仿宋_GB2312"/>
        </w:rPr>
        <w:t>5</w:t>
      </w:r>
      <w:r>
        <w:rPr>
          <w:rFonts w:ascii="仿宋_GB2312" w:eastAsia="仿宋_GB2312"/>
        </w:rPr>
        <w:fldChar w:fldCharType="end"/>
      </w:r>
      <w:r>
        <w:rPr>
          <w:rFonts w:ascii="仿宋_GB2312" w:eastAsia="仿宋_GB2312"/>
        </w:rPr>
        <w:fldChar w:fldCharType="end"/>
      </w:r>
    </w:p>
    <w:p>
      <w:pPr>
        <w:pStyle w:val="11"/>
        <w:rPr>
          <w:rFonts w:cstheme="minorBidi"/>
          <w:sz w:val="28"/>
          <w:szCs w:val="28"/>
        </w:rPr>
      </w:pPr>
      <w:r>
        <w:fldChar w:fldCharType="begin"/>
      </w:r>
      <w:r>
        <w:instrText xml:space="preserve"> HYPERLINK \l "_Toc82683205" </w:instrText>
      </w:r>
      <w:r>
        <w:fldChar w:fldCharType="separate"/>
      </w:r>
      <w:r>
        <w:rPr>
          <w:rStyle w:val="16"/>
          <w:rFonts w:hint="eastAsia" w:ascii="仿宋" w:eastAsia="仿宋" w:cstheme="majorBidi"/>
          <w:bCs/>
          <w:color w:val="auto"/>
          <w:sz w:val="28"/>
          <w:szCs w:val="28"/>
        </w:rPr>
        <w:t>一、</w:t>
      </w:r>
      <w:r>
        <w:rPr>
          <w:rStyle w:val="16"/>
          <w:rFonts w:hint="eastAsia" w:ascii="仿宋" w:eastAsia="仿宋"/>
          <w:color w:val="auto"/>
          <w:sz w:val="28"/>
          <w:szCs w:val="28"/>
        </w:rPr>
        <w:t>收</w:t>
      </w:r>
      <w:r>
        <w:rPr>
          <w:rStyle w:val="16"/>
          <w:rFonts w:hint="eastAsia" w:ascii="仿宋" w:eastAsia="仿宋" w:cstheme="majorBidi"/>
          <w:bCs/>
          <w:color w:val="auto"/>
          <w:sz w:val="28"/>
          <w:szCs w:val="28"/>
        </w:rPr>
        <w:t>入支出决算总体情况说明</w:t>
      </w:r>
      <w:r>
        <w:rPr>
          <w:rStyle w:val="16"/>
          <w:rFonts w:ascii="仿宋" w:eastAsia="仿宋" w:cstheme="majorBidi"/>
          <w:bCs/>
          <w:color w:val="auto"/>
          <w:sz w:val="28"/>
          <w:szCs w:val="28"/>
        </w:rPr>
        <w:tab/>
      </w:r>
      <w:r>
        <w:rPr>
          <w:sz w:val="28"/>
          <w:szCs w:val="28"/>
        </w:rPr>
        <w:fldChar w:fldCharType="begin"/>
      </w:r>
      <w:r>
        <w:rPr>
          <w:sz w:val="28"/>
          <w:szCs w:val="28"/>
        </w:rPr>
        <w:instrText xml:space="preserve"> PAGEREF _Toc82683205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"_Toc82683206" </w:instrText>
      </w:r>
      <w:r>
        <w:fldChar w:fldCharType="separate"/>
      </w:r>
      <w:r>
        <w:rPr>
          <w:rStyle w:val="16"/>
          <w:rFonts w:hint="eastAsia" w:ascii="仿宋" w:eastAsia="仿宋" w:cstheme="majorBidi"/>
          <w:bCs/>
          <w:color w:val="auto"/>
          <w:sz w:val="28"/>
          <w:szCs w:val="28"/>
        </w:rPr>
        <w:t>二、</w:t>
      </w:r>
      <w:r>
        <w:rPr>
          <w:rStyle w:val="16"/>
          <w:rFonts w:hint="eastAsia" w:ascii="仿宋" w:eastAsia="仿宋"/>
          <w:color w:val="auto"/>
          <w:sz w:val="28"/>
          <w:szCs w:val="28"/>
        </w:rPr>
        <w:t>收</w:t>
      </w:r>
      <w:r>
        <w:rPr>
          <w:rStyle w:val="16"/>
          <w:rFonts w:hint="eastAsia" w:ascii="仿宋" w:eastAsia="仿宋" w:cstheme="majorBidi"/>
          <w:bCs/>
          <w:color w:val="auto"/>
          <w:sz w:val="28"/>
          <w:szCs w:val="28"/>
        </w:rPr>
        <w:t>入决算情况说明</w:t>
      </w:r>
      <w:r>
        <w:rPr>
          <w:rStyle w:val="16"/>
          <w:rFonts w:ascii="仿宋" w:eastAsia="仿宋" w:cstheme="majorBidi"/>
          <w:bCs/>
          <w:color w:val="auto"/>
          <w:sz w:val="28"/>
          <w:szCs w:val="28"/>
        </w:rPr>
        <w:tab/>
      </w:r>
      <w:r>
        <w:rPr>
          <w:sz w:val="28"/>
          <w:szCs w:val="28"/>
        </w:rPr>
        <w:fldChar w:fldCharType="begin"/>
      </w:r>
      <w:r>
        <w:rPr>
          <w:sz w:val="28"/>
          <w:szCs w:val="28"/>
        </w:rPr>
        <w:instrText xml:space="preserve"> PAGEREF _Toc82683206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"_Toc82683208" </w:instrText>
      </w:r>
      <w:r>
        <w:fldChar w:fldCharType="separate"/>
      </w:r>
      <w:r>
        <w:rPr>
          <w:rStyle w:val="16"/>
          <w:rFonts w:hint="eastAsia" w:ascii="仿宋" w:eastAsia="仿宋" w:cstheme="majorBidi"/>
          <w:bCs/>
          <w:color w:val="auto"/>
          <w:sz w:val="28"/>
          <w:szCs w:val="28"/>
        </w:rPr>
        <w:t>三、</w:t>
      </w:r>
      <w:r>
        <w:rPr>
          <w:rStyle w:val="16"/>
          <w:rFonts w:hint="eastAsia" w:ascii="仿宋" w:eastAsia="仿宋"/>
          <w:color w:val="auto"/>
          <w:sz w:val="28"/>
          <w:szCs w:val="28"/>
        </w:rPr>
        <w:t>支</w:t>
      </w:r>
      <w:r>
        <w:rPr>
          <w:rStyle w:val="16"/>
          <w:rFonts w:hint="eastAsia" w:ascii="仿宋" w:eastAsia="仿宋" w:cstheme="majorBidi"/>
          <w:bCs/>
          <w:color w:val="auto"/>
          <w:sz w:val="28"/>
          <w:szCs w:val="28"/>
        </w:rPr>
        <w:t>出决算情况说明</w:t>
      </w:r>
      <w:r>
        <w:rPr>
          <w:rStyle w:val="16"/>
          <w:rFonts w:ascii="仿宋" w:eastAsia="仿宋" w:cstheme="majorBidi"/>
          <w:bCs/>
          <w:color w:val="auto"/>
          <w:sz w:val="28"/>
          <w:szCs w:val="28"/>
        </w:rPr>
        <w:tab/>
      </w:r>
      <w:r>
        <w:rPr>
          <w:sz w:val="28"/>
          <w:szCs w:val="28"/>
        </w:rPr>
        <w:fldChar w:fldCharType="begin"/>
      </w:r>
      <w:r>
        <w:rPr>
          <w:sz w:val="28"/>
          <w:szCs w:val="28"/>
        </w:rPr>
        <w:instrText xml:space="preserve"> PAGEREF _Toc82683208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"_Toc82683209" </w:instrText>
      </w:r>
      <w:r>
        <w:fldChar w:fldCharType="separate"/>
      </w:r>
      <w:r>
        <w:rPr>
          <w:rStyle w:val="16"/>
          <w:rFonts w:hint="eastAsia" w:ascii="仿宋" w:eastAsia="仿宋"/>
          <w:color w:val="auto"/>
          <w:sz w:val="28"/>
          <w:szCs w:val="28"/>
        </w:rPr>
        <w:t>四、财</w:t>
      </w:r>
      <w:r>
        <w:rPr>
          <w:rStyle w:val="16"/>
          <w:rFonts w:hint="eastAsia" w:ascii="仿宋" w:eastAsia="仿宋" w:cstheme="majorBidi"/>
          <w:bCs/>
          <w:color w:val="auto"/>
          <w:sz w:val="28"/>
          <w:szCs w:val="28"/>
        </w:rPr>
        <w:t>政拨款收入支出决算总体情况说明</w:t>
      </w:r>
      <w:r>
        <w:rPr>
          <w:sz w:val="28"/>
          <w:szCs w:val="28"/>
        </w:rPr>
        <w:tab/>
      </w:r>
      <w:r>
        <w:rPr>
          <w:sz w:val="28"/>
          <w:szCs w:val="28"/>
        </w:rPr>
        <w:fldChar w:fldCharType="begin"/>
      </w:r>
      <w:r>
        <w:rPr>
          <w:sz w:val="28"/>
          <w:szCs w:val="28"/>
        </w:rPr>
        <w:instrText xml:space="preserve"> PAGEREF _Toc82683209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"_Toc82683210" </w:instrText>
      </w:r>
      <w:r>
        <w:fldChar w:fldCharType="separate"/>
      </w:r>
      <w:r>
        <w:rPr>
          <w:rStyle w:val="16"/>
          <w:rFonts w:hint="eastAsia" w:ascii="仿宋" w:eastAsia="仿宋"/>
          <w:color w:val="auto"/>
          <w:sz w:val="28"/>
          <w:szCs w:val="28"/>
        </w:rPr>
        <w:t>五、</w:t>
      </w:r>
      <w:r>
        <w:rPr>
          <w:rStyle w:val="16"/>
          <w:rFonts w:hint="eastAsia" w:ascii="仿宋" w:eastAsia="仿宋"/>
          <w:b/>
          <w:color w:val="auto"/>
          <w:sz w:val="28"/>
          <w:szCs w:val="28"/>
        </w:rPr>
        <w:t>一</w:t>
      </w:r>
      <w:r>
        <w:rPr>
          <w:rStyle w:val="16"/>
          <w:rFonts w:hint="eastAsia" w:ascii="仿宋" w:eastAsia="仿宋" w:cstheme="majorBidi"/>
          <w:bCs/>
          <w:color w:val="auto"/>
          <w:sz w:val="28"/>
          <w:szCs w:val="28"/>
        </w:rPr>
        <w:t>般公共预算财政拨款支出决算情况说明</w:t>
      </w:r>
      <w:r>
        <w:rPr>
          <w:sz w:val="28"/>
          <w:szCs w:val="28"/>
        </w:rPr>
        <w:tab/>
      </w:r>
      <w:r>
        <w:rPr>
          <w:sz w:val="28"/>
          <w:szCs w:val="28"/>
        </w:rPr>
        <w:fldChar w:fldCharType="begin"/>
      </w:r>
      <w:r>
        <w:rPr>
          <w:sz w:val="28"/>
          <w:szCs w:val="28"/>
        </w:rPr>
        <w:instrText xml:space="preserve"> PAGEREF _Toc82683210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"_Toc82683211" </w:instrText>
      </w:r>
      <w:r>
        <w:fldChar w:fldCharType="separate"/>
      </w:r>
      <w:r>
        <w:rPr>
          <w:rStyle w:val="16"/>
          <w:rFonts w:hint="eastAsia" w:ascii="仿宋" w:eastAsia="仿宋"/>
          <w:color w:val="auto"/>
          <w:sz w:val="28"/>
          <w:szCs w:val="28"/>
        </w:rPr>
        <w:t>六</w:t>
      </w:r>
      <w:r>
        <w:rPr>
          <w:rStyle w:val="16"/>
          <w:rFonts w:hint="eastAsia" w:ascii="仿宋" w:eastAsia="仿宋"/>
          <w:b/>
          <w:color w:val="auto"/>
          <w:sz w:val="28"/>
          <w:szCs w:val="28"/>
        </w:rPr>
        <w:t>、一</w:t>
      </w:r>
      <w:r>
        <w:rPr>
          <w:rStyle w:val="16"/>
          <w:rFonts w:hint="eastAsia" w:ascii="仿宋" w:eastAsia="仿宋" w:cstheme="majorBidi"/>
          <w:bCs/>
          <w:color w:val="auto"/>
          <w:sz w:val="28"/>
          <w:szCs w:val="28"/>
        </w:rPr>
        <w:t>般公共预算财政拨款基本支出决算情况说明</w:t>
      </w:r>
      <w:r>
        <w:rPr>
          <w:sz w:val="28"/>
          <w:szCs w:val="28"/>
        </w:rPr>
        <w:tab/>
      </w:r>
      <w:r>
        <w:rPr>
          <w:sz w:val="28"/>
          <w:szCs w:val="28"/>
        </w:rPr>
        <w:fldChar w:fldCharType="begin"/>
      </w:r>
      <w:r>
        <w:rPr>
          <w:sz w:val="28"/>
          <w:szCs w:val="28"/>
        </w:rPr>
        <w:instrText xml:space="preserve"> PAGEREF _Toc82683211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"_Toc82683212" </w:instrText>
      </w:r>
      <w:r>
        <w:fldChar w:fldCharType="separate"/>
      </w:r>
      <w:r>
        <w:rPr>
          <w:rStyle w:val="16"/>
          <w:rFonts w:hint="eastAsia" w:ascii="仿宋" w:eastAsia="仿宋"/>
          <w:color w:val="auto"/>
          <w:sz w:val="28"/>
          <w:szCs w:val="28"/>
        </w:rPr>
        <w:t>七、</w:t>
      </w:r>
      <w:r>
        <w:rPr>
          <w:rStyle w:val="16"/>
          <w:rFonts w:ascii="仿宋" w:eastAsia="仿宋" w:cstheme="majorBidi"/>
          <w:b/>
          <w:bCs/>
          <w:color w:val="auto"/>
          <w:sz w:val="28"/>
          <w:szCs w:val="28"/>
        </w:rPr>
        <w:t>“</w:t>
      </w:r>
      <w:r>
        <w:rPr>
          <w:rStyle w:val="16"/>
          <w:rFonts w:hint="eastAsia" w:ascii="仿宋" w:eastAsia="仿宋" w:cstheme="majorBidi"/>
          <w:bCs/>
          <w:color w:val="auto"/>
          <w:sz w:val="28"/>
          <w:szCs w:val="28"/>
        </w:rPr>
        <w:t>三公”经费财政拨款支出决算情况说明</w:t>
      </w:r>
      <w:r>
        <w:rPr>
          <w:sz w:val="28"/>
          <w:szCs w:val="28"/>
        </w:rPr>
        <w:tab/>
      </w:r>
      <w:r>
        <w:rPr>
          <w:sz w:val="28"/>
          <w:szCs w:val="28"/>
        </w:rPr>
        <w:fldChar w:fldCharType="begin"/>
      </w:r>
      <w:r>
        <w:rPr>
          <w:sz w:val="28"/>
          <w:szCs w:val="28"/>
        </w:rPr>
        <w:instrText xml:space="preserve"> PAGEREF _Toc82683212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"_Toc82683213" </w:instrText>
      </w:r>
      <w:r>
        <w:fldChar w:fldCharType="separate"/>
      </w:r>
      <w:r>
        <w:rPr>
          <w:rStyle w:val="16"/>
          <w:rFonts w:hint="eastAsia" w:ascii="仿宋" w:eastAsia="仿宋"/>
          <w:color w:val="auto"/>
          <w:sz w:val="28"/>
          <w:szCs w:val="28"/>
        </w:rPr>
        <w:t>八、</w:t>
      </w:r>
      <w:r>
        <w:rPr>
          <w:rStyle w:val="16"/>
          <w:rFonts w:hint="eastAsia" w:ascii="仿宋" w:eastAsia="仿宋" w:cstheme="majorBidi"/>
          <w:bCs/>
          <w:color w:val="auto"/>
          <w:sz w:val="28"/>
          <w:szCs w:val="28"/>
        </w:rPr>
        <w:t>政府性基金预算支出决算情况说明</w:t>
      </w:r>
      <w:r>
        <w:rPr>
          <w:sz w:val="28"/>
          <w:szCs w:val="28"/>
        </w:rPr>
        <w:tab/>
      </w:r>
      <w:r>
        <w:rPr>
          <w:sz w:val="28"/>
          <w:szCs w:val="28"/>
        </w:rPr>
        <w:fldChar w:fldCharType="begin"/>
      </w:r>
      <w:r>
        <w:rPr>
          <w:sz w:val="28"/>
          <w:szCs w:val="28"/>
        </w:rPr>
        <w:instrText xml:space="preserve"> PAGEREF _Toc82683213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"_Toc82683214" </w:instrText>
      </w:r>
      <w:r>
        <w:fldChar w:fldCharType="separate"/>
      </w:r>
      <w:r>
        <w:rPr>
          <w:rStyle w:val="16"/>
          <w:rFonts w:hint="eastAsia" w:ascii="仿宋" w:eastAsia="仿宋" w:cstheme="majorBidi"/>
          <w:bCs/>
          <w:color w:val="auto"/>
          <w:sz w:val="28"/>
          <w:szCs w:val="28"/>
        </w:rPr>
        <w:t>九、 国有资本经营预算支出决算情况说明</w:t>
      </w:r>
      <w:r>
        <w:rPr>
          <w:sz w:val="28"/>
          <w:szCs w:val="28"/>
        </w:rPr>
        <w:tab/>
      </w:r>
      <w:r>
        <w:rPr>
          <w:sz w:val="28"/>
          <w:szCs w:val="28"/>
        </w:rPr>
        <w:fldChar w:fldCharType="begin"/>
      </w:r>
      <w:r>
        <w:rPr>
          <w:sz w:val="28"/>
          <w:szCs w:val="28"/>
        </w:rPr>
        <w:instrText xml:space="preserve"> PAGEREF _Toc82683214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"_Toc82683215" </w:instrText>
      </w:r>
      <w:r>
        <w:fldChar w:fldCharType="separate"/>
      </w:r>
      <w:r>
        <w:rPr>
          <w:rStyle w:val="16"/>
          <w:rFonts w:hint="eastAsia" w:ascii="仿宋" w:eastAsia="仿宋"/>
          <w:color w:val="auto"/>
          <w:sz w:val="28"/>
          <w:szCs w:val="28"/>
        </w:rPr>
        <w:t>十、预算绩效情况说明</w:t>
      </w:r>
      <w:r>
        <w:rPr>
          <w:rStyle w:val="16"/>
          <w:rFonts w:ascii="仿宋" w:eastAsia="仿宋"/>
          <w:color w:val="auto"/>
          <w:sz w:val="28"/>
          <w:szCs w:val="28"/>
        </w:rPr>
        <w:tab/>
      </w:r>
      <w:r>
        <w:rPr>
          <w:sz w:val="28"/>
          <w:szCs w:val="28"/>
        </w:rPr>
        <w:fldChar w:fldCharType="begin"/>
      </w:r>
      <w:r>
        <w:rPr>
          <w:sz w:val="28"/>
          <w:szCs w:val="28"/>
        </w:rPr>
        <w:instrText xml:space="preserve"> PAGEREF _Toc82683215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"_Toc82683216" </w:instrText>
      </w:r>
      <w:r>
        <w:fldChar w:fldCharType="separate"/>
      </w:r>
      <w:r>
        <w:rPr>
          <w:rStyle w:val="16"/>
          <w:rFonts w:hint="eastAsia" w:ascii="仿宋" w:eastAsia="仿宋"/>
          <w:color w:val="auto"/>
          <w:sz w:val="28"/>
          <w:szCs w:val="28"/>
        </w:rPr>
        <w:t>十</w:t>
      </w:r>
      <w:r>
        <w:rPr>
          <w:rStyle w:val="16"/>
          <w:rFonts w:hint="eastAsia" w:ascii="仿宋" w:eastAsia="仿宋" w:cstheme="majorBidi"/>
          <w:b/>
          <w:bCs/>
          <w:color w:val="auto"/>
          <w:sz w:val="28"/>
          <w:szCs w:val="28"/>
        </w:rPr>
        <w:t>一、</w:t>
      </w:r>
      <w:r>
        <w:rPr>
          <w:rStyle w:val="16"/>
          <w:rFonts w:hint="eastAsia" w:ascii="仿宋" w:eastAsia="仿宋" w:cstheme="majorBidi"/>
          <w:bCs/>
          <w:color w:val="auto"/>
          <w:sz w:val="28"/>
          <w:szCs w:val="28"/>
        </w:rPr>
        <w:t>其他重要事项的情况说明</w:t>
      </w:r>
      <w:r>
        <w:rPr>
          <w:sz w:val="28"/>
          <w:szCs w:val="28"/>
        </w:rPr>
        <w:tab/>
      </w:r>
      <w:r>
        <w:rPr>
          <w:sz w:val="28"/>
          <w:szCs w:val="28"/>
        </w:rPr>
        <w:fldChar w:fldCharType="begin"/>
      </w:r>
      <w:r>
        <w:rPr>
          <w:sz w:val="28"/>
          <w:szCs w:val="28"/>
        </w:rPr>
        <w:instrText xml:space="preserve"> PAGEREF _Toc82683216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0"/>
        <w:rPr>
          <w:rFonts w:cstheme="minorBidi"/>
        </w:rPr>
      </w:pPr>
      <w:r>
        <w:fldChar w:fldCharType="begin"/>
      </w:r>
      <w:r>
        <w:instrText xml:space="preserve"> HYPERLINK \l "_Toc82683217" </w:instrText>
      </w:r>
      <w:r>
        <w:fldChar w:fldCharType="separate"/>
      </w:r>
      <w:r>
        <w:rPr>
          <w:rStyle w:val="16"/>
          <w:rFonts w:hint="eastAsia"/>
          <w:bCs/>
          <w:color w:val="auto"/>
          <w:kern w:val="44"/>
        </w:rPr>
        <w:t>第三部分</w:t>
      </w:r>
      <w:r>
        <w:rPr>
          <w:rStyle w:val="16"/>
          <w:rFonts w:hint="eastAsia"/>
          <w:b/>
          <w:color w:val="auto"/>
        </w:rPr>
        <w:t xml:space="preserve"> </w:t>
      </w:r>
      <w:r>
        <w:rPr>
          <w:rStyle w:val="16"/>
          <w:rFonts w:hint="eastAsia"/>
          <w:color w:val="auto"/>
        </w:rPr>
        <w:t>名</w:t>
      </w:r>
      <w:r>
        <w:rPr>
          <w:rStyle w:val="16"/>
          <w:rFonts w:hint="eastAsia"/>
          <w:bCs/>
          <w:color w:val="auto"/>
          <w:kern w:val="44"/>
        </w:rPr>
        <w:t>词解释</w:t>
      </w:r>
      <w:r>
        <w:tab/>
      </w:r>
      <w:r>
        <w:fldChar w:fldCharType="begin"/>
      </w:r>
      <w:r>
        <w:instrText xml:space="preserve"> PAGEREF _Toc82683217 \h </w:instrText>
      </w:r>
      <w:r>
        <w:fldChar w:fldCharType="separate"/>
      </w:r>
      <w:r>
        <w:t>15</w:t>
      </w:r>
      <w:r>
        <w:fldChar w:fldCharType="end"/>
      </w:r>
      <w:r>
        <w:fldChar w:fldCharType="end"/>
      </w:r>
    </w:p>
    <w:p>
      <w:pPr>
        <w:pStyle w:val="10"/>
        <w:rPr>
          <w:rFonts w:cstheme="minorBidi"/>
        </w:rPr>
      </w:pPr>
      <w:r>
        <w:fldChar w:fldCharType="begin"/>
      </w:r>
      <w:r>
        <w:instrText xml:space="preserve"> HYPERLINK \l "_Toc82683218" </w:instrText>
      </w:r>
      <w:r>
        <w:fldChar w:fldCharType="separate"/>
      </w:r>
      <w:r>
        <w:rPr>
          <w:rStyle w:val="16"/>
          <w:rFonts w:hint="eastAsia"/>
          <w:color w:val="auto"/>
        </w:rPr>
        <w:t>第</w:t>
      </w:r>
      <w:r>
        <w:rPr>
          <w:rStyle w:val="16"/>
          <w:rFonts w:hint="eastAsia"/>
          <w:bCs/>
          <w:color w:val="auto"/>
          <w:kern w:val="44"/>
        </w:rPr>
        <w:t>四部分</w:t>
      </w:r>
      <w:r>
        <w:rPr>
          <w:rStyle w:val="16"/>
          <w:bCs/>
          <w:color w:val="auto"/>
          <w:kern w:val="44"/>
        </w:rPr>
        <w:t xml:space="preserve"> </w:t>
      </w:r>
      <w:r>
        <w:rPr>
          <w:rStyle w:val="16"/>
          <w:rFonts w:hint="eastAsia"/>
          <w:bCs/>
          <w:color w:val="auto"/>
          <w:kern w:val="44"/>
        </w:rPr>
        <w:t>附件</w:t>
      </w:r>
      <w:r>
        <w:tab/>
      </w:r>
      <w:r>
        <w:fldChar w:fldCharType="begin"/>
      </w:r>
      <w:r>
        <w:instrText xml:space="preserve"> PAGEREF _Toc82683218 \h </w:instrText>
      </w:r>
      <w:r>
        <w:fldChar w:fldCharType="separate"/>
      </w:r>
      <w:r>
        <w:t>17</w:t>
      </w:r>
      <w:r>
        <w:fldChar w:fldCharType="end"/>
      </w:r>
      <w:r>
        <w:fldChar w:fldCharType="end"/>
      </w:r>
    </w:p>
    <w:p>
      <w:pPr>
        <w:pStyle w:val="11"/>
        <w:rPr>
          <w:rFonts w:cstheme="minorBidi"/>
          <w:sz w:val="28"/>
          <w:szCs w:val="28"/>
        </w:rPr>
      </w:pPr>
      <w:r>
        <w:fldChar w:fldCharType="begin"/>
      </w:r>
      <w:r>
        <w:instrText xml:space="preserve"> HYPERLINK \l "_Toc82683219" </w:instrText>
      </w:r>
      <w:r>
        <w:fldChar w:fldCharType="separate"/>
      </w:r>
      <w:r>
        <w:rPr>
          <w:rStyle w:val="16"/>
          <w:rFonts w:hint="eastAsia" w:ascii="仿宋" w:eastAsia="仿宋"/>
          <w:color w:val="auto"/>
          <w:kern w:val="44"/>
          <w:sz w:val="28"/>
          <w:szCs w:val="28"/>
        </w:rPr>
        <w:t>附件</w:t>
      </w:r>
      <w:r>
        <w:rPr>
          <w:rStyle w:val="16"/>
          <w:rFonts w:ascii="仿宋" w:eastAsia="仿宋"/>
          <w:color w:val="auto"/>
          <w:kern w:val="44"/>
          <w:sz w:val="28"/>
          <w:szCs w:val="28"/>
        </w:rPr>
        <w:t>1</w:t>
      </w:r>
      <w:r>
        <w:rPr>
          <w:sz w:val="28"/>
          <w:szCs w:val="28"/>
        </w:rPr>
        <w:tab/>
      </w:r>
      <w:r>
        <w:rPr>
          <w:sz w:val="28"/>
          <w:szCs w:val="28"/>
        </w:rPr>
        <w:fldChar w:fldCharType="begin"/>
      </w:r>
      <w:r>
        <w:rPr>
          <w:sz w:val="28"/>
          <w:szCs w:val="28"/>
        </w:rPr>
        <w:instrText xml:space="preserve"> PAGEREF _Toc82683219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"_Toc82683222" </w:instrText>
      </w:r>
      <w:r>
        <w:fldChar w:fldCharType="separate"/>
      </w:r>
      <w:r>
        <w:rPr>
          <w:rStyle w:val="16"/>
          <w:rFonts w:hint="eastAsia" w:ascii="仿宋" w:eastAsia="仿宋"/>
          <w:color w:val="auto"/>
          <w:kern w:val="44"/>
          <w:sz w:val="28"/>
          <w:szCs w:val="28"/>
        </w:rPr>
        <w:t>附件</w:t>
      </w:r>
      <w:r>
        <w:rPr>
          <w:rStyle w:val="16"/>
          <w:rFonts w:ascii="仿宋" w:eastAsia="仿宋"/>
          <w:color w:val="auto"/>
          <w:kern w:val="44"/>
          <w:sz w:val="28"/>
          <w:szCs w:val="28"/>
        </w:rPr>
        <w:t>2</w:t>
      </w:r>
      <w:r>
        <w:rPr>
          <w:sz w:val="28"/>
          <w:szCs w:val="28"/>
        </w:rPr>
        <w:tab/>
      </w:r>
      <w:r>
        <w:rPr>
          <w:sz w:val="28"/>
          <w:szCs w:val="28"/>
        </w:rPr>
        <w:fldChar w:fldCharType="begin"/>
      </w:r>
      <w:r>
        <w:rPr>
          <w:sz w:val="28"/>
          <w:szCs w:val="28"/>
        </w:rPr>
        <w:instrText xml:space="preserve"> PAGEREF _Toc82683222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"_Toc82683223" </w:instrText>
      </w:r>
      <w:r>
        <w:fldChar w:fldCharType="separate"/>
      </w:r>
      <w:r>
        <w:rPr>
          <w:rStyle w:val="16"/>
          <w:rFonts w:hint="eastAsia" w:ascii="仿宋" w:eastAsia="仿宋"/>
          <w:color w:val="auto"/>
          <w:kern w:val="44"/>
          <w:sz w:val="28"/>
          <w:szCs w:val="28"/>
        </w:rPr>
        <w:t>附件</w:t>
      </w:r>
      <w:r>
        <w:rPr>
          <w:rStyle w:val="16"/>
          <w:rFonts w:ascii="仿宋" w:eastAsia="仿宋"/>
          <w:color w:val="auto"/>
          <w:kern w:val="44"/>
          <w:sz w:val="28"/>
          <w:szCs w:val="28"/>
        </w:rPr>
        <w:t>3</w:t>
      </w:r>
      <w:r>
        <w:rPr>
          <w:sz w:val="28"/>
          <w:szCs w:val="28"/>
        </w:rPr>
        <w:tab/>
      </w:r>
      <w:r>
        <w:rPr>
          <w:sz w:val="28"/>
          <w:szCs w:val="28"/>
        </w:rPr>
        <w:fldChar w:fldCharType="begin"/>
      </w:r>
      <w:r>
        <w:rPr>
          <w:sz w:val="28"/>
          <w:szCs w:val="28"/>
        </w:rPr>
        <w:instrText xml:space="preserve"> PAGEREF _Toc82683223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"_Toc82683224" </w:instrText>
      </w:r>
      <w:r>
        <w:fldChar w:fldCharType="separate"/>
      </w:r>
      <w:r>
        <w:rPr>
          <w:rStyle w:val="16"/>
          <w:rFonts w:hint="eastAsia" w:ascii="仿宋" w:eastAsia="仿宋"/>
          <w:color w:val="auto"/>
          <w:kern w:val="44"/>
          <w:sz w:val="28"/>
          <w:szCs w:val="28"/>
        </w:rPr>
        <w:t>附件</w:t>
      </w:r>
      <w:r>
        <w:rPr>
          <w:rStyle w:val="16"/>
          <w:rFonts w:ascii="仿宋" w:eastAsia="仿宋"/>
          <w:color w:val="auto"/>
          <w:kern w:val="44"/>
          <w:sz w:val="28"/>
          <w:szCs w:val="28"/>
        </w:rPr>
        <w:t>4</w:t>
      </w:r>
      <w:r>
        <w:rPr>
          <w:sz w:val="28"/>
          <w:szCs w:val="28"/>
        </w:rPr>
        <w:tab/>
      </w:r>
      <w:r>
        <w:rPr>
          <w:sz w:val="28"/>
          <w:szCs w:val="28"/>
        </w:rPr>
        <w:fldChar w:fldCharType="begin"/>
      </w:r>
      <w:r>
        <w:rPr>
          <w:sz w:val="28"/>
          <w:szCs w:val="28"/>
        </w:rPr>
        <w:instrText xml:space="preserve"> PAGEREF _Toc82683224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10"/>
        <w:rPr>
          <w:rFonts w:cstheme="minorBidi"/>
        </w:rPr>
      </w:pPr>
      <w:r>
        <w:fldChar w:fldCharType="begin"/>
      </w:r>
      <w:r>
        <w:instrText xml:space="preserve"> HYPERLINK \l "_Toc82683225" </w:instrText>
      </w:r>
      <w:r>
        <w:fldChar w:fldCharType="separate"/>
      </w:r>
      <w:r>
        <w:rPr>
          <w:rStyle w:val="16"/>
          <w:rFonts w:hint="eastAsia"/>
          <w:color w:val="auto"/>
        </w:rPr>
        <w:t>第</w:t>
      </w:r>
      <w:r>
        <w:rPr>
          <w:rStyle w:val="16"/>
          <w:rFonts w:hint="eastAsia"/>
          <w:bCs/>
          <w:color w:val="auto"/>
          <w:kern w:val="44"/>
        </w:rPr>
        <w:t>五部分</w:t>
      </w:r>
      <w:r>
        <w:rPr>
          <w:rStyle w:val="16"/>
          <w:bCs/>
          <w:color w:val="auto"/>
          <w:kern w:val="44"/>
        </w:rPr>
        <w:t xml:space="preserve"> </w:t>
      </w:r>
      <w:r>
        <w:rPr>
          <w:rStyle w:val="16"/>
          <w:rFonts w:hint="eastAsia"/>
          <w:bCs/>
          <w:color w:val="auto"/>
          <w:kern w:val="44"/>
        </w:rPr>
        <w:t>附表</w:t>
      </w:r>
      <w:r>
        <w:tab/>
      </w:r>
      <w:r>
        <w:rPr>
          <w:rFonts w:ascii="仿宋_GB2312" w:eastAsia="仿宋_GB2312"/>
        </w:rPr>
        <w:fldChar w:fldCharType="begin"/>
      </w:r>
      <w:r>
        <w:rPr>
          <w:rFonts w:ascii="仿宋_GB2312" w:eastAsia="仿宋_GB2312"/>
        </w:rPr>
        <w:instrText xml:space="preserve"> PAGEREF _Toc82683225 \h </w:instrText>
      </w:r>
      <w:r>
        <w:rPr>
          <w:rFonts w:ascii="仿宋_GB2312" w:eastAsia="仿宋_GB2312"/>
        </w:rPr>
        <w:fldChar w:fldCharType="separate"/>
      </w:r>
      <w:r>
        <w:rPr>
          <w:rFonts w:ascii="仿宋_GB2312" w:eastAsia="仿宋_GB2312"/>
        </w:rPr>
        <w:t>34</w:t>
      </w:r>
      <w:r>
        <w:rPr>
          <w:rFonts w:ascii="仿宋_GB2312" w:eastAsia="仿宋_GB2312"/>
        </w:rPr>
        <w:fldChar w:fldCharType="end"/>
      </w:r>
      <w:r>
        <w:rPr>
          <w:rFonts w:ascii="仿宋_GB2312" w:eastAsia="仿宋_GB2312"/>
        </w:rPr>
        <w:fldChar w:fldCharType="end"/>
      </w:r>
    </w:p>
    <w:p>
      <w:pPr>
        <w:pStyle w:val="11"/>
        <w:rPr>
          <w:rFonts w:cstheme="minorBidi"/>
          <w:sz w:val="28"/>
          <w:szCs w:val="28"/>
        </w:rPr>
      </w:pPr>
      <w:r>
        <w:fldChar w:fldCharType="begin"/>
      </w:r>
      <w:r>
        <w:instrText xml:space="preserve"> HYPERLINK \l "_Toc82683226" </w:instrText>
      </w:r>
      <w:r>
        <w:fldChar w:fldCharType="separate"/>
      </w:r>
      <w:r>
        <w:rPr>
          <w:rStyle w:val="16"/>
          <w:rFonts w:hint="eastAsia" w:ascii="仿宋" w:eastAsia="仿宋"/>
          <w:color w:val="auto"/>
          <w:sz w:val="28"/>
          <w:szCs w:val="28"/>
        </w:rPr>
        <w:t>一、收入支出决算总表</w:t>
      </w:r>
      <w:r>
        <w:rPr>
          <w:sz w:val="28"/>
          <w:szCs w:val="28"/>
        </w:rPr>
        <w:tab/>
      </w:r>
      <w:r>
        <w:rPr>
          <w:sz w:val="28"/>
          <w:szCs w:val="28"/>
        </w:rPr>
        <w:fldChar w:fldCharType="begin"/>
      </w:r>
      <w:r>
        <w:rPr>
          <w:sz w:val="28"/>
          <w:szCs w:val="28"/>
        </w:rPr>
        <w:instrText xml:space="preserve"> PAGEREF _Toc82683226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"_Toc82683227" </w:instrText>
      </w:r>
      <w:r>
        <w:fldChar w:fldCharType="separate"/>
      </w:r>
      <w:r>
        <w:rPr>
          <w:rStyle w:val="16"/>
          <w:rFonts w:hint="eastAsia" w:ascii="仿宋" w:eastAsia="仿宋"/>
          <w:color w:val="auto"/>
          <w:sz w:val="28"/>
          <w:szCs w:val="28"/>
        </w:rPr>
        <w:t>二、收入总表</w:t>
      </w:r>
      <w:r>
        <w:rPr>
          <w:sz w:val="28"/>
          <w:szCs w:val="28"/>
        </w:rPr>
        <w:tab/>
      </w:r>
      <w:r>
        <w:rPr>
          <w:sz w:val="28"/>
          <w:szCs w:val="28"/>
        </w:rPr>
        <w:fldChar w:fldCharType="begin"/>
      </w:r>
      <w:r>
        <w:rPr>
          <w:sz w:val="28"/>
          <w:szCs w:val="28"/>
        </w:rPr>
        <w:instrText xml:space="preserve"> PAGEREF _Toc82683227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"_Toc82683228" </w:instrText>
      </w:r>
      <w:r>
        <w:fldChar w:fldCharType="separate"/>
      </w:r>
      <w:r>
        <w:rPr>
          <w:rStyle w:val="16"/>
          <w:rFonts w:hint="eastAsia" w:ascii="仿宋" w:eastAsia="仿宋"/>
          <w:color w:val="auto"/>
          <w:sz w:val="28"/>
          <w:szCs w:val="28"/>
        </w:rPr>
        <w:t>三、支出总表</w:t>
      </w:r>
      <w:r>
        <w:rPr>
          <w:sz w:val="28"/>
          <w:szCs w:val="28"/>
        </w:rPr>
        <w:tab/>
      </w:r>
      <w:r>
        <w:rPr>
          <w:sz w:val="28"/>
          <w:szCs w:val="28"/>
        </w:rPr>
        <w:fldChar w:fldCharType="begin"/>
      </w:r>
      <w:r>
        <w:rPr>
          <w:sz w:val="28"/>
          <w:szCs w:val="28"/>
        </w:rPr>
        <w:instrText xml:space="preserve"> PAGEREF _Toc82683228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"_Toc82683229" </w:instrText>
      </w:r>
      <w:r>
        <w:fldChar w:fldCharType="separate"/>
      </w:r>
      <w:r>
        <w:rPr>
          <w:rStyle w:val="16"/>
          <w:rFonts w:hint="eastAsia" w:ascii="仿宋" w:eastAsia="仿宋"/>
          <w:color w:val="auto"/>
          <w:sz w:val="28"/>
          <w:szCs w:val="28"/>
        </w:rPr>
        <w:t>四、财政拨款收入支出决算总表</w:t>
      </w:r>
      <w:r>
        <w:rPr>
          <w:sz w:val="28"/>
          <w:szCs w:val="28"/>
        </w:rPr>
        <w:tab/>
      </w:r>
      <w:r>
        <w:rPr>
          <w:sz w:val="28"/>
          <w:szCs w:val="28"/>
        </w:rPr>
        <w:fldChar w:fldCharType="begin"/>
      </w:r>
      <w:r>
        <w:rPr>
          <w:sz w:val="28"/>
          <w:szCs w:val="28"/>
        </w:rPr>
        <w:instrText xml:space="preserve"> PAGEREF _Toc82683229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"_Toc82683230" </w:instrText>
      </w:r>
      <w:r>
        <w:fldChar w:fldCharType="separate"/>
      </w:r>
      <w:r>
        <w:rPr>
          <w:rStyle w:val="16"/>
          <w:rFonts w:hint="eastAsia" w:ascii="仿宋" w:eastAsia="仿宋"/>
          <w:color w:val="auto"/>
          <w:sz w:val="28"/>
          <w:szCs w:val="28"/>
        </w:rPr>
        <w:t>五、财政拨款支出决算明细表（政府经济分类科目）</w:t>
      </w:r>
      <w:r>
        <w:rPr>
          <w:sz w:val="28"/>
          <w:szCs w:val="28"/>
        </w:rPr>
        <w:tab/>
      </w:r>
      <w:r>
        <w:rPr>
          <w:sz w:val="28"/>
          <w:szCs w:val="28"/>
        </w:rPr>
        <w:fldChar w:fldCharType="begin"/>
      </w:r>
      <w:r>
        <w:rPr>
          <w:sz w:val="28"/>
          <w:szCs w:val="28"/>
        </w:rPr>
        <w:instrText xml:space="preserve"> PAGEREF _Toc82683230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"_Toc82683231" </w:instrText>
      </w:r>
      <w:r>
        <w:fldChar w:fldCharType="separate"/>
      </w:r>
      <w:r>
        <w:rPr>
          <w:rStyle w:val="16"/>
          <w:rFonts w:hint="eastAsia" w:ascii="仿宋" w:eastAsia="仿宋"/>
          <w:color w:val="auto"/>
          <w:sz w:val="28"/>
          <w:szCs w:val="28"/>
        </w:rPr>
        <w:t>六、一般公共预算财政拨款支出决算表</w:t>
      </w:r>
      <w:r>
        <w:rPr>
          <w:sz w:val="28"/>
          <w:szCs w:val="28"/>
        </w:rPr>
        <w:tab/>
      </w:r>
      <w:r>
        <w:rPr>
          <w:sz w:val="28"/>
          <w:szCs w:val="28"/>
        </w:rPr>
        <w:fldChar w:fldCharType="begin"/>
      </w:r>
      <w:r>
        <w:rPr>
          <w:sz w:val="28"/>
          <w:szCs w:val="28"/>
        </w:rPr>
        <w:instrText xml:space="preserve"> PAGEREF _Toc82683231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"_Toc82683232" </w:instrText>
      </w:r>
      <w:r>
        <w:fldChar w:fldCharType="separate"/>
      </w:r>
      <w:r>
        <w:rPr>
          <w:rStyle w:val="16"/>
          <w:rFonts w:hint="eastAsia" w:ascii="仿宋" w:eastAsia="仿宋"/>
          <w:color w:val="auto"/>
          <w:sz w:val="28"/>
          <w:szCs w:val="28"/>
        </w:rPr>
        <w:t>七、一般公共预算财政拨款支出决算明细表</w:t>
      </w:r>
      <w:r>
        <w:rPr>
          <w:sz w:val="28"/>
          <w:szCs w:val="28"/>
        </w:rPr>
        <w:tab/>
      </w:r>
      <w:r>
        <w:rPr>
          <w:sz w:val="28"/>
          <w:szCs w:val="28"/>
        </w:rPr>
        <w:fldChar w:fldCharType="begin"/>
      </w:r>
      <w:r>
        <w:rPr>
          <w:sz w:val="28"/>
          <w:szCs w:val="28"/>
        </w:rPr>
        <w:instrText xml:space="preserve"> PAGEREF _Toc82683232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"_Toc82683233" </w:instrText>
      </w:r>
      <w:r>
        <w:fldChar w:fldCharType="separate"/>
      </w:r>
      <w:r>
        <w:rPr>
          <w:rStyle w:val="16"/>
          <w:rFonts w:hint="eastAsia" w:ascii="仿宋" w:eastAsia="仿宋"/>
          <w:color w:val="auto"/>
          <w:sz w:val="28"/>
          <w:szCs w:val="28"/>
        </w:rPr>
        <w:t>八、一般公共预算财政拨款基本支出决算表</w:t>
      </w:r>
      <w:r>
        <w:rPr>
          <w:sz w:val="28"/>
          <w:szCs w:val="28"/>
        </w:rPr>
        <w:tab/>
      </w:r>
      <w:r>
        <w:rPr>
          <w:sz w:val="28"/>
          <w:szCs w:val="28"/>
        </w:rPr>
        <w:fldChar w:fldCharType="begin"/>
      </w:r>
      <w:r>
        <w:rPr>
          <w:sz w:val="28"/>
          <w:szCs w:val="28"/>
        </w:rPr>
        <w:instrText xml:space="preserve"> PAGEREF _Toc82683233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"_Toc82683234" </w:instrText>
      </w:r>
      <w:r>
        <w:fldChar w:fldCharType="separate"/>
      </w:r>
      <w:r>
        <w:rPr>
          <w:rStyle w:val="16"/>
          <w:rFonts w:hint="eastAsia" w:ascii="仿宋" w:eastAsia="仿宋"/>
          <w:color w:val="auto"/>
          <w:sz w:val="28"/>
          <w:szCs w:val="28"/>
        </w:rPr>
        <w:t>九、一般公共预算财政拨款项目支出决算表</w:t>
      </w:r>
      <w:r>
        <w:rPr>
          <w:sz w:val="28"/>
          <w:szCs w:val="28"/>
        </w:rPr>
        <w:tab/>
      </w:r>
      <w:r>
        <w:rPr>
          <w:sz w:val="28"/>
          <w:szCs w:val="28"/>
        </w:rPr>
        <w:fldChar w:fldCharType="begin"/>
      </w:r>
      <w:r>
        <w:rPr>
          <w:sz w:val="28"/>
          <w:szCs w:val="28"/>
        </w:rPr>
        <w:instrText xml:space="preserve"> PAGEREF _Toc82683234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"_Toc82683235" </w:instrText>
      </w:r>
      <w:r>
        <w:fldChar w:fldCharType="separate"/>
      </w:r>
      <w:r>
        <w:rPr>
          <w:rStyle w:val="16"/>
          <w:rFonts w:hint="eastAsia" w:ascii="仿宋" w:eastAsia="仿宋"/>
          <w:color w:val="auto"/>
          <w:sz w:val="28"/>
          <w:szCs w:val="28"/>
        </w:rPr>
        <w:t>十、一般公共预算财政拨款“三公”经费支出决算表</w:t>
      </w:r>
      <w:r>
        <w:rPr>
          <w:sz w:val="28"/>
          <w:szCs w:val="28"/>
        </w:rPr>
        <w:tab/>
      </w:r>
      <w:r>
        <w:rPr>
          <w:sz w:val="28"/>
          <w:szCs w:val="28"/>
        </w:rPr>
        <w:fldChar w:fldCharType="begin"/>
      </w:r>
      <w:r>
        <w:rPr>
          <w:sz w:val="28"/>
          <w:szCs w:val="28"/>
        </w:rPr>
        <w:instrText xml:space="preserve"> PAGEREF _Toc82683235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"_Toc82683236" </w:instrText>
      </w:r>
      <w:r>
        <w:fldChar w:fldCharType="separate"/>
      </w:r>
      <w:r>
        <w:rPr>
          <w:rStyle w:val="16"/>
          <w:rFonts w:hint="eastAsia" w:ascii="仿宋" w:eastAsia="仿宋"/>
          <w:color w:val="auto"/>
          <w:sz w:val="28"/>
          <w:szCs w:val="28"/>
        </w:rPr>
        <w:t>十一、政府性基金预算财政拨款收入支出决算表</w:t>
      </w:r>
      <w:r>
        <w:rPr>
          <w:sz w:val="28"/>
          <w:szCs w:val="28"/>
        </w:rPr>
        <w:tab/>
      </w:r>
      <w:r>
        <w:rPr>
          <w:sz w:val="28"/>
          <w:szCs w:val="28"/>
        </w:rPr>
        <w:fldChar w:fldCharType="begin"/>
      </w:r>
      <w:r>
        <w:rPr>
          <w:sz w:val="28"/>
          <w:szCs w:val="28"/>
        </w:rPr>
        <w:instrText xml:space="preserve"> PAGEREF _Toc82683236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1"/>
        <w:rPr>
          <w:rFonts w:cstheme="minorBidi"/>
          <w:sz w:val="28"/>
          <w:szCs w:val="28"/>
        </w:rPr>
      </w:pPr>
      <w:r>
        <w:fldChar w:fldCharType="begin"/>
      </w:r>
      <w:r>
        <w:instrText xml:space="preserve"> HYPERLINK \l "_Toc82683237" </w:instrText>
      </w:r>
      <w:r>
        <w:fldChar w:fldCharType="separate"/>
      </w:r>
      <w:r>
        <w:rPr>
          <w:rStyle w:val="16"/>
          <w:rFonts w:hint="eastAsia" w:ascii="仿宋" w:eastAsia="仿宋"/>
          <w:color w:val="auto"/>
          <w:sz w:val="28"/>
          <w:szCs w:val="28"/>
        </w:rPr>
        <w:t>十二、政府性基金预算财政拨款“三公”经费支出决算表</w:t>
      </w:r>
      <w:r>
        <w:rPr>
          <w:sz w:val="28"/>
          <w:szCs w:val="28"/>
        </w:rPr>
        <w:tab/>
      </w:r>
      <w:r>
        <w:rPr>
          <w:sz w:val="28"/>
          <w:szCs w:val="28"/>
        </w:rPr>
        <w:fldChar w:fldCharType="begin"/>
      </w:r>
      <w:r>
        <w:rPr>
          <w:sz w:val="28"/>
          <w:szCs w:val="28"/>
        </w:rPr>
        <w:instrText xml:space="preserve"> PAGEREF _Toc82683237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1"/>
        <w:rPr>
          <w:rFonts w:asciiTheme="minorHAnsi" w:hAnsiTheme="minorHAnsi" w:eastAsiaTheme="minorEastAsia" w:cstheme="minorBidi"/>
          <w:sz w:val="28"/>
          <w:szCs w:val="28"/>
        </w:rPr>
      </w:pPr>
      <w:r>
        <w:fldChar w:fldCharType="begin"/>
      </w:r>
      <w:r>
        <w:instrText xml:space="preserve"> HYPERLINK \l "_Toc82683238" </w:instrText>
      </w:r>
      <w:r>
        <w:fldChar w:fldCharType="separate"/>
      </w:r>
      <w:r>
        <w:rPr>
          <w:rStyle w:val="16"/>
          <w:rFonts w:hint="eastAsia" w:ascii="仿宋" w:eastAsia="仿宋"/>
          <w:color w:val="auto"/>
          <w:sz w:val="28"/>
          <w:szCs w:val="28"/>
        </w:rPr>
        <w:t>十三、国有资本经营预算财政拨款收入支出决算表</w:t>
      </w:r>
      <w:r>
        <w:rPr>
          <w:sz w:val="28"/>
          <w:szCs w:val="28"/>
        </w:rPr>
        <w:tab/>
      </w:r>
      <w:r>
        <w:rPr>
          <w:sz w:val="28"/>
          <w:szCs w:val="28"/>
        </w:rPr>
        <w:fldChar w:fldCharType="begin"/>
      </w:r>
      <w:r>
        <w:rPr>
          <w:sz w:val="28"/>
          <w:szCs w:val="28"/>
        </w:rPr>
        <w:instrText xml:space="preserve"> PAGEREF _Toc82683238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1"/>
        <w:rPr>
          <w:rFonts w:asciiTheme="minorHAnsi" w:hAnsiTheme="minorHAnsi" w:eastAsiaTheme="minorEastAsia" w:cstheme="minorBidi"/>
          <w:sz w:val="28"/>
          <w:szCs w:val="28"/>
        </w:rPr>
      </w:pPr>
      <w:r>
        <w:fldChar w:fldCharType="begin"/>
      </w:r>
      <w:r>
        <w:instrText xml:space="preserve"> HYPERLINK \l "_Toc82683239" </w:instrText>
      </w:r>
      <w:r>
        <w:fldChar w:fldCharType="separate"/>
      </w:r>
      <w:r>
        <w:rPr>
          <w:rStyle w:val="16"/>
          <w:rFonts w:hint="eastAsia"/>
          <w:color w:val="auto"/>
          <w:sz w:val="28"/>
          <w:szCs w:val="28"/>
        </w:rPr>
        <w:t>十四、国有资本经营预算财政拨款支出决算表</w:t>
      </w:r>
      <w:r>
        <w:rPr>
          <w:sz w:val="28"/>
          <w:szCs w:val="28"/>
        </w:rPr>
        <w:tab/>
      </w:r>
      <w:r>
        <w:rPr>
          <w:sz w:val="28"/>
          <w:szCs w:val="28"/>
        </w:rPr>
        <w:fldChar w:fldCharType="begin"/>
      </w:r>
      <w:r>
        <w:rPr>
          <w:sz w:val="28"/>
          <w:szCs w:val="28"/>
        </w:rPr>
        <w:instrText xml:space="preserve"> PAGEREF _Toc82683239 \h </w:instrText>
      </w:r>
      <w:r>
        <w:rPr>
          <w:sz w:val="28"/>
          <w:szCs w:val="28"/>
        </w:rPr>
        <w:fldChar w:fldCharType="separate"/>
      </w:r>
      <w:r>
        <w:rPr>
          <w:sz w:val="28"/>
          <w:szCs w:val="28"/>
        </w:rPr>
        <w:t>34</w:t>
      </w:r>
      <w:r>
        <w:rPr>
          <w:sz w:val="28"/>
          <w:szCs w:val="28"/>
        </w:rPr>
        <w:fldChar w:fldCharType="end"/>
      </w:r>
      <w:r>
        <w:rPr>
          <w:sz w:val="28"/>
          <w:szCs w:val="28"/>
        </w:rPr>
        <w:fldChar w:fldCharType="end"/>
      </w:r>
    </w:p>
    <w:p>
      <w:pPr>
        <w:widowControl/>
        <w:jc w:val="left"/>
        <w:rPr>
          <w:rFonts w:ascii="仿宋" w:hAnsi="仿宋" w:eastAsia="仿宋"/>
          <w:sz w:val="24"/>
        </w:rPr>
      </w:pPr>
      <w:r>
        <w:rPr>
          <w:rFonts w:ascii="仿宋" w:hAnsi="仿宋" w:eastAsia="仿宋"/>
          <w:sz w:val="28"/>
          <w:szCs w:val="28"/>
        </w:rPr>
        <w:fldChar w:fldCharType="end"/>
      </w:r>
    </w:p>
    <w:p>
      <w:pPr>
        <w:widowControl/>
        <w:jc w:val="left"/>
        <w:rPr>
          <w:rFonts w:ascii="黑体" w:hAnsi="黑体" w:eastAsia="黑体"/>
          <w:bCs/>
          <w:kern w:val="44"/>
          <w:sz w:val="44"/>
          <w:szCs w:val="44"/>
        </w:rPr>
      </w:pPr>
      <w:bookmarkStart w:id="13" w:name="_Toc15377196"/>
      <w:r>
        <w:rPr>
          <w:rFonts w:ascii="黑体" w:hAnsi="黑体" w:eastAsia="黑体"/>
          <w:b/>
        </w:rPr>
        <w:br w:type="page"/>
      </w:r>
    </w:p>
    <w:p>
      <w:pPr>
        <w:pStyle w:val="2"/>
        <w:jc w:val="center"/>
        <w:rPr>
          <w:rStyle w:val="25"/>
          <w:rFonts w:ascii="黑体" w:hAnsi="黑体" w:eastAsia="黑体"/>
          <w:b/>
          <w:bCs w:val="0"/>
        </w:rPr>
      </w:pPr>
      <w:bookmarkStart w:id="14" w:name="_Toc82683201"/>
      <w:r>
        <w:rPr>
          <w:rFonts w:hint="eastAsia" w:ascii="黑体" w:hAnsi="黑体" w:eastAsia="黑体"/>
          <w:b w:val="0"/>
        </w:rPr>
        <w:t xml:space="preserve">第一部分 </w:t>
      </w:r>
      <w:r>
        <w:rPr>
          <w:rStyle w:val="25"/>
          <w:rFonts w:hint="eastAsia" w:ascii="黑体" w:hAnsi="黑体" w:eastAsia="黑体"/>
          <w:b w:val="0"/>
          <w:bCs w:val="0"/>
        </w:rPr>
        <w:t>部门概况</w:t>
      </w:r>
      <w:bookmarkEnd w:id="13"/>
      <w:bookmarkEnd w:id="14"/>
    </w:p>
    <w:p>
      <w:pPr>
        <w:widowControl/>
        <w:jc w:val="left"/>
        <w:rPr>
          <w:rFonts w:ascii="黑体" w:eastAsia="黑体"/>
          <w:sz w:val="32"/>
          <w:szCs w:val="32"/>
        </w:rPr>
      </w:pPr>
    </w:p>
    <w:p>
      <w:pPr>
        <w:pStyle w:val="3"/>
        <w:rPr>
          <w:rStyle w:val="26"/>
          <w:rFonts w:ascii="仿宋" w:hAnsi="仿宋" w:eastAsia="仿宋"/>
          <w:b w:val="0"/>
          <w:bCs w:val="0"/>
        </w:rPr>
      </w:pPr>
      <w:bookmarkStart w:id="15" w:name="_Toc15377197"/>
      <w:bookmarkStart w:id="16" w:name="_Toc82683202"/>
      <w:r>
        <w:rPr>
          <w:rFonts w:hint="eastAsia" w:ascii="黑体" w:hAnsi="黑体" w:eastAsia="黑体"/>
          <w:b w:val="0"/>
        </w:rPr>
        <w:t>一、基</w:t>
      </w:r>
      <w:r>
        <w:rPr>
          <w:rStyle w:val="26"/>
          <w:rFonts w:hint="eastAsia" w:ascii="黑体" w:hAnsi="黑体" w:eastAsia="黑体"/>
          <w:b w:val="0"/>
          <w:bCs w:val="0"/>
        </w:rPr>
        <w:t>本职能及主要工作</w:t>
      </w:r>
      <w:bookmarkEnd w:id="15"/>
      <w:bookmarkEnd w:id="16"/>
    </w:p>
    <w:p>
      <w:pPr>
        <w:pStyle w:val="5"/>
        <w:adjustRightInd w:val="0"/>
        <w:snapToGrid w:val="0"/>
        <w:spacing w:before="93" w:line="600" w:lineRule="exact"/>
        <w:ind w:firstLine="672" w:firstLineChars="210"/>
        <w:outlineLvl w:val="2"/>
        <w:rPr>
          <w:rFonts w:ascii="仿宋" w:hAnsi="仿宋" w:eastAsia="仿宋"/>
          <w:bCs/>
          <w:sz w:val="32"/>
          <w:szCs w:val="32"/>
        </w:rPr>
      </w:pPr>
      <w:bookmarkStart w:id="17" w:name="_Toc15377198"/>
      <w:bookmarkStart w:id="18" w:name="_Toc15378445"/>
      <w:r>
        <w:rPr>
          <w:rFonts w:hint="eastAsia" w:ascii="仿宋" w:hAnsi="仿宋" w:eastAsia="仿宋"/>
          <w:bCs/>
          <w:sz w:val="32"/>
          <w:szCs w:val="32"/>
        </w:rPr>
        <w:t>（一）主要职能。</w:t>
      </w:r>
      <w:bookmarkEnd w:id="17"/>
      <w:bookmarkEnd w:id="18"/>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pStyle w:val="5"/>
        <w:adjustRightInd w:val="0"/>
        <w:snapToGrid w:val="0"/>
        <w:spacing w:before="93" w:line="600" w:lineRule="exact"/>
        <w:ind w:firstLine="672" w:firstLineChars="210"/>
        <w:outlineLvl w:val="2"/>
        <w:rPr>
          <w:rFonts w:ascii="仿宋" w:hAnsi="仿宋" w:eastAsia="仿宋"/>
          <w:bCs/>
          <w:sz w:val="32"/>
          <w:szCs w:val="32"/>
        </w:rPr>
      </w:pPr>
      <w:bookmarkStart w:id="19" w:name="_Toc15377199"/>
      <w:bookmarkStart w:id="20" w:name="_Toc15378446"/>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20年重点工作完成情况。</w:t>
      </w:r>
      <w:bookmarkEnd w:id="19"/>
      <w:bookmarkEnd w:id="20"/>
    </w:p>
    <w:p>
      <w:pPr>
        <w:pStyle w:val="5"/>
        <w:adjustRightInd w:val="0"/>
        <w:snapToGrid w:val="0"/>
        <w:spacing w:before="93" w:line="578" w:lineRule="exact"/>
        <w:ind w:firstLine="672" w:firstLineChars="210"/>
        <w:rPr>
          <w:rFonts w:ascii="仿宋" w:hAnsi="仿宋" w:eastAsia="仿宋"/>
          <w:bCs/>
          <w:sz w:val="32"/>
          <w:szCs w:val="32"/>
        </w:rPr>
      </w:pPr>
      <w:r>
        <w:rPr>
          <w:rFonts w:hint="eastAsia" w:ascii="仿宋" w:hAnsi="仿宋" w:eastAsia="仿宋"/>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pPr>
        <w:pStyle w:val="3"/>
        <w:rPr>
          <w:rStyle w:val="26"/>
          <w:b w:val="0"/>
          <w:bCs w:val="0"/>
        </w:rPr>
      </w:pPr>
      <w:bookmarkStart w:id="21" w:name="_Toc15377200"/>
      <w:bookmarkStart w:id="22" w:name="_Toc82683203"/>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1"/>
      <w:bookmarkEnd w:id="22"/>
    </w:p>
    <w:p>
      <w:pPr>
        <w:pStyle w:val="5"/>
        <w:adjustRightInd w:val="0"/>
        <w:snapToGrid w:val="0"/>
        <w:spacing w:before="93" w:line="578" w:lineRule="exact"/>
        <w:ind w:firstLine="672" w:firstLineChars="210"/>
        <w:rPr>
          <w:rFonts w:ascii="仿宋" w:hAnsi="仿宋" w:eastAsia="仿宋"/>
          <w:sz w:val="32"/>
          <w:szCs w:val="32"/>
        </w:rPr>
      </w:pPr>
      <w:r>
        <w:rPr>
          <w:rFonts w:hint="eastAsia" w:ascii="仿宋" w:hAnsi="仿宋" w:eastAsia="仿宋"/>
          <w:sz w:val="32"/>
          <w:szCs w:val="32"/>
        </w:rPr>
        <w:t>我校属达川区教育和科学技术局下属事业单位。单位性质属全额拨款事业单位。</w:t>
      </w:r>
    </w:p>
    <w:p>
      <w:pPr>
        <w:ind w:firstLine="800" w:firstLineChars="250"/>
        <w:rPr>
          <w:rFonts w:ascii="仿宋" w:hAnsi="仿宋" w:eastAsia="仿宋"/>
          <w:kern w:val="0"/>
          <w:sz w:val="32"/>
          <w:szCs w:val="32"/>
        </w:rPr>
      </w:pPr>
    </w:p>
    <w:p>
      <w:pPr>
        <w:pStyle w:val="2"/>
        <w:ind w:right="440"/>
        <w:jc w:val="right"/>
        <w:rPr>
          <w:rStyle w:val="25"/>
          <w:rFonts w:ascii="黑体" w:hAnsi="黑体" w:eastAsia="黑体"/>
          <w:b w:val="0"/>
          <w:bCs w:val="0"/>
        </w:rPr>
      </w:pPr>
      <w:bookmarkStart w:id="23" w:name="_Toc15377204"/>
      <w:bookmarkStart w:id="24" w:name="_Toc82683204"/>
      <w:r>
        <w:rPr>
          <w:rFonts w:hint="eastAsia" w:ascii="黑体" w:hAnsi="黑体" w:eastAsia="黑体"/>
          <w:b w:val="0"/>
        </w:rPr>
        <w:t>第二部分</w:t>
      </w:r>
      <w:r>
        <w:rPr>
          <w:rStyle w:val="25"/>
          <w:rFonts w:hint="eastAsia" w:ascii="黑体" w:hAnsi="黑体" w:eastAsia="黑体"/>
          <w:b w:val="0"/>
          <w:bCs w:val="0"/>
        </w:rPr>
        <w:t>2020年度部门决算情况说明</w:t>
      </w:r>
      <w:bookmarkEnd w:id="23"/>
      <w:bookmarkEnd w:id="24"/>
    </w:p>
    <w:p/>
    <w:p>
      <w:pPr>
        <w:pStyle w:val="24"/>
        <w:numPr>
          <w:ilvl w:val="0"/>
          <w:numId w:val="1"/>
        </w:numPr>
        <w:spacing w:line="600" w:lineRule="exact"/>
        <w:ind w:firstLineChars="0"/>
        <w:outlineLvl w:val="1"/>
        <w:rPr>
          <w:rStyle w:val="26"/>
          <w:rFonts w:ascii="黑体" w:hAnsi="黑体" w:eastAsia="黑体"/>
          <w:b w:val="0"/>
        </w:rPr>
      </w:pPr>
      <w:bookmarkStart w:id="25" w:name="_Toc15377205"/>
      <w:bookmarkStart w:id="26" w:name="_Toc82683205"/>
      <w:r>
        <w:rPr>
          <w:rFonts w:hint="eastAsia" w:ascii="黑体" w:hAnsi="黑体" w:eastAsia="黑体"/>
          <w:sz w:val="32"/>
          <w:szCs w:val="32"/>
        </w:rPr>
        <w:t>收</w:t>
      </w:r>
      <w:r>
        <w:rPr>
          <w:rStyle w:val="26"/>
          <w:rFonts w:hint="eastAsia" w:ascii="黑体" w:hAnsi="黑体" w:eastAsia="黑体"/>
          <w:b w:val="0"/>
        </w:rPr>
        <w:t>入支出决算总体情况说明</w:t>
      </w:r>
      <w:bookmarkEnd w:id="25"/>
      <w:bookmarkEnd w:id="26"/>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2020年度收、支总计1100.13万元。与2019年相比，收、支总计各增加409.1万元，增长59.2%。主要变动原因是人员经费和项目支出增加。</w:t>
      </w:r>
    </w:p>
    <w:p>
      <w:pPr>
        <w:ind w:firstLine="640" w:firstLineChars="200"/>
        <w:rPr>
          <w:rFonts w:ascii="仿宋_GB2312" w:hAnsi="仿宋" w:eastAsia="仿宋_GB2312"/>
          <w:sz w:val="32"/>
          <w:szCs w:val="32"/>
        </w:rPr>
      </w:pPr>
      <w:r>
        <w:rPr>
          <w:rFonts w:hint="eastAsia" w:ascii="仿宋_GB2312" w:hAnsi="仿宋" w:eastAsia="仿宋_GB2312"/>
          <w:sz w:val="32"/>
          <w:szCs w:val="32"/>
        </w:rPr>
        <w:t>（图1：收、支决算总计变动情况图）（柱状图）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3040" cy="318516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5273040" cy="3185160"/>
                          </a:xfrm>
                          <a:prstGeom prst="rect">
                            <a:avLst/>
                          </a:prstGeom>
                          <a:noFill/>
                          <a:ln w="9525">
                            <a:noFill/>
                            <a:miter lim="800000"/>
                            <a:headEnd/>
                            <a:tailEnd/>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7" w:name="_Toc15377206"/>
      <w:bookmarkStart w:id="28" w:name="_Toc82683206"/>
      <w:r>
        <w:rPr>
          <w:rFonts w:hint="eastAsia" w:ascii="黑体" w:hAnsi="黑体" w:eastAsia="黑体"/>
          <w:sz w:val="32"/>
          <w:szCs w:val="32"/>
        </w:rPr>
        <w:t>收</w:t>
      </w:r>
      <w:r>
        <w:rPr>
          <w:rStyle w:val="26"/>
          <w:rFonts w:hint="eastAsia" w:ascii="黑体" w:hAnsi="黑体" w:eastAsia="黑体"/>
          <w:b w:val="0"/>
        </w:rPr>
        <w:t>入决算情况说明</w:t>
      </w:r>
      <w:bookmarkEnd w:id="27"/>
      <w:bookmarkEnd w:id="28"/>
    </w:p>
    <w:p>
      <w:pPr>
        <w:spacing w:line="600" w:lineRule="exact"/>
        <w:ind w:firstLine="640" w:firstLineChars="200"/>
        <w:outlineLvl w:val="1"/>
        <w:rPr>
          <w:rFonts w:ascii="仿宋_GB2312" w:hAnsi="仿宋" w:eastAsia="仿宋_GB2312"/>
          <w:sz w:val="32"/>
          <w:szCs w:val="32"/>
        </w:rPr>
      </w:pPr>
      <w:bookmarkStart w:id="29" w:name="_Toc82683207"/>
      <w:r>
        <w:rPr>
          <w:rFonts w:hint="eastAsia" w:ascii="仿宋_GB2312" w:hAnsi="仿宋" w:eastAsia="仿宋_GB2312"/>
          <w:sz w:val="32"/>
          <w:szCs w:val="32"/>
        </w:rPr>
        <w:t>2020年本年收入合计1100.13万元，其中：一般公共预算财政拨款收入727.15万元，占66.1%；其他收入372.98万元，占33.9%。</w:t>
      </w:r>
      <w:bookmarkEnd w:id="29"/>
    </w:p>
    <w:p>
      <w:pPr>
        <w:ind w:firstLine="640" w:firstLineChars="200"/>
        <w:rPr>
          <w:rFonts w:ascii="仿宋_GB2312" w:hAnsi="仿宋" w:eastAsia="仿宋_GB2312"/>
          <w:sz w:val="32"/>
          <w:szCs w:val="32"/>
        </w:rPr>
      </w:pPr>
      <w:r>
        <w:rPr>
          <w:rFonts w:hint="eastAsia" w:ascii="仿宋_GB2312" w:hAnsi="仿宋" w:eastAsia="仿宋_GB2312"/>
          <w:sz w:val="32"/>
          <w:szCs w:val="32"/>
        </w:rPr>
        <w:t>（图2：收入决算结构图）（饼状图）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73040" cy="3390900"/>
                  <wp:effectExtent l="1905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srcRect/>
                          <a:stretch>
                            <a:fillRect/>
                          </a:stretch>
                        </pic:blipFill>
                        <pic:spPr>
                          <a:xfrm>
                            <a:off x="0" y="0"/>
                            <a:ext cx="5273040" cy="3390900"/>
                          </a:xfrm>
                          <a:prstGeom prst="rect">
                            <a:avLst/>
                          </a:prstGeom>
                          <a:noFill/>
                          <a:ln w="9525">
                            <a:noFill/>
                            <a:miter lim="800000"/>
                            <a:headEnd/>
                            <a:tailEnd/>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30" w:name="_Toc82683208"/>
      <w:bookmarkStart w:id="31" w:name="_Toc15377207"/>
      <w:r>
        <w:rPr>
          <w:rFonts w:hint="eastAsia" w:ascii="黑体" w:hAnsi="黑体" w:eastAsia="黑体"/>
          <w:sz w:val="32"/>
          <w:szCs w:val="32"/>
        </w:rPr>
        <w:t>支</w:t>
      </w:r>
      <w:r>
        <w:rPr>
          <w:rStyle w:val="26"/>
          <w:rFonts w:hint="eastAsia" w:ascii="黑体" w:hAnsi="黑体" w:eastAsia="黑体"/>
          <w:b w:val="0"/>
        </w:rPr>
        <w:t>出决算情况说明</w:t>
      </w:r>
      <w:bookmarkEnd w:id="30"/>
      <w:bookmarkEnd w:id="31"/>
    </w:p>
    <w:p>
      <w:pPr>
        <w:spacing w:line="600" w:lineRule="exact"/>
        <w:ind w:firstLine="640"/>
        <w:rPr>
          <w:rFonts w:ascii="仿宋_GB2312" w:hAnsi="仿宋" w:eastAsia="仿宋_GB2312"/>
          <w:sz w:val="32"/>
          <w:szCs w:val="32"/>
          <w:shd w:val="pct10" w:color="auto" w:fill="FFFFFF"/>
        </w:rPr>
      </w:pPr>
      <w:r>
        <w:rPr>
          <w:rFonts w:hint="eastAsia" w:ascii="仿宋_GB2312" w:hAnsi="仿宋" w:eastAsia="仿宋_GB2312"/>
          <w:sz w:val="32"/>
          <w:szCs w:val="32"/>
        </w:rPr>
        <w:t>2020年本年支出合计1100.13万元，其中：基本支出1100.13万元，占100%。</w:t>
      </w:r>
    </w:p>
    <w:p>
      <w:pPr>
        <w:ind w:firstLine="640" w:firstLineChars="200"/>
        <w:rPr>
          <w:rFonts w:ascii="仿宋_GB2312" w:hAnsi="仿宋" w:eastAsia="仿宋_GB2312"/>
          <w:sz w:val="32"/>
          <w:szCs w:val="32"/>
        </w:rPr>
      </w:pPr>
      <w:r>
        <w:rPr>
          <w:rFonts w:hint="eastAsia" w:ascii="仿宋_GB2312" w:hAnsi="仿宋" w:eastAsia="仿宋_GB2312"/>
          <w:sz w:val="32"/>
          <w:szCs w:val="32"/>
        </w:rPr>
        <w:t>（图3：支出决算结构图）（饼状图）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73040" cy="3390900"/>
                  <wp:effectExtent l="1905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srcRect/>
                          <a:stretch>
                            <a:fillRect/>
                          </a:stretch>
                        </pic:blipFill>
                        <pic:spPr>
                          <a:xfrm>
                            <a:off x="0" y="0"/>
                            <a:ext cx="5273040" cy="3390900"/>
                          </a:xfrm>
                          <a:prstGeom prst="rect">
                            <a:avLst/>
                          </a:prstGeom>
                          <a:noFill/>
                          <a:ln w="9525">
                            <a:noFill/>
                            <a:miter lim="800000"/>
                            <a:headEnd/>
                            <a:tailEnd/>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2" w:name="_Toc15377208"/>
      <w:bookmarkStart w:id="33" w:name="_Toc82683209"/>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2"/>
      <w:bookmarkEnd w:id="33"/>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2020年财政拨款收、支总计727.15万元。与2019年相比，财政拨款收、支总计各增加36.32万元，增长5.26%。主要变动原因是人员经费和项目支出增加。</w:t>
      </w:r>
    </w:p>
    <w:p>
      <w:pPr>
        <w:ind w:firstLine="640" w:firstLineChars="200"/>
        <w:rPr>
          <w:rFonts w:ascii="仿宋_GB2312" w:hAnsi="仿宋" w:eastAsia="仿宋_GB2312"/>
          <w:sz w:val="32"/>
          <w:szCs w:val="32"/>
        </w:rPr>
      </w:pPr>
      <w:r>
        <w:rPr>
          <w:rFonts w:hint="eastAsia" w:ascii="仿宋_GB2312" w:hAnsi="仿宋" w:eastAsia="仿宋_GB2312"/>
          <w:sz w:val="32"/>
          <w:szCs w:val="32"/>
        </w:rPr>
        <w:t>（图4：财政拨款收、支决算总计变动情况）（柱状图）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b/>
                <w:sz w:val="32"/>
                <w:szCs w:val="32"/>
              </w:rPr>
            </w:pPr>
            <w:r>
              <w:rPr>
                <w:rFonts w:ascii="仿宋" w:hAnsi="仿宋" w:eastAsia="仿宋"/>
                <w:b/>
                <w:sz w:val="32"/>
                <w:szCs w:val="32"/>
              </w:rPr>
              <w:drawing>
                <wp:inline distT="0" distB="0" distL="0" distR="0">
                  <wp:extent cx="5273040" cy="3185160"/>
                  <wp:effectExtent l="1905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srcRect/>
                          <a:stretch>
                            <a:fillRect/>
                          </a:stretch>
                        </pic:blipFill>
                        <pic:spPr>
                          <a:xfrm>
                            <a:off x="0" y="0"/>
                            <a:ext cx="5273040" cy="3185160"/>
                          </a:xfrm>
                          <a:prstGeom prst="rect">
                            <a:avLst/>
                          </a:prstGeom>
                          <a:noFill/>
                          <a:ln w="9525">
                            <a:noFill/>
                            <a:miter lim="800000"/>
                            <a:headEnd/>
                            <a:tailEnd/>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4" w:name="_Toc15377209"/>
      <w:bookmarkStart w:id="35" w:name="_Toc82683210"/>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4"/>
      <w:bookmarkEnd w:id="35"/>
    </w:p>
    <w:p>
      <w:pPr>
        <w:spacing w:line="600" w:lineRule="exact"/>
        <w:ind w:firstLine="643" w:firstLineChars="200"/>
        <w:outlineLvl w:val="2"/>
        <w:rPr>
          <w:rFonts w:ascii="仿宋_GB2312" w:hAnsi="仿宋" w:eastAsia="仿宋_GB2312"/>
          <w:b/>
          <w:sz w:val="32"/>
          <w:szCs w:val="32"/>
        </w:rPr>
      </w:pPr>
      <w:bookmarkStart w:id="36" w:name="_Toc15377210"/>
      <w:r>
        <w:rPr>
          <w:rFonts w:hint="eastAsia" w:ascii="仿宋_GB2312" w:hAnsi="仿宋" w:eastAsia="仿宋_GB2312"/>
          <w:b/>
          <w:sz w:val="32"/>
          <w:szCs w:val="32"/>
        </w:rPr>
        <w:t>（一）一般公共预算财政拨款支出决算总体情况</w:t>
      </w:r>
      <w:bookmarkEnd w:id="36"/>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2020年一般公共预算财政拨款支出727.15万元，占本年支出合计的100%。与2019年相比，一般公共预算财政拨款增加36.32万元，增长5.26%。主要变动原因是人员经费和项目支出增加。</w:t>
      </w:r>
    </w:p>
    <w:p>
      <w:pPr>
        <w:ind w:firstLine="640" w:firstLineChars="200"/>
        <w:rPr>
          <w:rFonts w:ascii="仿宋_GB2312" w:hAnsi="仿宋" w:eastAsia="仿宋_GB2312"/>
          <w:sz w:val="32"/>
          <w:szCs w:val="32"/>
        </w:rPr>
      </w:pPr>
      <w:r>
        <w:rPr>
          <w:rFonts w:hint="eastAsia" w:ascii="仿宋_GB2312" w:hAnsi="仿宋" w:eastAsia="仿宋_GB2312"/>
          <w:sz w:val="32"/>
          <w:szCs w:val="32"/>
        </w:rPr>
        <w:t>（图5：一般公共预算财政拨款支出决算变动情况）（柱状图）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3040" cy="3185160"/>
                  <wp:effectExtent l="1905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srcRect/>
                          <a:stretch>
                            <a:fillRect/>
                          </a:stretch>
                        </pic:blipFill>
                        <pic:spPr>
                          <a:xfrm>
                            <a:off x="0" y="0"/>
                            <a:ext cx="5273040" cy="3185160"/>
                          </a:xfrm>
                          <a:prstGeom prst="rect">
                            <a:avLst/>
                          </a:prstGeom>
                          <a:noFill/>
                          <a:ln w="9525">
                            <a:noFill/>
                            <a:miter lim="800000"/>
                            <a:headEnd/>
                            <a:tailEnd/>
                          </a:ln>
                        </pic:spPr>
                      </pic:pic>
                    </a:graphicData>
                  </a:graphic>
                </wp:inline>
              </w:drawing>
            </w:r>
          </w:p>
        </w:tc>
      </w:tr>
    </w:tbl>
    <w:p>
      <w:pPr>
        <w:spacing w:line="600" w:lineRule="exact"/>
        <w:ind w:firstLine="643" w:firstLineChars="200"/>
        <w:outlineLvl w:val="2"/>
        <w:rPr>
          <w:rFonts w:ascii="仿宋_GB2312" w:hAnsi="仿宋" w:eastAsia="仿宋_GB2312"/>
          <w:b/>
          <w:sz w:val="32"/>
          <w:szCs w:val="32"/>
        </w:rPr>
      </w:pPr>
      <w:bookmarkStart w:id="37" w:name="_Toc15377211"/>
      <w:r>
        <w:rPr>
          <w:rFonts w:hint="eastAsia" w:ascii="仿宋_GB2312" w:hAnsi="仿宋" w:eastAsia="仿宋_GB2312"/>
          <w:b/>
          <w:sz w:val="32"/>
          <w:szCs w:val="32"/>
        </w:rPr>
        <w:t>（二）一般公共预算财政拨款支出决算结构情况</w:t>
      </w:r>
      <w:bookmarkEnd w:id="37"/>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2020年一般公共预算财政拨款支出727.15万元，主要用于以下方面:教育（类）支出619.65万元，占85.22%；社会保障和就业（类）支出49.33万元，占6.78%；医疗卫生与计划生育（类）支出21.17万元，占2.91%；住房保障（类）支出37万元，占5.09%。</w:t>
      </w:r>
    </w:p>
    <w:p>
      <w:pPr>
        <w:ind w:firstLine="640" w:firstLineChars="200"/>
        <w:rPr>
          <w:rFonts w:ascii="仿宋_GB2312" w:hAnsi="仿宋" w:eastAsia="仿宋_GB2312"/>
          <w:sz w:val="32"/>
          <w:szCs w:val="32"/>
        </w:rPr>
      </w:pPr>
      <w:r>
        <w:rPr>
          <w:rFonts w:hint="eastAsia" w:ascii="仿宋_GB2312" w:hAnsi="仿宋" w:eastAsia="仿宋_GB2312"/>
          <w:sz w:val="32"/>
          <w:szCs w:val="32"/>
        </w:rPr>
        <w:t>（图6：一般公共预算财政拨款支出决算结构）（饼状图）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3040" cy="3390900"/>
                  <wp:effectExtent l="1905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srcRect/>
                          <a:stretch>
                            <a:fillRect/>
                          </a:stretch>
                        </pic:blipFill>
                        <pic:spPr>
                          <a:xfrm>
                            <a:off x="0" y="0"/>
                            <a:ext cx="5273040" cy="3390900"/>
                          </a:xfrm>
                          <a:prstGeom prst="rect">
                            <a:avLst/>
                          </a:prstGeom>
                          <a:noFill/>
                          <a:ln w="9525">
                            <a:noFill/>
                            <a:miter lim="800000"/>
                            <a:headEnd/>
                            <a:tailEnd/>
                          </a:ln>
                        </pic:spPr>
                      </pic:pic>
                    </a:graphicData>
                  </a:graphic>
                </wp:inline>
              </w:drawing>
            </w:r>
          </w:p>
        </w:tc>
      </w:tr>
    </w:tbl>
    <w:p>
      <w:pPr>
        <w:spacing w:line="600" w:lineRule="exact"/>
        <w:ind w:firstLine="643" w:firstLineChars="200"/>
        <w:outlineLvl w:val="2"/>
        <w:rPr>
          <w:rFonts w:ascii="仿宋_GB2312" w:hAnsi="仿宋" w:eastAsia="仿宋_GB2312"/>
          <w:b/>
          <w:sz w:val="32"/>
          <w:szCs w:val="32"/>
        </w:rPr>
      </w:pPr>
      <w:bookmarkStart w:id="38" w:name="_Toc15377212"/>
      <w:r>
        <w:rPr>
          <w:rFonts w:hint="eastAsia" w:ascii="仿宋_GB2312" w:hAnsi="仿宋" w:eastAsia="仿宋_GB2312"/>
          <w:b/>
          <w:sz w:val="32"/>
          <w:szCs w:val="32"/>
        </w:rPr>
        <w:t>（三）一般公共预算财政拨款支出决算具体情况</w:t>
      </w:r>
      <w:bookmarkEnd w:id="38"/>
    </w:p>
    <w:p>
      <w:pPr>
        <w:spacing w:line="600" w:lineRule="exact"/>
        <w:ind w:firstLine="643" w:firstLineChars="200"/>
        <w:outlineLvl w:val="2"/>
        <w:rPr>
          <w:rFonts w:ascii="仿宋_GB2312" w:hAnsi="仿宋" w:eastAsia="仿宋_GB2312"/>
          <w:sz w:val="32"/>
          <w:szCs w:val="32"/>
        </w:rPr>
      </w:pPr>
      <w:bookmarkStart w:id="39" w:name="_Toc15378460"/>
      <w:bookmarkStart w:id="40" w:name="_Toc15377444"/>
      <w:bookmarkStart w:id="41" w:name="_Toc15377213"/>
      <w:r>
        <w:rPr>
          <w:rFonts w:hint="eastAsia" w:ascii="仿宋_GB2312" w:hAnsi="仿宋" w:eastAsia="仿宋_GB2312"/>
          <w:b/>
          <w:sz w:val="32"/>
          <w:szCs w:val="32"/>
        </w:rPr>
        <w:t>2020年一般公共预算支出决算数为727.15万元</w:t>
      </w:r>
      <w:r>
        <w:rPr>
          <w:rStyle w:val="15"/>
          <w:rFonts w:hint="eastAsia" w:ascii="仿宋_GB2312" w:hAnsi="仿宋" w:eastAsia="仿宋_GB2312"/>
          <w:bCs/>
          <w:sz w:val="32"/>
          <w:szCs w:val="32"/>
        </w:rPr>
        <w:t>。其中：</w:t>
      </w:r>
      <w:bookmarkEnd w:id="39"/>
      <w:bookmarkEnd w:id="40"/>
      <w:bookmarkEnd w:id="41"/>
    </w:p>
    <w:p>
      <w:pPr>
        <w:spacing w:line="600" w:lineRule="exact"/>
        <w:ind w:firstLine="643" w:firstLineChars="200"/>
        <w:rPr>
          <w:rFonts w:ascii="仿宋_GB2312" w:hAnsi="仿宋" w:eastAsia="仿宋_GB2312"/>
          <w:b/>
          <w:sz w:val="32"/>
          <w:szCs w:val="32"/>
        </w:rPr>
      </w:pPr>
      <w:r>
        <w:rPr>
          <w:rStyle w:val="15"/>
          <w:rFonts w:hint="eastAsia" w:ascii="楷体_GB2312" w:hAnsi="仿宋" w:eastAsia="楷体_GB2312"/>
          <w:bCs/>
          <w:sz w:val="32"/>
          <w:szCs w:val="32"/>
        </w:rPr>
        <w:t>1.教育205（类）02（款）:</w:t>
      </w:r>
      <w:r>
        <w:rPr>
          <w:rStyle w:val="15"/>
          <w:rFonts w:hint="eastAsia" w:ascii="仿宋_GB2312" w:hAnsi="仿宋" w:eastAsia="仿宋_GB2312"/>
          <w:b w:val="0"/>
          <w:bCs/>
          <w:sz w:val="32"/>
          <w:szCs w:val="32"/>
        </w:rPr>
        <w:t>支出决算为</w:t>
      </w:r>
      <w:r>
        <w:rPr>
          <w:rFonts w:hint="eastAsia" w:ascii="仿宋_GB2312" w:hAnsi="仿宋" w:eastAsia="仿宋_GB2312"/>
          <w:sz w:val="32"/>
          <w:szCs w:val="32"/>
        </w:rPr>
        <w:t>619.65</w:t>
      </w:r>
      <w:r>
        <w:rPr>
          <w:rStyle w:val="15"/>
          <w:rFonts w:hint="eastAsia" w:ascii="仿宋_GB2312" w:hAnsi="仿宋" w:eastAsia="仿宋_GB2312"/>
          <w:b w:val="0"/>
          <w:bCs/>
          <w:sz w:val="32"/>
          <w:szCs w:val="32"/>
        </w:rPr>
        <w:t>万元。</w:t>
      </w:r>
    </w:p>
    <w:p>
      <w:pPr>
        <w:spacing w:line="600" w:lineRule="exact"/>
        <w:ind w:firstLine="643" w:firstLineChars="200"/>
        <w:rPr>
          <w:rFonts w:ascii="仿宋_GB2312" w:hAnsi="仿宋" w:eastAsia="仿宋_GB2312"/>
          <w:b/>
          <w:sz w:val="32"/>
          <w:szCs w:val="32"/>
        </w:rPr>
      </w:pPr>
      <w:r>
        <w:rPr>
          <w:rStyle w:val="15"/>
          <w:rFonts w:hint="eastAsia" w:ascii="楷体_GB2312" w:hAnsi="仿宋" w:eastAsia="楷体_GB2312"/>
          <w:bCs/>
          <w:sz w:val="32"/>
          <w:szCs w:val="32"/>
        </w:rPr>
        <w:t>2.社会保障和就业208（类）05（款）05（项）:</w:t>
      </w:r>
      <w:r>
        <w:rPr>
          <w:rStyle w:val="15"/>
          <w:rFonts w:hint="eastAsia" w:ascii="仿宋_GB2312" w:hAnsi="仿宋" w:eastAsia="仿宋_GB2312"/>
          <w:b w:val="0"/>
          <w:bCs/>
          <w:sz w:val="32"/>
          <w:szCs w:val="32"/>
        </w:rPr>
        <w:t>支出决算为</w:t>
      </w:r>
      <w:r>
        <w:rPr>
          <w:rFonts w:hint="eastAsia" w:ascii="仿宋_GB2312" w:hAnsi="仿宋" w:eastAsia="仿宋_GB2312"/>
          <w:sz w:val="32"/>
          <w:szCs w:val="32"/>
        </w:rPr>
        <w:t>49.33</w:t>
      </w:r>
      <w:r>
        <w:rPr>
          <w:rStyle w:val="15"/>
          <w:rFonts w:hint="eastAsia" w:ascii="仿宋_GB2312" w:hAnsi="仿宋" w:eastAsia="仿宋_GB2312"/>
          <w:b w:val="0"/>
          <w:bCs/>
          <w:sz w:val="32"/>
          <w:szCs w:val="32"/>
        </w:rPr>
        <w:t>万元。</w:t>
      </w:r>
    </w:p>
    <w:p>
      <w:pPr>
        <w:spacing w:line="600" w:lineRule="exact"/>
        <w:ind w:firstLine="643" w:firstLineChars="200"/>
        <w:rPr>
          <w:rStyle w:val="15"/>
          <w:rFonts w:ascii="仿宋_GB2312" w:hAnsi="仿宋" w:eastAsia="仿宋_GB2312"/>
          <w:b w:val="0"/>
          <w:bCs/>
          <w:sz w:val="32"/>
          <w:szCs w:val="32"/>
        </w:rPr>
      </w:pPr>
      <w:r>
        <w:rPr>
          <w:rStyle w:val="15"/>
          <w:rFonts w:hint="eastAsia" w:ascii="楷体_GB2312" w:hAnsi="仿宋" w:eastAsia="楷体_GB2312"/>
          <w:bCs/>
          <w:sz w:val="32"/>
          <w:szCs w:val="32"/>
        </w:rPr>
        <w:t>3.医疗卫生与计划生育210（类）11（款）02（项）:</w:t>
      </w:r>
      <w:r>
        <w:rPr>
          <w:rStyle w:val="15"/>
          <w:rFonts w:hint="eastAsia" w:ascii="仿宋_GB2312" w:hAnsi="仿宋" w:eastAsia="仿宋_GB2312"/>
          <w:b w:val="0"/>
          <w:bCs/>
          <w:sz w:val="32"/>
          <w:szCs w:val="32"/>
        </w:rPr>
        <w:t>支出决算为</w:t>
      </w:r>
      <w:r>
        <w:rPr>
          <w:rFonts w:hint="eastAsia" w:ascii="仿宋_GB2312" w:hAnsi="仿宋" w:eastAsia="仿宋_GB2312"/>
          <w:sz w:val="32"/>
          <w:szCs w:val="32"/>
        </w:rPr>
        <w:t>21.17</w:t>
      </w:r>
      <w:r>
        <w:rPr>
          <w:rStyle w:val="15"/>
          <w:rFonts w:hint="eastAsia" w:ascii="仿宋_GB2312" w:hAnsi="仿宋" w:eastAsia="仿宋_GB2312"/>
          <w:b w:val="0"/>
          <w:bCs/>
          <w:sz w:val="32"/>
          <w:szCs w:val="32"/>
        </w:rPr>
        <w:t>万元。</w:t>
      </w:r>
    </w:p>
    <w:p>
      <w:pPr>
        <w:spacing w:line="600" w:lineRule="exact"/>
        <w:ind w:firstLine="643" w:firstLineChars="200"/>
        <w:rPr>
          <w:rStyle w:val="15"/>
          <w:rFonts w:ascii="仿宋_GB2312" w:hAnsi="仿宋" w:eastAsia="仿宋_GB2312"/>
          <w:b w:val="0"/>
          <w:bCs/>
          <w:sz w:val="32"/>
          <w:szCs w:val="32"/>
        </w:rPr>
      </w:pPr>
      <w:r>
        <w:rPr>
          <w:rFonts w:hint="eastAsia" w:ascii="楷体_GB2312" w:hAnsi="仿宋" w:eastAsia="楷体_GB2312"/>
          <w:b/>
          <w:sz w:val="32"/>
          <w:szCs w:val="32"/>
        </w:rPr>
        <w:t>4.住房保障221（类）02（款）01（项）</w:t>
      </w:r>
      <w:r>
        <w:rPr>
          <w:rStyle w:val="15"/>
          <w:rFonts w:hint="eastAsia" w:ascii="楷体_GB2312" w:hAnsi="仿宋" w:eastAsia="楷体_GB2312"/>
          <w:bCs/>
          <w:sz w:val="32"/>
          <w:szCs w:val="32"/>
        </w:rPr>
        <w:t>:</w:t>
      </w:r>
      <w:r>
        <w:rPr>
          <w:rFonts w:hint="eastAsia" w:ascii="仿宋_GB2312" w:hAnsi="仿宋" w:eastAsia="仿宋_GB2312"/>
          <w:sz w:val="32"/>
          <w:szCs w:val="32"/>
        </w:rPr>
        <w:t>支出</w:t>
      </w:r>
      <w:r>
        <w:rPr>
          <w:rStyle w:val="15"/>
          <w:rFonts w:hint="eastAsia" w:ascii="仿宋_GB2312" w:hAnsi="仿宋" w:eastAsia="仿宋_GB2312"/>
          <w:b w:val="0"/>
          <w:bCs/>
          <w:sz w:val="32"/>
          <w:szCs w:val="32"/>
        </w:rPr>
        <w:t>决算</w:t>
      </w:r>
      <w:r>
        <w:rPr>
          <w:rFonts w:hint="eastAsia" w:ascii="仿宋_GB2312" w:hAnsi="仿宋" w:eastAsia="仿宋_GB2312"/>
          <w:sz w:val="32"/>
          <w:szCs w:val="32"/>
        </w:rPr>
        <w:t>37万元</w:t>
      </w:r>
      <w:r>
        <w:rPr>
          <w:rStyle w:val="15"/>
          <w:rFonts w:hint="eastAsia" w:ascii="仿宋_GB2312" w:hAnsi="仿宋" w:eastAsia="仿宋_GB2312"/>
          <w:b w:val="0"/>
          <w:bCs/>
          <w:sz w:val="32"/>
          <w:szCs w:val="32"/>
        </w:rPr>
        <w:t>。</w:t>
      </w:r>
    </w:p>
    <w:p>
      <w:pPr>
        <w:tabs>
          <w:tab w:val="right" w:pos="8306"/>
        </w:tabs>
        <w:spacing w:line="600" w:lineRule="exact"/>
        <w:ind w:firstLine="640"/>
        <w:outlineLvl w:val="1"/>
        <w:rPr>
          <w:rStyle w:val="26"/>
        </w:rPr>
      </w:pPr>
      <w:bookmarkStart w:id="42" w:name="_Toc82683211"/>
      <w:bookmarkStart w:id="43"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2"/>
      <w:bookmarkEnd w:id="43"/>
      <w:r>
        <w:rPr>
          <w:rStyle w:val="26"/>
          <w:rFonts w:ascii="黑体" w:hAnsi="黑体" w:eastAsia="黑体"/>
          <w:b w:val="0"/>
        </w:rPr>
        <w:tab/>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2020年一般公共预算财政拨款基本支出727.15万元，其中：</w:t>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人员经费648.88万元，主要包括：基本工资、津贴补贴、奖金、伙食补助费、绩效工资、机关事业单位基本养老保险费、职工基本医疗保险缴费、其他社会保障缴费、住房公积金、其他工资福利支出、抚恤金、生活补助、助学金等。</w:t>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公用经费78.27万元，主要包括：办公费、咨询费、水费、电费、邮电费、差旅费、维修（护）费、会议费、培训费、专用材料费、劳务费、工会经费、福利费、其他商品和服务支出、办公设备购置、专用设备购置等。</w:t>
      </w:r>
    </w:p>
    <w:p>
      <w:pPr>
        <w:spacing w:line="600" w:lineRule="exact"/>
        <w:ind w:firstLine="640"/>
        <w:outlineLvl w:val="1"/>
        <w:rPr>
          <w:rStyle w:val="26"/>
          <w:rFonts w:ascii="黑体" w:hAnsi="黑体" w:eastAsia="黑体"/>
          <w:b w:val="0"/>
        </w:rPr>
      </w:pPr>
      <w:bookmarkStart w:id="44" w:name="_Toc82683212"/>
      <w:bookmarkStart w:id="45"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4"/>
      <w:bookmarkEnd w:id="45"/>
    </w:p>
    <w:p>
      <w:pPr>
        <w:spacing w:line="600" w:lineRule="exact"/>
        <w:ind w:firstLine="640"/>
        <w:outlineLvl w:val="2"/>
        <w:rPr>
          <w:rFonts w:ascii="仿宋" w:hAnsi="仿宋" w:eastAsia="仿宋"/>
          <w:b/>
          <w:sz w:val="32"/>
          <w:szCs w:val="32"/>
        </w:rPr>
      </w:pPr>
      <w:bookmarkStart w:id="46" w:name="_Toc15377216"/>
      <w:r>
        <w:rPr>
          <w:rFonts w:hint="eastAsia" w:ascii="仿宋" w:hAnsi="仿宋" w:eastAsia="仿宋"/>
          <w:b/>
          <w:sz w:val="32"/>
          <w:szCs w:val="32"/>
        </w:rPr>
        <w:t>（一）“三公”经费财政拨款支出决算总体情况说明</w:t>
      </w:r>
      <w:bookmarkEnd w:id="46"/>
    </w:p>
    <w:p>
      <w:pPr>
        <w:spacing w:line="600" w:lineRule="exact"/>
        <w:ind w:firstLine="640"/>
        <w:rPr>
          <w:rFonts w:ascii="仿宋_GB2312" w:hAnsi="仿宋" w:eastAsia="仿宋_GB2312"/>
          <w:b/>
          <w:sz w:val="32"/>
          <w:szCs w:val="32"/>
        </w:rPr>
      </w:pPr>
      <w:r>
        <w:rPr>
          <w:rFonts w:hint="eastAsia" w:ascii="仿宋_GB2312" w:hAnsi="仿宋" w:eastAsia="仿宋_GB2312"/>
          <w:sz w:val="32"/>
          <w:szCs w:val="32"/>
        </w:rPr>
        <w:t>2020年“三公”经费财政拨款支出决算为0万元。</w:t>
      </w:r>
    </w:p>
    <w:p>
      <w:pPr>
        <w:spacing w:line="600" w:lineRule="exact"/>
        <w:ind w:firstLine="640"/>
        <w:outlineLvl w:val="2"/>
        <w:rPr>
          <w:rFonts w:ascii="仿宋" w:hAnsi="仿宋" w:eastAsia="仿宋"/>
          <w:b/>
          <w:sz w:val="32"/>
          <w:szCs w:val="32"/>
        </w:rPr>
      </w:pPr>
      <w:bookmarkStart w:id="47" w:name="_Toc15377217"/>
      <w:r>
        <w:rPr>
          <w:rFonts w:hint="eastAsia" w:ascii="仿宋" w:hAnsi="仿宋" w:eastAsia="仿宋"/>
          <w:b/>
          <w:sz w:val="32"/>
          <w:szCs w:val="32"/>
        </w:rPr>
        <w:t>（二）“三公”经费财政拨款支出决算具体情况说明</w:t>
      </w:r>
      <w:bookmarkEnd w:id="47"/>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2020年“三公”经费财政拨款支出决算中，因公出国（境）费支出决算0万元；</w:t>
      </w:r>
      <w:bookmarkStart w:id="48" w:name="OLE_LINK1"/>
      <w:r>
        <w:rPr>
          <w:rFonts w:hint="eastAsia" w:ascii="仿宋_GB2312" w:hAnsi="仿宋" w:eastAsia="仿宋_GB2312"/>
          <w:sz w:val="32"/>
          <w:szCs w:val="32"/>
        </w:rPr>
        <w:t>公务用车购置及运行维护费</w:t>
      </w:r>
      <w:bookmarkEnd w:id="48"/>
      <w:r>
        <w:rPr>
          <w:rFonts w:hint="eastAsia" w:ascii="仿宋_GB2312" w:hAnsi="仿宋" w:eastAsia="仿宋_GB2312"/>
          <w:sz w:val="32"/>
          <w:szCs w:val="32"/>
        </w:rPr>
        <w:t>支出决算0万元；公务接待费支出决算0万元。具体情况如下：</w:t>
      </w:r>
    </w:p>
    <w:p>
      <w:pPr>
        <w:ind w:firstLine="640"/>
        <w:rPr>
          <w:rFonts w:ascii="仿宋_GB2312" w:hAnsi="仿宋" w:eastAsia="仿宋_GB2312"/>
          <w:sz w:val="32"/>
          <w:szCs w:val="32"/>
        </w:rPr>
      </w:pPr>
      <w:r>
        <w:rPr>
          <w:rFonts w:hint="eastAsia" w:ascii="仿宋_GB2312" w:hAnsi="仿宋" w:eastAsia="仿宋_GB2312"/>
          <w:sz w:val="32"/>
          <w:szCs w:val="32"/>
        </w:rPr>
        <w:t>（图7：“三公”经费财政拨款支出结构）（饼状图）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3040" cy="3390900"/>
                  <wp:effectExtent l="1905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srcRect/>
                          <a:stretch>
                            <a:fillRect/>
                          </a:stretch>
                        </pic:blipFill>
                        <pic:spPr>
                          <a:xfrm>
                            <a:off x="0" y="0"/>
                            <a:ext cx="5273040" cy="3390900"/>
                          </a:xfrm>
                          <a:prstGeom prst="rect">
                            <a:avLst/>
                          </a:prstGeom>
                          <a:noFill/>
                          <a:ln w="9525">
                            <a:noFill/>
                            <a:miter lim="800000"/>
                            <a:headEnd/>
                            <a:tailEnd/>
                          </a:ln>
                        </pic:spPr>
                      </pic:pic>
                    </a:graphicData>
                  </a:graphic>
                </wp:inline>
              </w:drawing>
            </w:r>
          </w:p>
        </w:tc>
      </w:tr>
    </w:tbl>
    <w:p>
      <w:pPr>
        <w:spacing w:line="600" w:lineRule="exact"/>
        <w:ind w:firstLine="640"/>
        <w:rPr>
          <w:rFonts w:ascii="仿宋_GB2312" w:eastAsia="仿宋_GB2312"/>
          <w:sz w:val="32"/>
          <w:szCs w:val="32"/>
        </w:rPr>
      </w:pPr>
      <w:r>
        <w:rPr>
          <w:rFonts w:hint="eastAsia" w:ascii="仿宋_GB2312" w:eastAsia="仿宋_GB2312"/>
          <w:b/>
          <w:sz w:val="32"/>
          <w:szCs w:val="32"/>
        </w:rPr>
        <w:t>1.因公出国（境）经费支出0万元</w:t>
      </w:r>
      <w:r>
        <w:rPr>
          <w:rFonts w:hint="eastAsia" w:ascii="仿宋_GB2312" w:eastAsia="仿宋_GB2312"/>
        </w:rPr>
        <w:t>。</w:t>
      </w:r>
    </w:p>
    <w:p>
      <w:pPr>
        <w:spacing w:line="600" w:lineRule="exact"/>
        <w:ind w:firstLine="640"/>
        <w:rPr>
          <w:rFonts w:ascii="仿宋_GB2312" w:eastAsia="仿宋_GB2312"/>
          <w:b/>
          <w:sz w:val="32"/>
          <w:szCs w:val="32"/>
        </w:rPr>
      </w:pPr>
      <w:r>
        <w:rPr>
          <w:rFonts w:hint="eastAsia" w:ascii="仿宋_GB2312" w:eastAsia="仿宋_GB2312"/>
          <w:b/>
          <w:sz w:val="32"/>
          <w:szCs w:val="32"/>
        </w:rPr>
        <w:t>2.公务用车购置及运行维护费支出0万元。</w:t>
      </w:r>
    </w:p>
    <w:p>
      <w:pPr>
        <w:spacing w:line="600" w:lineRule="exact"/>
        <w:ind w:firstLine="640"/>
        <w:rPr>
          <w:rFonts w:ascii="仿宋_GB2312" w:eastAsia="仿宋_GB2312"/>
          <w:sz w:val="32"/>
          <w:szCs w:val="32"/>
        </w:rPr>
      </w:pPr>
      <w:r>
        <w:rPr>
          <w:rFonts w:hint="eastAsia" w:ascii="仿宋_GB2312" w:eastAsia="仿宋_GB2312"/>
          <w:b/>
          <w:sz w:val="32"/>
          <w:szCs w:val="32"/>
        </w:rPr>
        <w:t>3.公务接待费支出0万元</w:t>
      </w:r>
      <w:r>
        <w:rPr>
          <w:rFonts w:hint="eastAsia" w:ascii="仿宋_GB2312" w:eastAsia="仿宋_GB231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国内公务接待0批次，0人次，共计支出</w:t>
      </w:r>
      <w:r>
        <w:rPr>
          <w:rFonts w:hint="eastAsia" w:ascii="仿宋_GB2312" w:hAnsi="仿宋" w:eastAsia="仿宋_GB2312"/>
          <w:sz w:val="32"/>
          <w:szCs w:val="32"/>
        </w:rPr>
        <w:t>0</w:t>
      </w:r>
      <w:r>
        <w:rPr>
          <w:rFonts w:hint="eastAsia" w:ascii="仿宋_GB2312" w:eastAsia="仿宋_GB2312"/>
          <w:sz w:val="32"/>
          <w:szCs w:val="32"/>
        </w:rPr>
        <w:t>万元。</w:t>
      </w:r>
    </w:p>
    <w:p>
      <w:pPr>
        <w:spacing w:line="600" w:lineRule="exact"/>
        <w:ind w:firstLine="640"/>
        <w:outlineLvl w:val="1"/>
        <w:rPr>
          <w:rStyle w:val="26"/>
          <w:rFonts w:ascii="黑体" w:hAnsi="黑体" w:eastAsia="黑体"/>
        </w:rPr>
      </w:pPr>
      <w:bookmarkStart w:id="49" w:name="_Toc15377218"/>
      <w:bookmarkStart w:id="50" w:name="_Toc82683213"/>
      <w:r>
        <w:rPr>
          <w:rFonts w:hint="eastAsia" w:ascii="黑体" w:eastAsia="黑体"/>
          <w:sz w:val="32"/>
          <w:szCs w:val="32"/>
        </w:rPr>
        <w:t>八、</w:t>
      </w:r>
      <w:r>
        <w:rPr>
          <w:rStyle w:val="26"/>
          <w:rFonts w:hint="eastAsia" w:ascii="黑体" w:hAnsi="黑体" w:eastAsia="黑体"/>
          <w:b w:val="0"/>
        </w:rPr>
        <w:t>政府性基金预算支出决算情况说明</w:t>
      </w:r>
      <w:bookmarkEnd w:id="49"/>
      <w:bookmarkEnd w:id="50"/>
    </w:p>
    <w:p>
      <w:pPr>
        <w:spacing w:line="600" w:lineRule="exact"/>
        <w:ind w:firstLine="640"/>
        <w:rPr>
          <w:rFonts w:ascii="仿宋_GB2312" w:eastAsia="仿宋_GB2312"/>
          <w:sz w:val="32"/>
          <w:szCs w:val="32"/>
        </w:rPr>
      </w:pPr>
      <w:r>
        <w:rPr>
          <w:rFonts w:hint="eastAsia" w:ascii="仿宋_GB2312" w:eastAsia="仿宋_GB2312"/>
          <w:sz w:val="32"/>
          <w:szCs w:val="32"/>
        </w:rPr>
        <w:t>2020年政府性基金预算拨款支出</w:t>
      </w:r>
      <w:r>
        <w:rPr>
          <w:rFonts w:hint="eastAsia" w:ascii="仿宋_GB2312" w:hAnsi="仿宋" w:eastAsia="仿宋_GB2312"/>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51" w:name="_Toc15377219"/>
      <w:bookmarkStart w:id="52" w:name="_Toc82683214"/>
      <w:r>
        <w:rPr>
          <w:rStyle w:val="26"/>
          <w:rFonts w:hint="eastAsia" w:ascii="黑体" w:hAnsi="黑体" w:eastAsia="黑体"/>
          <w:b w:val="0"/>
        </w:rPr>
        <w:t>国有资本经营预算支出决算情况说明</w:t>
      </w:r>
      <w:bookmarkEnd w:id="51"/>
      <w:bookmarkEnd w:id="52"/>
    </w:p>
    <w:p>
      <w:pPr>
        <w:spacing w:line="600" w:lineRule="exact"/>
        <w:ind w:firstLine="640"/>
        <w:rPr>
          <w:rFonts w:ascii="仿宋_GB2312" w:eastAsia="仿宋_GB2312"/>
          <w:sz w:val="32"/>
          <w:szCs w:val="32"/>
        </w:rPr>
      </w:pPr>
      <w:r>
        <w:rPr>
          <w:rFonts w:hint="eastAsia" w:ascii="仿宋_GB2312" w:eastAsia="仿宋_GB2312"/>
          <w:sz w:val="32"/>
          <w:szCs w:val="32"/>
        </w:rPr>
        <w:t>2020年国有资本经营预算拨款支出0万元。</w:t>
      </w:r>
    </w:p>
    <w:p>
      <w:pPr>
        <w:pStyle w:val="24"/>
        <w:numPr>
          <w:ilvl w:val="0"/>
          <w:numId w:val="3"/>
        </w:numPr>
        <w:spacing w:line="580" w:lineRule="exact"/>
        <w:ind w:firstLineChars="0"/>
        <w:rPr>
          <w:rStyle w:val="26"/>
          <w:rFonts w:ascii="黑体" w:hAnsi="黑体" w:eastAsia="黑体"/>
          <w:b w:val="0"/>
        </w:rPr>
      </w:pPr>
      <w:bookmarkStart w:id="53" w:name="_Toc82683215"/>
      <w:r>
        <w:rPr>
          <w:rStyle w:val="26"/>
          <w:rFonts w:hint="eastAsia" w:ascii="黑体" w:hAnsi="黑体" w:eastAsia="黑体"/>
          <w:b w:val="0"/>
        </w:rPr>
        <w:t>预算绩效情况说明</w:t>
      </w:r>
      <w:bookmarkEnd w:id="53"/>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校在年初预算编制阶段，组织对民生资金、人员经费、办公经费项目开展了预算事前绩效评估，对民生资金、人员经费、办公经费项目编制了绩效目标，预算执行过程中，选取民生资金项目开展绩效监控，年终执行完毕后，对民生资金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绩效自评，从评价情况来看完成了年度主要任务，严格控制经费合理正确使用。本部门还自行组织了民生资金项目绩效评价，从评价情况来看圆满完成了该项目的预算目标，数量指标、质量指标、时效指标、满意度指标均达100%。</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本部门在2020年度部门决算中反映“民生资金”项目绩效目标实际完成情况。民生资金项目绩效目标完成情况综述：项目全年预算数</w:t>
      </w:r>
      <w:r>
        <w:rPr>
          <w:rFonts w:hint="eastAsia" w:ascii="仿宋_GB2312" w:hAnsi="仿宋" w:eastAsia="仿宋_GB2312"/>
          <w:sz w:val="32"/>
          <w:szCs w:val="32"/>
        </w:rPr>
        <w:t>73.95</w:t>
      </w:r>
      <w:r>
        <w:rPr>
          <w:rFonts w:hint="eastAsia" w:ascii="仿宋_GB2312" w:hAnsi="仿宋_GB2312" w:eastAsia="仿宋_GB2312" w:cs="仿宋_GB2312"/>
          <w:sz w:val="32"/>
          <w:szCs w:val="32"/>
        </w:rPr>
        <w:t>万元，执行数为</w:t>
      </w:r>
      <w:r>
        <w:rPr>
          <w:rFonts w:hint="eastAsia" w:ascii="仿宋_GB2312" w:hAnsi="仿宋" w:eastAsia="仿宋_GB2312"/>
          <w:sz w:val="32"/>
          <w:szCs w:val="32"/>
        </w:rPr>
        <w:t>75.01</w:t>
      </w:r>
      <w:r>
        <w:rPr>
          <w:rFonts w:hint="eastAsia" w:ascii="仿宋_GB2312" w:hAnsi="仿宋_GB2312" w:eastAsia="仿宋_GB2312" w:cs="仿宋_GB2312"/>
          <w:sz w:val="32"/>
          <w:szCs w:val="32"/>
        </w:rPr>
        <w:t>万元，完成预算的</w:t>
      </w:r>
      <w:r>
        <w:rPr>
          <w:rFonts w:hint="eastAsia" w:ascii="仿宋_GB2312" w:hAnsi="仿宋" w:eastAsia="仿宋_GB2312"/>
          <w:sz w:val="32"/>
          <w:szCs w:val="32"/>
        </w:rPr>
        <w:t>101.43%</w:t>
      </w:r>
      <w:r>
        <w:rPr>
          <w:rFonts w:hint="eastAsia" w:ascii="仿宋_GB2312" w:hAnsi="仿宋_GB2312" w:eastAsia="仿宋_GB2312" w:cs="仿宋_GB2312"/>
          <w:sz w:val="32"/>
          <w:szCs w:val="32"/>
        </w:rPr>
        <w:t>。通过项目实施，保障了全体学生健康成长，家庭贫困学生顺利入学。发现的主要问题：学生在享受资助上卡时，提供卡号信息有误，导致不能及时得到资助。下一步改进措施：打卡前充分核对卡号，确保准确无误。</w:t>
      </w:r>
    </w:p>
    <w:tbl>
      <w:tblPr>
        <w:tblStyle w:val="12"/>
        <w:tblpPr w:leftFromText="180" w:rightFromText="180" w:vertAnchor="text" w:horzAnchor="page" w:tblpXSpec="center" w:tblpY="423"/>
        <w:tblOverlap w:val="never"/>
        <w:tblW w:w="10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2"/>
        <w:gridCol w:w="1376"/>
        <w:gridCol w:w="1032"/>
        <w:gridCol w:w="2407"/>
        <w:gridCol w:w="2409"/>
        <w:gridCol w:w="2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3" w:hRule="atLeast"/>
        </w:trPr>
        <w:tc>
          <w:tcPr>
            <w:tcW w:w="10023"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(2020 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800" w:type="dxa"/>
            <w:gridSpan w:val="3"/>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223" w:type="dxa"/>
            <w:gridSpan w:val="3"/>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800" w:type="dxa"/>
            <w:gridSpan w:val="3"/>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223" w:type="dxa"/>
            <w:gridSpan w:val="3"/>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达川区麻柳镇檀木初级中学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392" w:type="dxa"/>
            <w:vMerge w:val="restart"/>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407" w:type="dxa"/>
            <w:gridSpan w:val="2"/>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73.95</w:t>
            </w:r>
          </w:p>
        </w:tc>
        <w:tc>
          <w:tcPr>
            <w:tcW w:w="2409"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75.01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392" w:type="dxa"/>
            <w:vMerge w:val="continue"/>
            <w:vAlign w:val="center"/>
          </w:tcPr>
          <w:p>
            <w:pPr>
              <w:widowControl/>
              <w:jc w:val="left"/>
              <w:rPr>
                <w:rFonts w:ascii="宋体" w:hAnsi="宋体" w:cs="宋体"/>
                <w:sz w:val="24"/>
              </w:rPr>
            </w:pPr>
          </w:p>
        </w:tc>
        <w:tc>
          <w:tcPr>
            <w:tcW w:w="2407" w:type="dxa"/>
            <w:gridSpan w:val="2"/>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73.95</w:t>
            </w:r>
          </w:p>
        </w:tc>
        <w:tc>
          <w:tcPr>
            <w:tcW w:w="2409"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75.01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392" w:type="dxa"/>
            <w:vMerge w:val="continue"/>
            <w:vAlign w:val="center"/>
          </w:tcPr>
          <w:p>
            <w:pPr>
              <w:widowControl/>
              <w:jc w:val="left"/>
              <w:rPr>
                <w:rFonts w:ascii="宋体" w:hAnsi="宋体" w:cs="宋体"/>
                <w:sz w:val="24"/>
              </w:rPr>
            </w:pPr>
          </w:p>
        </w:tc>
        <w:tc>
          <w:tcPr>
            <w:tcW w:w="2407" w:type="dxa"/>
            <w:gridSpan w:val="2"/>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409"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407" w:type="dxa"/>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392" w:type="dxa"/>
            <w:vMerge w:val="restart"/>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814" w:type="dxa"/>
            <w:gridSpan w:val="3"/>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816" w:type="dxa"/>
            <w:gridSpan w:val="2"/>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392" w:type="dxa"/>
            <w:vMerge w:val="continue"/>
            <w:vAlign w:val="center"/>
          </w:tcPr>
          <w:p>
            <w:pPr>
              <w:widowControl/>
              <w:jc w:val="left"/>
              <w:rPr>
                <w:rFonts w:ascii="宋体" w:hAnsi="宋体" w:cs="宋体"/>
                <w:sz w:val="24"/>
              </w:rPr>
            </w:pPr>
          </w:p>
        </w:tc>
        <w:tc>
          <w:tcPr>
            <w:tcW w:w="4814" w:type="dxa"/>
            <w:gridSpan w:val="3"/>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足额发放免作业本费专项、营养餐补助、贫困住校生生活补助。</w:t>
            </w:r>
          </w:p>
        </w:tc>
        <w:tc>
          <w:tcPr>
            <w:tcW w:w="4816" w:type="dxa"/>
            <w:gridSpan w:val="2"/>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392" w:type="dxa"/>
            <w:vMerge w:val="restart"/>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76"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31"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409"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392" w:type="dxa"/>
            <w:vMerge w:val="continue"/>
            <w:vAlign w:val="center"/>
          </w:tcPr>
          <w:p>
            <w:pPr>
              <w:widowControl/>
              <w:jc w:val="left"/>
              <w:rPr>
                <w:rFonts w:ascii="宋体" w:hAnsi="宋体" w:cs="宋体"/>
                <w:sz w:val="24"/>
              </w:rPr>
            </w:pPr>
          </w:p>
        </w:tc>
        <w:tc>
          <w:tcPr>
            <w:tcW w:w="1376"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31"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民生资金</w:t>
            </w:r>
          </w:p>
        </w:tc>
        <w:tc>
          <w:tcPr>
            <w:tcW w:w="2409"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trPr>
        <w:tc>
          <w:tcPr>
            <w:tcW w:w="392" w:type="dxa"/>
            <w:vMerge w:val="continue"/>
            <w:vAlign w:val="center"/>
          </w:tcPr>
          <w:p>
            <w:pPr>
              <w:widowControl/>
              <w:jc w:val="left"/>
              <w:rPr>
                <w:rFonts w:ascii="宋体" w:hAnsi="宋体" w:cs="宋体"/>
                <w:sz w:val="24"/>
              </w:rPr>
            </w:pPr>
          </w:p>
        </w:tc>
        <w:tc>
          <w:tcPr>
            <w:tcW w:w="1376"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31"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409"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1" w:hRule="atLeast"/>
        </w:trPr>
        <w:tc>
          <w:tcPr>
            <w:tcW w:w="392" w:type="dxa"/>
            <w:vMerge w:val="continue"/>
            <w:vAlign w:val="center"/>
          </w:tcPr>
          <w:p>
            <w:pPr>
              <w:widowControl/>
              <w:jc w:val="left"/>
              <w:rPr>
                <w:rFonts w:ascii="宋体" w:hAnsi="宋体" w:cs="宋体"/>
                <w:sz w:val="24"/>
              </w:rPr>
            </w:pPr>
          </w:p>
        </w:tc>
        <w:tc>
          <w:tcPr>
            <w:tcW w:w="1376"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31"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及时发放</w:t>
            </w:r>
          </w:p>
        </w:tc>
        <w:tc>
          <w:tcPr>
            <w:tcW w:w="2409"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392" w:type="dxa"/>
            <w:vMerge w:val="continue"/>
            <w:vAlign w:val="center"/>
          </w:tcPr>
          <w:p>
            <w:pPr>
              <w:widowControl/>
              <w:jc w:val="left"/>
              <w:rPr>
                <w:rFonts w:ascii="宋体" w:hAnsi="宋体" w:cs="宋体"/>
                <w:sz w:val="24"/>
              </w:rPr>
            </w:pPr>
          </w:p>
        </w:tc>
        <w:tc>
          <w:tcPr>
            <w:tcW w:w="1376" w:type="dxa"/>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31"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409"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392" w:type="dxa"/>
            <w:vMerge w:val="continue"/>
            <w:vAlign w:val="center"/>
          </w:tcPr>
          <w:p>
            <w:pPr>
              <w:widowControl/>
              <w:jc w:val="left"/>
              <w:rPr>
                <w:rFonts w:ascii="宋体" w:hAnsi="宋体" w:cs="宋体"/>
                <w:sz w:val="24"/>
              </w:rPr>
            </w:pPr>
          </w:p>
        </w:tc>
        <w:tc>
          <w:tcPr>
            <w:tcW w:w="1376"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31"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学生家庭享受资助情况</w:t>
            </w:r>
          </w:p>
        </w:tc>
        <w:tc>
          <w:tcPr>
            <w:tcW w:w="2409"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392" w:type="dxa"/>
            <w:vMerge w:val="continue"/>
            <w:vAlign w:val="center"/>
          </w:tcPr>
          <w:p>
            <w:pPr>
              <w:widowControl/>
              <w:jc w:val="left"/>
              <w:rPr>
                <w:rFonts w:ascii="宋体" w:hAnsi="宋体" w:cs="宋体"/>
                <w:sz w:val="24"/>
              </w:rPr>
            </w:pPr>
          </w:p>
        </w:tc>
        <w:tc>
          <w:tcPr>
            <w:tcW w:w="1376"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31"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409"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407" w:type="dxa"/>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楷体_GB2312"/>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本部门按要求对2020年部门整体支出绩效评价情况开展自评，《2020年部门整体支出绩效评价报告》见附件1。</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本部门自行组织对人员经费项目开展了绩效评价，《人员经费项目支出绩效评价报告》见附件3。</w:t>
      </w:r>
    </w:p>
    <w:p>
      <w:pPr>
        <w:spacing w:line="600" w:lineRule="exact"/>
        <w:ind w:firstLine="800" w:firstLineChars="250"/>
        <w:outlineLvl w:val="1"/>
        <w:rPr>
          <w:rStyle w:val="26"/>
          <w:rFonts w:ascii="黑体" w:hAnsi="黑体" w:eastAsia="黑体"/>
        </w:rPr>
      </w:pPr>
      <w:bookmarkStart w:id="54" w:name="_Toc15377221"/>
      <w:bookmarkStart w:id="55" w:name="_Toc82683216"/>
      <w:r>
        <w:rPr>
          <w:rFonts w:hint="eastAsia" w:ascii="黑体" w:hAnsi="黑体" w:eastAsia="黑体"/>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sz w:val="32"/>
          <w:szCs w:val="32"/>
        </w:rPr>
      </w:pPr>
      <w:bookmarkStart w:id="56" w:name="_Toc15377222"/>
      <w:r>
        <w:rPr>
          <w:rFonts w:hint="eastAsia" w:ascii="仿宋" w:hAnsi="仿宋" w:eastAsia="仿宋"/>
          <w:b/>
          <w:sz w:val="32"/>
          <w:szCs w:val="32"/>
        </w:rPr>
        <w:t>（一）机关运行经费支出情况</w:t>
      </w:r>
      <w:bookmarkEnd w:id="56"/>
    </w:p>
    <w:p>
      <w:pPr>
        <w:spacing w:line="600" w:lineRule="exact"/>
        <w:ind w:firstLine="640"/>
        <w:rPr>
          <w:rFonts w:ascii="仿宋" w:hAnsi="仿宋" w:eastAsia="仿宋"/>
          <w:b/>
          <w:sz w:val="32"/>
          <w:szCs w:val="32"/>
        </w:rPr>
      </w:pPr>
      <w:r>
        <w:rPr>
          <w:rFonts w:hint="eastAsia" w:ascii="仿宋_GB2312" w:eastAsia="仿宋_GB2312"/>
          <w:sz w:val="32"/>
          <w:szCs w:val="32"/>
        </w:rPr>
        <w:t>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7" w:name="_Toc15377223"/>
      <w:r>
        <w:rPr>
          <w:rFonts w:hint="eastAsia" w:ascii="仿宋" w:hAnsi="仿宋" w:eastAsia="仿宋"/>
          <w:b/>
          <w:sz w:val="32"/>
          <w:szCs w:val="32"/>
        </w:rPr>
        <w:t>（二）政府采购支出情况</w:t>
      </w:r>
      <w:bookmarkEnd w:id="57"/>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8" w:name="_Toc15377224"/>
      <w:r>
        <w:rPr>
          <w:rFonts w:hint="eastAsia" w:ascii="仿宋" w:hAnsi="仿宋" w:eastAsia="仿宋"/>
          <w:b/>
          <w:sz w:val="32"/>
          <w:szCs w:val="32"/>
        </w:rPr>
        <w:t>（三）国有资产占有使用情况</w:t>
      </w:r>
      <w:bookmarkEnd w:id="58"/>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spacing w:line="600" w:lineRule="atLeast"/>
        <w:ind w:firstLine="643" w:firstLineChars="200"/>
        <w:rPr>
          <w:rFonts w:ascii="仿宋_GB2312" w:eastAsia="仿宋_GB2312"/>
          <w:b/>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3" w:firstLineChars="150"/>
        <w:jc w:val="center"/>
        <w:outlineLvl w:val="0"/>
        <w:rPr>
          <w:rStyle w:val="25"/>
          <w:rFonts w:ascii="黑体" w:hAnsi="黑体" w:eastAsia="黑体"/>
          <w:b w:val="0"/>
        </w:rPr>
      </w:pPr>
      <w:bookmarkStart w:id="59" w:name="_Toc15377225"/>
      <w:bookmarkStart w:id="60" w:name="_Toc82683217"/>
      <w:r>
        <w:rPr>
          <w:rFonts w:hint="eastAsia" w:ascii="黑体" w:hAnsi="黑体" w:eastAsia="黑体"/>
          <w:b/>
          <w:sz w:val="44"/>
          <w:szCs w:val="44"/>
        </w:rPr>
        <w:t>名</w:t>
      </w:r>
      <w:r>
        <w:rPr>
          <w:rStyle w:val="25"/>
          <w:rFonts w:hint="eastAsia" w:ascii="黑体" w:hAnsi="黑体" w:eastAsia="黑体"/>
          <w:b w:val="0"/>
        </w:rPr>
        <w:t>词解释</w:t>
      </w:r>
      <w:bookmarkEnd w:id="59"/>
      <w:bookmarkEnd w:id="60"/>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事业收入：指事业单位开展专业业务活动及辅助活动取得的收入。学校保教费收入等。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 xml:space="preserve">一般公共服务 </w:t>
      </w:r>
      <w:r>
        <w:rPr>
          <w:rFonts w:hint="eastAsia" w:ascii="仿宋_GB2312" w:hAnsi="Times New Roman" w:eastAsia="仿宋_GB2312" w:cs="Times New Roman"/>
          <w:color w:val="auto"/>
          <w:kern w:val="2"/>
          <w:sz w:val="32"/>
          <w:szCs w:val="32"/>
        </w:rPr>
        <w:t>2011099</w:t>
      </w:r>
      <w:r>
        <w:rPr>
          <w:rFonts w:hint="eastAsia" w:ascii="仿宋_GB2312" w:eastAsia="仿宋_GB2312"/>
          <w:color w:val="auto"/>
          <w:sz w:val="32"/>
          <w:szCs w:val="32"/>
        </w:rPr>
        <w:t>：</w:t>
      </w:r>
      <w:r>
        <w:rPr>
          <w:rFonts w:hint="eastAsia" w:hAnsi="仿宋"/>
          <w:color w:val="auto"/>
          <w:sz w:val="32"/>
          <w:szCs w:val="32"/>
        </w:rPr>
        <w:t>指学校聘用三支一扶人员的一次性补贴支出。</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教育2050201：指学校举办的学前教育支出。2050202：指学校举办的小前教育支出。2050203：指学校举办的初中教育支出。</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 xml:space="preserve">社会保障和就业 </w:t>
      </w:r>
      <w:r>
        <w:rPr>
          <w:rFonts w:ascii="仿宋_GB2312" w:eastAsia="仿宋_GB2312"/>
          <w:color w:val="auto"/>
          <w:sz w:val="32"/>
          <w:szCs w:val="32"/>
        </w:rPr>
        <w:t>2080505</w:t>
      </w:r>
      <w:r>
        <w:rPr>
          <w:rFonts w:hint="eastAsia" w:ascii="仿宋_GB2312" w:eastAsia="仿宋_GB2312"/>
          <w:color w:val="auto"/>
          <w:sz w:val="32"/>
          <w:szCs w:val="32"/>
        </w:rPr>
        <w:t>：</w:t>
      </w:r>
      <w:r>
        <w:rPr>
          <w:rFonts w:hint="eastAsia" w:hAnsi="仿宋"/>
          <w:color w:val="auto"/>
          <w:sz w:val="32"/>
          <w:szCs w:val="32"/>
        </w:rPr>
        <w:t>指学校在社会保障与就业方面的支出。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医疗卫生与计划生育 </w:t>
      </w:r>
      <w:r>
        <w:rPr>
          <w:rFonts w:ascii="仿宋_GB2312" w:eastAsia="仿宋_GB2312"/>
          <w:sz w:val="32"/>
          <w:szCs w:val="32"/>
        </w:rPr>
        <w:t>2100502</w:t>
      </w:r>
      <w:r>
        <w:rPr>
          <w:rFonts w:hint="eastAsia" w:ascii="仿宋_GB2312" w:eastAsia="仿宋_GB2312"/>
          <w:sz w:val="32"/>
          <w:szCs w:val="32"/>
        </w:rPr>
        <w:t>：指学校用于教职工医疗保险方面的支出。</w:t>
      </w:r>
    </w:p>
    <w:p>
      <w:pPr>
        <w:pStyle w:val="23"/>
        <w:spacing w:line="560" w:lineRule="exact"/>
        <w:ind w:firstLine="640" w:firstLineChars="200"/>
        <w:rPr>
          <w:rFonts w:hAnsi="仿宋"/>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住房保障2210201：指</w:t>
      </w:r>
      <w:r>
        <w:rPr>
          <w:rFonts w:hint="eastAsia" w:hAnsi="仿宋"/>
          <w:color w:val="auto"/>
          <w:sz w:val="32"/>
          <w:szCs w:val="32"/>
        </w:rPr>
        <w:t>学校用于住房方面的支出。学校按人力资源和社会保障部、财政部规定的基本工资和津贴补贴以及规定比例为职工缴纳的住房公积金。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bookmarkStart w:id="61" w:name="_Toc15377226"/>
      <w:r>
        <w:rPr>
          <w:rFonts w:ascii="宋体"/>
          <w:b/>
          <w:sz w:val="44"/>
          <w:szCs w:val="44"/>
        </w:rPr>
        <w:br w:type="page"/>
      </w:r>
      <w:bookmarkStart w:id="62" w:name="_Toc82683218"/>
      <w:r>
        <w:rPr>
          <w:rFonts w:hint="eastAsia" w:ascii="黑体" w:hAnsi="黑体" w:eastAsia="黑体"/>
          <w:sz w:val="44"/>
          <w:szCs w:val="44"/>
        </w:rPr>
        <w:t>第</w:t>
      </w:r>
      <w:r>
        <w:rPr>
          <w:rStyle w:val="25"/>
          <w:rFonts w:hint="eastAsia" w:ascii="黑体" w:hAnsi="黑体" w:eastAsia="黑体"/>
          <w:b w:val="0"/>
        </w:rPr>
        <w:t>四部分 附件</w:t>
      </w:r>
      <w:bookmarkEnd w:id="62"/>
    </w:p>
    <w:p>
      <w:pPr>
        <w:spacing w:line="600" w:lineRule="exact"/>
        <w:jc w:val="center"/>
        <w:outlineLvl w:val="0"/>
        <w:rPr>
          <w:rStyle w:val="25"/>
        </w:rPr>
      </w:pPr>
    </w:p>
    <w:p>
      <w:pPr>
        <w:pStyle w:val="3"/>
        <w:rPr>
          <w:rStyle w:val="25"/>
          <w:rFonts w:ascii="仿宋" w:hAnsi="仿宋" w:eastAsia="仿宋"/>
          <w:b w:val="0"/>
          <w:bCs w:val="0"/>
          <w:sz w:val="32"/>
          <w:szCs w:val="32"/>
        </w:rPr>
      </w:pPr>
      <w:bookmarkStart w:id="63" w:name="_Toc82683219"/>
      <w:r>
        <w:rPr>
          <w:rStyle w:val="25"/>
          <w:rFonts w:hint="eastAsia" w:ascii="仿宋" w:hAnsi="仿宋" w:eastAsia="仿宋"/>
          <w:b w:val="0"/>
          <w:bCs w:val="0"/>
          <w:sz w:val="32"/>
          <w:szCs w:val="32"/>
        </w:rPr>
        <w:t>附件1</w:t>
      </w:r>
      <w:bookmarkEnd w:id="63"/>
    </w:p>
    <w:p>
      <w:pPr>
        <w:spacing w:line="600" w:lineRule="exact"/>
        <w:jc w:val="center"/>
        <w:outlineLvl w:val="0"/>
        <w:rPr>
          <w:rFonts w:ascii="黑体" w:hAnsi="黑体" w:eastAsia="黑体" w:cs="方正小标宋简体"/>
          <w:sz w:val="36"/>
          <w:szCs w:val="36"/>
        </w:rPr>
      </w:pPr>
      <w:bookmarkStart w:id="64" w:name="_Toc15396616"/>
      <w:r>
        <w:rPr>
          <w:rFonts w:hint="eastAsia" w:ascii="黑体" w:hAnsi="黑体" w:eastAsia="黑体" w:cs="方正小标宋简体"/>
          <w:sz w:val="36"/>
          <w:szCs w:val="36"/>
        </w:rPr>
        <w:t xml:space="preserve">达川区麻柳镇檀木初级中学 </w:t>
      </w:r>
    </w:p>
    <w:p>
      <w:pPr>
        <w:spacing w:line="600" w:lineRule="exact"/>
        <w:jc w:val="center"/>
        <w:outlineLvl w:val="0"/>
        <w:rPr>
          <w:rFonts w:ascii="黑体" w:hAnsi="黑体" w:eastAsia="黑体" w:cs="方正小标宋简体"/>
          <w:sz w:val="36"/>
          <w:szCs w:val="36"/>
        </w:rPr>
      </w:pPr>
      <w:bookmarkStart w:id="65" w:name="_Toc82683221"/>
      <w:r>
        <w:rPr>
          <w:rFonts w:hint="eastAsia" w:ascii="黑体" w:hAnsi="黑体" w:eastAsia="黑体" w:cs="方正小标宋简体"/>
          <w:sz w:val="36"/>
          <w:szCs w:val="36"/>
        </w:rPr>
        <w:t>2020年部门整体支出绩效评价报告</w:t>
      </w:r>
      <w:bookmarkEnd w:id="64"/>
      <w:bookmarkEnd w:id="65"/>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达川区麻柳镇檀木初级中学是一所农村单设初中，单位性质为：全额拨款事业单位，设立5个内设部门：教务处、政教处、安全办公室、党建办公室、后勤处。</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（二）机构职能</w:t>
      </w:r>
    </w:p>
    <w:p>
      <w:pPr>
        <w:spacing w:line="578" w:lineRule="exact"/>
        <w:ind w:firstLine="630"/>
        <w:jc w:val="left"/>
        <w:rPr>
          <w:rFonts w:ascii="仿宋_GB2312" w:hAnsi="仿宋" w:eastAsia="仿宋_GB2312"/>
          <w:bCs/>
          <w:sz w:val="32"/>
          <w:szCs w:val="32"/>
        </w:rPr>
      </w:pPr>
      <w:r>
        <w:rPr>
          <w:rFonts w:hint="eastAsia" w:ascii="仿宋_GB2312" w:hAnsi="仿宋" w:eastAsia="仿宋_GB2312"/>
          <w:sz w:val="32"/>
          <w:szCs w:val="32"/>
        </w:rPr>
        <w:t>我单位的基本职能是：组织教育教学、科学研究活动，保证教育教学质量,提升学生的综合素质。维护教职工利益，保障教职工合法权益，以教职工和学生的人生幸福和生命质量作为重点。</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2020年我校在职教职工42人，其他人员2人。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2020年本年收入合计1100.13万元，其中：一般公共预算财政拨款收入727.15万元，占66.1%；其他收入372.98万元，占33.9%。</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pacing w:line="600" w:lineRule="exact"/>
        <w:ind w:firstLine="640"/>
        <w:rPr>
          <w:rFonts w:ascii="仿宋_GB2312" w:hAnsi="仿宋" w:eastAsia="仿宋_GB2312"/>
          <w:sz w:val="32"/>
          <w:szCs w:val="32"/>
          <w:shd w:val="pct10" w:color="auto" w:fill="FFFFFF"/>
        </w:rPr>
      </w:pPr>
      <w:r>
        <w:rPr>
          <w:rFonts w:hint="eastAsia" w:ascii="仿宋_GB2312" w:hAnsi="仿宋" w:eastAsia="仿宋_GB2312"/>
          <w:sz w:val="32"/>
          <w:szCs w:val="32"/>
        </w:rPr>
        <w:t>2020年本年支出合计1100.13万元，其中：基本支出1100.13万元，占100%。</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制定了切实有效的绩效预算目标并严格按照既定目标实施，执行总体较为有效、效果良好。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专项预算项目程序严密、规划合理、结果符合、分配科学、分配及时、专项预算绩效目标完成情况良好。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部门自评质量较好、做到绩效目标公开和自评公开同时做好评价结果整改和应用结果反馈工作。</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我校部门整体支出绩效评价结论为：良好。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预算财务分析工作须常态化，</w:t>
      </w:r>
      <w:r>
        <w:rPr>
          <w:rFonts w:hint="eastAsia" w:ascii="仿宋_GB2312" w:hAnsi="仿宋" w:eastAsia="仿宋_GB2312" w:cs="仿宋_GB2312"/>
          <w:sz w:val="32"/>
          <w:szCs w:val="32"/>
        </w:rPr>
        <w:t>预算编制有待更严格执行。预算编制与实际支出项目有的存在差异。</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预算财务分析工作常态化，定期做好预算支出财务分析，做好部门整体支出预算评价工作。</w:t>
      </w:r>
    </w:p>
    <w:p>
      <w:pPr>
        <w:widowControl/>
        <w:jc w:val="left"/>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66" w:name="_Toc82683222"/>
      <w:r>
        <w:rPr>
          <w:rStyle w:val="25"/>
          <w:rFonts w:hint="eastAsia" w:ascii="仿宋" w:hAnsi="仿宋" w:eastAsia="仿宋"/>
          <w:b w:val="0"/>
          <w:bCs w:val="0"/>
          <w:sz w:val="32"/>
          <w:szCs w:val="32"/>
        </w:rPr>
        <w:t>附件2</w:t>
      </w:r>
      <w:bookmarkEnd w:id="66"/>
    </w:p>
    <w:tbl>
      <w:tblPr>
        <w:tblStyle w:val="12"/>
        <w:tblW w:w="13572" w:type="dxa"/>
        <w:tblInd w:w="534" w:type="dxa"/>
        <w:tblLayout w:type="autofit"/>
        <w:tblCellMar>
          <w:top w:w="0" w:type="dxa"/>
          <w:left w:w="108" w:type="dxa"/>
          <w:bottom w:w="0" w:type="dxa"/>
          <w:right w:w="108" w:type="dxa"/>
        </w:tblCellMar>
      </w:tblPr>
      <w:tblGrid>
        <w:gridCol w:w="708"/>
        <w:gridCol w:w="671"/>
        <w:gridCol w:w="1881"/>
        <w:gridCol w:w="2835"/>
        <w:gridCol w:w="6566"/>
        <w:gridCol w:w="911"/>
      </w:tblGrid>
      <w:tr>
        <w:tblPrEx>
          <w:tblCellMar>
            <w:top w:w="0" w:type="dxa"/>
            <w:left w:w="108" w:type="dxa"/>
            <w:bottom w:w="0" w:type="dxa"/>
            <w:right w:w="108" w:type="dxa"/>
          </w:tblCellMar>
        </w:tblPrEx>
        <w:trPr>
          <w:trHeight w:val="170" w:hRule="atLeast"/>
        </w:trPr>
        <w:tc>
          <w:tcPr>
            <w:tcW w:w="12661" w:type="dxa"/>
            <w:gridSpan w:val="5"/>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达川区麻柳镇檀木初级中学整体支出绩效评价得分表</w:t>
            </w: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99"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　　　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二级指标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计分标准（备注）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自评</w:t>
            </w:r>
          </w:p>
          <w:p>
            <w:pPr>
              <w:widowControl/>
              <w:jc w:val="center"/>
              <w:rPr>
                <w:rFonts w:ascii="宋体" w:hAnsi="宋体" w:cs="宋体"/>
                <w:b/>
                <w:bCs/>
                <w:kern w:val="0"/>
                <w:sz w:val="20"/>
                <w:szCs w:val="20"/>
              </w:rPr>
            </w:pPr>
            <w:r>
              <w:rPr>
                <w:rFonts w:hint="eastAsia" w:ascii="宋体" w:hAnsi="宋体" w:cs="宋体"/>
                <w:b/>
                <w:bCs/>
                <w:kern w:val="0"/>
                <w:sz w:val="20"/>
                <w:szCs w:val="20"/>
              </w:rPr>
              <w:t>得分</w:t>
            </w:r>
          </w:p>
        </w:tc>
      </w:tr>
      <w:tr>
        <w:tblPrEx>
          <w:tblCellMar>
            <w:top w:w="0" w:type="dxa"/>
            <w:left w:w="108" w:type="dxa"/>
            <w:bottom w:w="0" w:type="dxa"/>
            <w:right w:w="108" w:type="dxa"/>
          </w:tblCellMar>
        </w:tblPrEx>
        <w:trPr>
          <w:trHeight w:val="1165"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w:t>
            </w:r>
            <w:r>
              <w:rPr>
                <w:rFonts w:eastAsia="仿宋_GB2312"/>
                <w:kern w:val="0"/>
                <w:sz w:val="20"/>
              </w:rPr>
              <w:t>16</w:t>
            </w:r>
            <w:r>
              <w:rPr>
                <w:rFonts w:ascii="仿宋_GB2312" w:hAnsi="宋体" w:eastAsia="仿宋_GB2312" w:cs="宋体"/>
                <w:kern w:val="0"/>
                <w:sz w:val="20"/>
              </w:rPr>
              <w:t>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报送时效　　（</w:t>
            </w:r>
            <w:r>
              <w:rPr>
                <w:rFonts w:eastAsia="仿宋_GB2312"/>
                <w:kern w:val="0"/>
                <w:sz w:val="20"/>
              </w:rPr>
              <w:t>2</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基础信息更新　　（</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各单位是否按照部门预算编制通知和有关要求，按时完成基础库、项目库报送工作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超过规定</w:t>
            </w:r>
            <w:r>
              <w:rPr>
                <w:rFonts w:eastAsia="仿宋_GB2312"/>
                <w:kern w:val="0"/>
                <w:sz w:val="20"/>
              </w:rPr>
              <w:t>5</w:t>
            </w:r>
            <w:r>
              <w:rPr>
                <w:rFonts w:ascii="仿宋_GB2312" w:hAnsi="宋体" w:eastAsia="仿宋_GB2312" w:cs="宋体"/>
                <w:kern w:val="0"/>
                <w:sz w:val="20"/>
              </w:rPr>
              <w:t>个工作日扣</w:t>
            </w:r>
            <w:r>
              <w:rPr>
                <w:rFonts w:eastAsia="仿宋_GB2312"/>
                <w:kern w:val="0"/>
                <w:sz w:val="20"/>
              </w:rPr>
              <w:t>0.5</w:t>
            </w:r>
            <w:r>
              <w:rPr>
                <w:rFonts w:ascii="仿宋_GB2312" w:hAnsi="宋体" w:eastAsia="仿宋_GB2312" w:cs="宋体"/>
                <w:kern w:val="0"/>
                <w:sz w:val="20"/>
              </w:rPr>
              <w:t>分，</w:t>
            </w:r>
            <w:r>
              <w:rPr>
                <w:rFonts w:eastAsia="仿宋_GB2312"/>
                <w:kern w:val="0"/>
                <w:sz w:val="20"/>
              </w:rPr>
              <w:t>10</w:t>
            </w:r>
            <w:r>
              <w:rPr>
                <w:rFonts w:ascii="仿宋_GB2312" w:hAnsi="宋体" w:eastAsia="仿宋_GB2312" w:cs="宋体"/>
                <w:kern w:val="0"/>
                <w:sz w:val="20"/>
              </w:rPr>
              <w:t>个工作日扣</w:t>
            </w:r>
            <w:r>
              <w:rPr>
                <w:rFonts w:eastAsia="仿宋_GB2312"/>
                <w:kern w:val="0"/>
                <w:sz w:val="20"/>
              </w:rPr>
              <w:t>1</w:t>
            </w:r>
            <w:r>
              <w:rPr>
                <w:rFonts w:ascii="仿宋_GB2312" w:hAnsi="宋体" w:eastAsia="仿宋_GB2312" w:cs="宋体"/>
                <w:kern w:val="0"/>
                <w:sz w:val="20"/>
              </w:rPr>
              <w:t>分，以此类推，直至扣完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r>
      <w:tr>
        <w:tblPrEx>
          <w:tblCellMar>
            <w:top w:w="0" w:type="dxa"/>
            <w:left w:w="108" w:type="dxa"/>
            <w:bottom w:w="0" w:type="dxa"/>
            <w:right w:w="108" w:type="dxa"/>
          </w:tblCellMar>
        </w:tblPrEx>
        <w:trPr>
          <w:trHeight w:val="134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编制质量　　（</w:t>
            </w:r>
            <w:r>
              <w:rPr>
                <w:rFonts w:eastAsia="仿宋_GB2312"/>
                <w:kern w:val="0"/>
                <w:sz w:val="20"/>
              </w:rPr>
              <w:t>6</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预算编制准确　　（</w:t>
            </w:r>
            <w:r>
              <w:rPr>
                <w:rFonts w:eastAsia="仿宋_GB2312"/>
                <w:kern w:val="0"/>
                <w:sz w:val="20"/>
              </w:rPr>
              <w:t>4</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考核预算项目资金性质变动情况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项目资金性质变动控制在</w:t>
            </w:r>
            <w:r>
              <w:rPr>
                <w:rFonts w:eastAsia="仿宋_GB2312"/>
                <w:kern w:val="0"/>
                <w:sz w:val="20"/>
              </w:rPr>
              <w:t>1</w:t>
            </w:r>
            <w:r>
              <w:rPr>
                <w:rFonts w:ascii="仿宋_GB2312" w:hAnsi="宋体" w:eastAsia="仿宋_GB2312" w:cs="宋体"/>
                <w:kern w:val="0"/>
                <w:sz w:val="20"/>
              </w:rPr>
              <w:t>个内，得分；</w:t>
            </w:r>
            <w:r>
              <w:rPr>
                <w:rFonts w:eastAsia="仿宋_GB2312"/>
                <w:kern w:val="0"/>
                <w:sz w:val="20"/>
              </w:rPr>
              <w:t>2-3</w:t>
            </w:r>
            <w:r>
              <w:rPr>
                <w:rFonts w:ascii="仿宋_GB2312" w:hAnsi="宋体" w:eastAsia="仿宋_GB2312" w:cs="宋体"/>
                <w:kern w:val="0"/>
                <w:sz w:val="20"/>
              </w:rPr>
              <w:t>个得</w:t>
            </w:r>
            <w:r>
              <w:rPr>
                <w:rFonts w:eastAsia="仿宋_GB2312"/>
                <w:kern w:val="0"/>
                <w:sz w:val="20"/>
              </w:rPr>
              <w:t>1</w:t>
            </w:r>
            <w:r>
              <w:rPr>
                <w:rFonts w:ascii="仿宋_GB2312" w:hAnsi="宋体" w:eastAsia="仿宋_GB2312" w:cs="宋体"/>
                <w:kern w:val="0"/>
                <w:sz w:val="20"/>
              </w:rPr>
              <w:t>分；超过</w:t>
            </w:r>
            <w:r>
              <w:rPr>
                <w:rFonts w:eastAsia="仿宋_GB2312"/>
                <w:kern w:val="0"/>
                <w:sz w:val="20"/>
              </w:rPr>
              <w:t>3</w:t>
            </w:r>
            <w:r>
              <w:rPr>
                <w:rFonts w:ascii="仿宋_GB2312" w:hAnsi="宋体" w:eastAsia="仿宋_GB2312" w:cs="宋体"/>
                <w:kern w:val="0"/>
                <w:sz w:val="20"/>
              </w:rPr>
              <w:t>个以上，不得分。（注：按照上级及区委区政府批准的项目资金性质变动如财政资金整合等情况不计入考核）</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部门预算审查　　（</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根据部门集体审查、区人大对预算草案审查结果进行考核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无部门集体审查的不得分；被人大预算审查后提出并确需修改的错误，每个问题扣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目标明确　　（</w:t>
            </w:r>
            <w:r>
              <w:rPr>
                <w:rFonts w:eastAsia="仿宋_GB2312"/>
                <w:kern w:val="0"/>
                <w:sz w:val="20"/>
              </w:rPr>
              <w:t>8</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部门整体目标　　（</w:t>
            </w:r>
            <w:r>
              <w:rPr>
                <w:rFonts w:eastAsia="仿宋_GB2312"/>
                <w:kern w:val="0"/>
                <w:sz w:val="20"/>
              </w:rPr>
              <w:t>5</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部门全年整体工作目标编制完整、合理</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有完整、明确、合理的部门整体工作方案得分，否则不得分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重点项目目标　　（</w:t>
            </w:r>
            <w:r>
              <w:rPr>
                <w:rFonts w:eastAsia="仿宋_GB2312"/>
                <w:kern w:val="0"/>
                <w:sz w:val="20"/>
              </w:rPr>
              <w:t>3</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重大项目实施方案明确、量化、可操作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w:t>
            </w:r>
            <w:bookmarkStart w:id="84" w:name="_GoBack"/>
            <w:bookmarkEnd w:id="84"/>
            <w:r>
              <w:rPr>
                <w:rFonts w:hint="eastAsia" w:ascii="仿宋_GB2312" w:hAnsi="宋体" w:eastAsia="仿宋_GB2312" w:cs="宋体"/>
                <w:kern w:val="0"/>
                <w:sz w:val="20"/>
                <w:szCs w:val="20"/>
              </w:rPr>
              <w:t>重点项目工作方案得分，否则不得分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2282" w:hRule="atLeast"/>
        </w:trPr>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r>
              <w:rPr>
                <w:rFonts w:eastAsia="仿宋_GB2312"/>
                <w:kern w:val="0"/>
                <w:sz w:val="20"/>
              </w:rPr>
              <w:t>24</w:t>
            </w:r>
            <w:r>
              <w:rPr>
                <w:rFonts w:ascii="仿宋_GB2312" w:hAnsi="宋体" w:eastAsia="仿宋_GB2312" w:cs="宋体"/>
                <w:kern w:val="0"/>
                <w:sz w:val="20"/>
              </w:rPr>
              <w:t>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资金调度　　（</w:t>
            </w:r>
            <w:r>
              <w:rPr>
                <w:rFonts w:eastAsia="仿宋_GB2312"/>
                <w:kern w:val="0"/>
                <w:sz w:val="20"/>
              </w:rPr>
              <w:t>5</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支付进度控制率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用以反映和考核部门（单位）预算执行的及时性和均衡性程度。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支付进度率</w:t>
            </w:r>
            <w:r>
              <w:rPr>
                <w:rFonts w:eastAsia="仿宋_GB2312"/>
                <w:kern w:val="0"/>
                <w:sz w:val="20"/>
              </w:rPr>
              <w:t>=</w:t>
            </w:r>
            <w:r>
              <w:rPr>
                <w:rFonts w:ascii="仿宋_GB2312" w:hAnsi="宋体" w:eastAsia="仿宋_GB2312" w:cs="宋体"/>
                <w:kern w:val="0"/>
                <w:sz w:val="20"/>
              </w:rPr>
              <w:t>（部门支付进度</w:t>
            </w:r>
            <w:r>
              <w:rPr>
                <w:rFonts w:eastAsia="仿宋_GB2312"/>
                <w:kern w:val="0"/>
                <w:sz w:val="20"/>
              </w:rPr>
              <w:t>/</w:t>
            </w:r>
            <w:r>
              <w:rPr>
                <w:rFonts w:ascii="仿宋_GB2312" w:hAnsi="宋体" w:eastAsia="仿宋_GB2312" w:cs="宋体"/>
                <w:kern w:val="0"/>
                <w:sz w:val="20"/>
              </w:rPr>
              <w:t>区级平均支付进度）</w:t>
            </w:r>
            <w:r>
              <w:rPr>
                <w:rFonts w:eastAsia="仿宋_GB2312"/>
                <w:kern w:val="0"/>
                <w:sz w:val="20"/>
              </w:rPr>
              <w:t>×100%</w:t>
            </w:r>
            <w:r>
              <w:rPr>
                <w:rFonts w:ascii="仿宋_GB2312" w:hAnsi="宋体" w:eastAsia="仿宋_GB2312" w:cs="宋体"/>
                <w:kern w:val="0"/>
                <w:sz w:val="20"/>
              </w:rPr>
              <w:t>，支付进度率控制在</w:t>
            </w:r>
            <w:r>
              <w:rPr>
                <w:rFonts w:eastAsia="仿宋_GB2312"/>
                <w:kern w:val="0"/>
                <w:sz w:val="20"/>
              </w:rPr>
              <w:t>90%—110%</w:t>
            </w:r>
            <w:r>
              <w:rPr>
                <w:rFonts w:ascii="仿宋_GB2312" w:hAnsi="宋体" w:eastAsia="仿宋_GB2312" w:cs="宋体"/>
                <w:kern w:val="0"/>
                <w:sz w:val="20"/>
              </w:rPr>
              <w:t>间。</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部门支付进度：部门（单位）在某一时点的支出预算执行总数与年度支出预算数的比率。</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区级平均支付进度：在某时点上，本级财政的支付进度率，以序时进度代替。</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864"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财政预算执行（</w:t>
            </w:r>
            <w:r>
              <w:rPr>
                <w:rFonts w:eastAsia="仿宋_GB2312"/>
                <w:kern w:val="0"/>
                <w:sz w:val="20"/>
              </w:rPr>
              <w:t>5</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部门（单位）本年度预算执行数与预算数的比率，用以反映和考核部门（单位）预算完成程度。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r>
              <w:rPr>
                <w:rFonts w:eastAsia="仿宋_GB2312"/>
                <w:kern w:val="0"/>
                <w:sz w:val="20"/>
              </w:rPr>
              <w:t>=</w:t>
            </w:r>
            <w:r>
              <w:rPr>
                <w:rFonts w:ascii="仿宋_GB2312" w:hAnsi="宋体" w:eastAsia="仿宋_GB2312" w:cs="宋体"/>
                <w:kern w:val="0"/>
                <w:sz w:val="20"/>
              </w:rPr>
              <w:t>（预算执行数</w:t>
            </w:r>
            <w:r>
              <w:rPr>
                <w:rFonts w:eastAsia="仿宋_GB2312"/>
                <w:kern w:val="0"/>
                <w:sz w:val="20"/>
              </w:rPr>
              <w:t>/</w:t>
            </w:r>
            <w:r>
              <w:rPr>
                <w:rFonts w:ascii="仿宋_GB2312" w:hAnsi="宋体" w:eastAsia="仿宋_GB2312" w:cs="宋体"/>
                <w:kern w:val="0"/>
                <w:sz w:val="20"/>
              </w:rPr>
              <w:t>预算数）</w:t>
            </w:r>
            <w:r>
              <w:rPr>
                <w:rFonts w:eastAsia="仿宋_GB2312"/>
                <w:kern w:val="0"/>
                <w:sz w:val="20"/>
              </w:rPr>
              <w:t>×100%</w:t>
            </w:r>
            <w:r>
              <w:rPr>
                <w:rFonts w:ascii="仿宋_GB2312" w:hAnsi="宋体" w:eastAsia="仿宋_GB2312" w:cs="宋体"/>
                <w:kern w:val="0"/>
                <w:sz w:val="20"/>
              </w:rPr>
              <w:t>。</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预算执行数：部门（单位）本年度实际完成的预算数，扣除结余数。</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预算数：财政部门批复的本年度部门（单位）预算数，含财政追加。</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864"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预算刚性　　（</w:t>
            </w:r>
            <w:r>
              <w:rPr>
                <w:rFonts w:eastAsia="仿宋_GB2312"/>
                <w:kern w:val="0"/>
                <w:sz w:val="20"/>
              </w:rPr>
              <w:t>4</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　　（</w:t>
            </w:r>
            <w:r>
              <w:rPr>
                <w:rFonts w:eastAsia="仿宋_GB2312"/>
                <w:kern w:val="0"/>
                <w:sz w:val="20"/>
              </w:rPr>
              <w:t>4</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部门（单位）本年度预算调整数与预算数的比率，用以反映和考核部门（单位）预算的调整程度。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w:t>
            </w:r>
            <w:r>
              <w:rPr>
                <w:rFonts w:eastAsia="仿宋_GB2312"/>
                <w:kern w:val="0"/>
                <w:sz w:val="20"/>
              </w:rPr>
              <w:t>=</w:t>
            </w:r>
            <w:r>
              <w:rPr>
                <w:rFonts w:ascii="仿宋_GB2312" w:hAnsi="宋体" w:eastAsia="仿宋_GB2312" w:cs="宋体"/>
                <w:kern w:val="0"/>
                <w:sz w:val="20"/>
              </w:rPr>
              <w:t>（预算调整数</w:t>
            </w:r>
            <w:r>
              <w:rPr>
                <w:rFonts w:eastAsia="仿宋_GB2312"/>
                <w:kern w:val="0"/>
                <w:sz w:val="20"/>
              </w:rPr>
              <w:t>/</w:t>
            </w:r>
            <w:r>
              <w:rPr>
                <w:rFonts w:ascii="仿宋_GB2312" w:hAnsi="宋体" w:eastAsia="仿宋_GB2312" w:cs="宋体"/>
                <w:kern w:val="0"/>
                <w:sz w:val="20"/>
              </w:rPr>
              <w:t>预算数）</w:t>
            </w:r>
            <w:r>
              <w:rPr>
                <w:rFonts w:eastAsia="仿宋_GB2312"/>
                <w:kern w:val="0"/>
                <w:sz w:val="20"/>
              </w:rPr>
              <w:t>×100%</w:t>
            </w:r>
            <w:r>
              <w:rPr>
                <w:rFonts w:ascii="仿宋_GB2312" w:hAnsi="宋体" w:eastAsia="仿宋_GB2312" w:cs="宋体"/>
                <w:kern w:val="0"/>
                <w:sz w:val="20"/>
              </w:rPr>
              <w:t>，控制在</w:t>
            </w:r>
            <w:r>
              <w:rPr>
                <w:rFonts w:eastAsia="仿宋_GB2312"/>
                <w:kern w:val="0"/>
                <w:sz w:val="20"/>
              </w:rPr>
              <w:t>20%</w:t>
            </w:r>
            <w:r>
              <w:rPr>
                <w:rFonts w:ascii="仿宋_GB2312" w:hAnsi="宋体" w:eastAsia="仿宋_GB2312" w:cs="宋体"/>
                <w:kern w:val="0"/>
                <w:sz w:val="20"/>
              </w:rPr>
              <w:t>以内。</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预算调整数：部门（单位）在本年度内涉及预算的追加、追减或结构调整的资金总和（因落实国家政策、发生不可抗力、上级部门或本级党委政府临时交办而产生的调整除外）。</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行政成本（</w:t>
            </w:r>
            <w:r>
              <w:rPr>
                <w:rFonts w:eastAsia="仿宋_GB2312"/>
                <w:kern w:val="0"/>
                <w:sz w:val="20"/>
              </w:rPr>
              <w:t>10</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rPr>
              <w:t>3</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反映部门人力资源控制情况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rPr>
              <w:t>=</w:t>
            </w:r>
            <w:r>
              <w:rPr>
                <w:rFonts w:ascii="仿宋_GB2312" w:hAnsi="宋体" w:eastAsia="仿宋_GB2312" w:cs="宋体"/>
                <w:kern w:val="0"/>
                <w:sz w:val="20"/>
              </w:rPr>
              <w:t>实际员工</w:t>
            </w:r>
            <w:r>
              <w:rPr>
                <w:rFonts w:eastAsia="仿宋_GB2312"/>
                <w:kern w:val="0"/>
                <w:sz w:val="20"/>
              </w:rPr>
              <w:t>/</w:t>
            </w:r>
            <w:r>
              <w:rPr>
                <w:rFonts w:ascii="仿宋_GB2312" w:hAnsi="宋体" w:eastAsia="仿宋_GB2312" w:cs="宋体"/>
                <w:kern w:val="0"/>
                <w:sz w:val="20"/>
              </w:rPr>
              <w:t>部门编制数</w:t>
            </w:r>
            <w:r>
              <w:rPr>
                <w:rFonts w:eastAsia="仿宋_GB2312"/>
                <w:kern w:val="0"/>
                <w:sz w:val="20"/>
              </w:rPr>
              <w:t>*100%</w:t>
            </w:r>
            <w:r>
              <w:rPr>
                <w:rFonts w:ascii="仿宋_GB2312" w:hAnsi="宋体" w:eastAsia="仿宋_GB2312" w:cs="宋体"/>
                <w:kern w:val="0"/>
                <w:sz w:val="20"/>
              </w:rPr>
              <w:t>，不得超过</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一般性支出增长率（</w:t>
            </w:r>
            <w:r>
              <w:rPr>
                <w:rFonts w:eastAsia="仿宋_GB2312"/>
                <w:kern w:val="0"/>
                <w:sz w:val="20"/>
              </w:rPr>
              <w:t>3</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反映执行财政非生产性支出预算控制</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w:t>
            </w:r>
            <w:r>
              <w:rPr>
                <w:rFonts w:eastAsia="仿宋_GB2312"/>
                <w:kern w:val="0"/>
                <w:sz w:val="20"/>
              </w:rPr>
              <w:t>“</w:t>
            </w:r>
            <w:r>
              <w:rPr>
                <w:rFonts w:ascii="仿宋_GB2312" w:hAnsi="宋体" w:eastAsia="仿宋_GB2312" w:cs="宋体"/>
                <w:kern w:val="0"/>
                <w:sz w:val="20"/>
              </w:rPr>
              <w:t>一般性支出</w:t>
            </w:r>
            <w:r>
              <w:rPr>
                <w:rFonts w:eastAsia="仿宋_GB2312"/>
                <w:kern w:val="0"/>
                <w:sz w:val="20"/>
              </w:rPr>
              <w:t>”</w:t>
            </w:r>
            <w:r>
              <w:rPr>
                <w:rFonts w:ascii="仿宋_GB2312" w:hAnsi="宋体" w:eastAsia="仿宋_GB2312" w:cs="宋体"/>
                <w:kern w:val="0"/>
                <w:sz w:val="20"/>
              </w:rPr>
              <w:t>严格按财政管理规定执行，未完成控制要求不得分。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rPr>
              <w:t>4</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反映部门财政资源耗费控制情况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rPr>
              <w:t>=</w:t>
            </w:r>
            <w:r>
              <w:rPr>
                <w:rFonts w:ascii="仿宋_GB2312" w:hAnsi="宋体" w:eastAsia="仿宋_GB2312" w:cs="宋体"/>
                <w:kern w:val="0"/>
                <w:sz w:val="20"/>
              </w:rPr>
              <w:t>部门年度公用经费总额</w:t>
            </w:r>
            <w:r>
              <w:rPr>
                <w:rFonts w:eastAsia="仿宋_GB2312"/>
                <w:kern w:val="0"/>
                <w:sz w:val="20"/>
              </w:rPr>
              <w:t>÷</w:t>
            </w:r>
            <w:r>
              <w:rPr>
                <w:rFonts w:ascii="仿宋_GB2312" w:hAnsi="宋体" w:eastAsia="仿宋_GB2312" w:cs="宋体"/>
                <w:kern w:val="0"/>
                <w:sz w:val="20"/>
              </w:rPr>
              <w:t>编制内员工数</w:t>
            </w:r>
            <w:r>
              <w:rPr>
                <w:rFonts w:eastAsia="仿宋_GB2312"/>
                <w:kern w:val="0"/>
                <w:sz w:val="20"/>
              </w:rPr>
              <w:t>÷</w:t>
            </w:r>
            <w:r>
              <w:rPr>
                <w:rFonts w:ascii="仿宋_GB2312" w:hAnsi="宋体" w:eastAsia="仿宋_GB2312" w:cs="宋体"/>
                <w:kern w:val="0"/>
                <w:sz w:val="20"/>
              </w:rPr>
              <w:t>区级人均公用经费</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w:t>
            </w:r>
            <w:r>
              <w:rPr>
                <w:rFonts w:eastAsia="仿宋_GB2312"/>
                <w:kern w:val="0"/>
                <w:sz w:val="20"/>
              </w:rPr>
              <w:t>40</w:t>
            </w:r>
            <w:r>
              <w:rPr>
                <w:rFonts w:ascii="仿宋_GB2312" w:hAnsi="宋体" w:eastAsia="仿宋_GB2312" w:cs="宋体"/>
                <w:kern w:val="0"/>
                <w:sz w:val="20"/>
              </w:rPr>
              <w:t>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债务管理　（</w:t>
            </w:r>
            <w:r>
              <w:rPr>
                <w:rFonts w:eastAsia="仿宋_GB2312"/>
                <w:kern w:val="0"/>
                <w:sz w:val="20"/>
              </w:rPr>
              <w:t>2</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债务还本付息（</w:t>
            </w:r>
            <w:r>
              <w:rPr>
                <w:rFonts w:eastAsia="仿宋_GB2312"/>
                <w:kern w:val="0"/>
                <w:sz w:val="20"/>
              </w:rPr>
              <w:t>2</w:t>
            </w:r>
            <w:r>
              <w:rPr>
                <w:rFonts w:ascii="仿宋_GB2312" w:hAnsi="宋体" w:eastAsia="仿宋_GB2312" w:cs="宋体"/>
                <w:kern w:val="0"/>
                <w:sz w:val="20"/>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按规定做好政府性债务还本付息工作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实际还本付息金额</w:t>
            </w:r>
            <w:r>
              <w:rPr>
                <w:rFonts w:eastAsia="仿宋_GB2312"/>
                <w:kern w:val="0"/>
                <w:sz w:val="20"/>
              </w:rPr>
              <w:t>÷</w:t>
            </w:r>
            <w:r>
              <w:rPr>
                <w:rFonts w:ascii="仿宋_GB2312" w:hAnsi="宋体" w:eastAsia="仿宋_GB2312" w:cs="宋体"/>
                <w:kern w:val="0"/>
                <w:sz w:val="20"/>
              </w:rPr>
              <w:t>应付金额</w:t>
            </w:r>
            <w:r>
              <w:rPr>
                <w:rFonts w:eastAsia="仿宋_GB2312"/>
                <w:kern w:val="0"/>
                <w:sz w:val="20"/>
              </w:rPr>
              <w:t>×</w:t>
            </w:r>
            <w:r>
              <w:rPr>
                <w:rFonts w:ascii="仿宋_GB2312" w:hAnsi="宋体" w:eastAsia="仿宋_GB2312" w:cs="宋体"/>
                <w:kern w:val="0"/>
                <w:sz w:val="20"/>
              </w:rPr>
              <w:t>指标分值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非税收入管理情况　　（</w:t>
            </w:r>
            <w:r>
              <w:rPr>
                <w:rFonts w:eastAsia="仿宋_GB2312"/>
                <w:kern w:val="0"/>
                <w:sz w:val="20"/>
              </w:rPr>
              <w:t>4</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非税收入征收情况（</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是否按照规定的项目、标准、征收方式执收非税收入，非税收入项目设立的权限和缓减免的依据，对非税收入进行缓减免</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发现有未按规定的非税收入项目、标准执收非税收入或有违反规定缓减免非税收入的，发现一次扣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非税收入上缴情况（</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是否及时足额将非税收入缴入财政</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发现未及时足额将非税收入缴入财政的或者截留、挪用非税收入的，发现一次扣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政府采购执行管理　　（</w:t>
            </w:r>
            <w:r>
              <w:rPr>
                <w:rFonts w:eastAsia="仿宋_GB2312"/>
                <w:kern w:val="0"/>
                <w:sz w:val="20"/>
              </w:rPr>
              <w:t>4</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政府采购实施计划编制（</w:t>
            </w:r>
            <w:r>
              <w:rPr>
                <w:rFonts w:eastAsia="仿宋_GB2312"/>
                <w:kern w:val="0"/>
                <w:sz w:val="20"/>
              </w:rPr>
              <w:t>2</w:t>
            </w:r>
            <w:r>
              <w:rPr>
                <w:rFonts w:ascii="仿宋_GB2312" w:hAnsi="宋体" w:eastAsia="仿宋_GB2312" w:cs="宋体"/>
                <w:kern w:val="0"/>
                <w:sz w:val="20"/>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实施计划与政府采购预算的一致性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rPr>
              <w:t>1-</w:t>
            </w:r>
            <w:r>
              <w:rPr>
                <w:rFonts w:ascii="仿宋_GB2312" w:hAnsi="宋体" w:eastAsia="仿宋_GB2312" w:cs="宋体"/>
                <w:kern w:val="0"/>
                <w:sz w:val="20"/>
              </w:rPr>
              <w:t>调整或细化资金</w:t>
            </w:r>
            <w:r>
              <w:rPr>
                <w:rFonts w:eastAsia="仿宋_GB2312"/>
                <w:kern w:val="0"/>
                <w:sz w:val="20"/>
              </w:rPr>
              <w:t>/</w:t>
            </w:r>
            <w:r>
              <w:rPr>
                <w:rFonts w:ascii="仿宋_GB2312" w:hAnsi="宋体" w:eastAsia="仿宋_GB2312" w:cs="宋体"/>
                <w:kern w:val="0"/>
                <w:sz w:val="20"/>
              </w:rPr>
              <w:t>政府采购预算资金）</w:t>
            </w:r>
            <w:r>
              <w:rPr>
                <w:rFonts w:eastAsia="仿宋_GB2312"/>
                <w:kern w:val="0"/>
                <w:sz w:val="20"/>
              </w:rPr>
              <w:t>*</w:t>
            </w:r>
            <w:r>
              <w:rPr>
                <w:rFonts w:ascii="仿宋_GB2312" w:hAnsi="宋体" w:eastAsia="仿宋_GB2312" w:cs="宋体"/>
                <w:kern w:val="0"/>
                <w:sz w:val="20"/>
              </w:rPr>
              <w:t>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政府采购实施计划的执行（</w:t>
            </w:r>
            <w:r>
              <w:rPr>
                <w:rFonts w:eastAsia="仿宋_GB2312"/>
                <w:kern w:val="0"/>
                <w:sz w:val="20"/>
              </w:rPr>
              <w:t>2</w:t>
            </w:r>
            <w:r>
              <w:rPr>
                <w:rFonts w:ascii="仿宋_GB2312" w:hAnsi="宋体" w:eastAsia="仿宋_GB2312" w:cs="宋体"/>
                <w:kern w:val="0"/>
                <w:sz w:val="20"/>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执行的实施计划与备案的实施计划的一致性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rPr>
              <w:t>1-</w:t>
            </w:r>
            <w:r>
              <w:rPr>
                <w:rFonts w:ascii="仿宋_GB2312" w:hAnsi="宋体" w:eastAsia="仿宋_GB2312" w:cs="宋体"/>
                <w:kern w:val="0"/>
                <w:sz w:val="20"/>
              </w:rPr>
              <w:t>实施计划备案后的调整或细化资金</w:t>
            </w:r>
            <w:r>
              <w:rPr>
                <w:rFonts w:eastAsia="仿宋_GB2312"/>
                <w:kern w:val="0"/>
                <w:sz w:val="20"/>
              </w:rPr>
              <w:t>/</w:t>
            </w:r>
            <w:r>
              <w:rPr>
                <w:rFonts w:ascii="仿宋_GB2312" w:hAnsi="宋体" w:eastAsia="仿宋_GB2312" w:cs="宋体"/>
                <w:kern w:val="0"/>
                <w:sz w:val="20"/>
              </w:rPr>
              <w:t>实施计划备案后的资金）</w:t>
            </w:r>
            <w:r>
              <w:rPr>
                <w:rFonts w:eastAsia="仿宋_GB2312"/>
                <w:kern w:val="0"/>
                <w:sz w:val="20"/>
              </w:rPr>
              <w:t>*</w:t>
            </w:r>
            <w:r>
              <w:rPr>
                <w:rFonts w:ascii="仿宋_GB2312" w:hAnsi="宋体" w:eastAsia="仿宋_GB2312" w:cs="宋体"/>
                <w:kern w:val="0"/>
                <w:sz w:val="20"/>
              </w:rPr>
              <w:t>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19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　　（</w:t>
            </w:r>
            <w:r>
              <w:rPr>
                <w:rFonts w:eastAsia="仿宋_GB2312"/>
                <w:kern w:val="0"/>
                <w:sz w:val="20"/>
              </w:rPr>
              <w:t>6</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资产管理信息系统建设情况　　　（</w:t>
            </w:r>
            <w:r>
              <w:rPr>
                <w:rFonts w:eastAsia="仿宋_GB2312"/>
                <w:kern w:val="0"/>
                <w:sz w:val="20"/>
              </w:rPr>
              <w:t>2</w:t>
            </w:r>
            <w:r>
              <w:rPr>
                <w:rFonts w:ascii="仿宋_GB2312" w:hAnsi="宋体" w:eastAsia="仿宋_GB2312" w:cs="宋体"/>
                <w:kern w:val="0"/>
                <w:sz w:val="20"/>
              </w:rPr>
              <w:t>分）</w:t>
            </w:r>
          </w:p>
        </w:tc>
        <w:tc>
          <w:tcPr>
            <w:tcW w:w="2835" w:type="dxa"/>
            <w:tcBorders>
              <w:top w:val="nil"/>
              <w:left w:val="nil"/>
              <w:bottom w:val="nil"/>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考核部门和单位将国有资产纳入资产信息系统管理情况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①未将所属单位国有资产纳入系统管理，每少一个单位扣</w:t>
            </w:r>
            <w:r>
              <w:rPr>
                <w:rFonts w:eastAsia="仿宋_GB2312"/>
                <w:kern w:val="0"/>
                <w:sz w:val="20"/>
              </w:rPr>
              <w:t>1</w:t>
            </w:r>
            <w:r>
              <w:rPr>
                <w:rFonts w:ascii="仿宋_GB2312" w:hAnsi="宋体" w:eastAsia="仿宋_GB2312" w:cs="宋体"/>
                <w:kern w:val="0"/>
                <w:sz w:val="20"/>
              </w:rPr>
              <w:t>分。②未将资产变动情况及时录入系统，每次扣</w:t>
            </w:r>
            <w:r>
              <w:rPr>
                <w:rFonts w:eastAsia="仿宋_GB2312"/>
                <w:kern w:val="0"/>
                <w:sz w:val="20"/>
              </w:rPr>
              <w:t>0.5</w:t>
            </w:r>
            <w:r>
              <w:rPr>
                <w:rFonts w:ascii="仿宋_GB2312" w:hAnsi="宋体" w:eastAsia="仿宋_GB2312" w:cs="宋体"/>
                <w:kern w:val="0"/>
                <w:sz w:val="20"/>
              </w:rPr>
              <w:t>分。③未落实人员负责管理系统，扣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481"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行政事业单位资产清查开展情况（</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考核行政事业单位按要求及时、准确、全面开展资产清查工作情况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①未在规定时间内完成资产清查任务扣</w:t>
            </w:r>
            <w:r>
              <w:rPr>
                <w:rFonts w:eastAsia="仿宋_GB2312"/>
                <w:kern w:val="0"/>
                <w:sz w:val="20"/>
              </w:rPr>
              <w:t>1</w:t>
            </w:r>
            <w:r>
              <w:rPr>
                <w:rFonts w:ascii="仿宋_GB2312" w:hAnsi="宋体" w:eastAsia="仿宋_GB2312" w:cs="宋体"/>
                <w:kern w:val="0"/>
                <w:sz w:val="20"/>
              </w:rPr>
              <w:t>分。②资产清查结果与财政组织复核的结果误差超过</w:t>
            </w:r>
            <w:r>
              <w:rPr>
                <w:rFonts w:eastAsia="仿宋_GB2312"/>
                <w:kern w:val="0"/>
                <w:sz w:val="20"/>
              </w:rPr>
              <w:t>10%</w:t>
            </w:r>
            <w:r>
              <w:rPr>
                <w:rFonts w:ascii="仿宋_GB2312" w:hAnsi="宋体" w:eastAsia="仿宋_GB2312" w:cs="宋体"/>
                <w:kern w:val="0"/>
                <w:sz w:val="20"/>
              </w:rPr>
              <w:t>的扣</w:t>
            </w:r>
            <w:r>
              <w:rPr>
                <w:rFonts w:eastAsia="仿宋_GB2312"/>
                <w:kern w:val="0"/>
                <w:sz w:val="20"/>
              </w:rPr>
              <w:t>1</w:t>
            </w:r>
            <w:r>
              <w:rPr>
                <w:rFonts w:ascii="仿宋_GB2312" w:hAnsi="宋体" w:eastAsia="仿宋_GB2312" w:cs="宋体"/>
                <w:kern w:val="0"/>
                <w:sz w:val="20"/>
              </w:rPr>
              <w:t>分。③未及时按批复的清查结果进行账务调整扣</w:t>
            </w:r>
            <w:r>
              <w:rPr>
                <w:rFonts w:eastAsia="仿宋_GB2312"/>
                <w:kern w:val="0"/>
                <w:sz w:val="20"/>
              </w:rPr>
              <w:t>1</w:t>
            </w:r>
            <w:r>
              <w:rPr>
                <w:rFonts w:ascii="仿宋_GB2312" w:hAnsi="宋体" w:eastAsia="仿宋_GB2312" w:cs="宋体"/>
                <w:kern w:val="0"/>
                <w:sz w:val="20"/>
              </w:rPr>
              <w:t>分。④未及时更新资产管理信息系统，导致系统资产数据与上报财政的资产清查结果不一致扣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184"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行政事业单位资产报表上报情况（</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考核行政事业单位上报国有资产报表数据的真实性、准确性、全面性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①未落实专人负责资产报表，未及时上报资产报表扣</w:t>
            </w:r>
            <w:r>
              <w:rPr>
                <w:rFonts w:eastAsia="仿宋_GB2312"/>
                <w:kern w:val="0"/>
                <w:sz w:val="20"/>
              </w:rPr>
              <w:t>1</w:t>
            </w:r>
            <w:r>
              <w:rPr>
                <w:rFonts w:ascii="仿宋_GB2312" w:hAnsi="宋体" w:eastAsia="仿宋_GB2312" w:cs="宋体"/>
                <w:kern w:val="0"/>
                <w:sz w:val="20"/>
              </w:rPr>
              <w:t>分。②报表填报不规范，内容不完整，数据不真实，扣</w:t>
            </w:r>
            <w:r>
              <w:rPr>
                <w:rFonts w:eastAsia="仿宋_GB2312"/>
                <w:kern w:val="0"/>
                <w:sz w:val="20"/>
              </w:rPr>
              <w:t>1</w:t>
            </w:r>
            <w:r>
              <w:rPr>
                <w:rFonts w:ascii="仿宋_GB2312" w:hAnsi="宋体" w:eastAsia="仿宋_GB2312" w:cs="宋体"/>
                <w:kern w:val="0"/>
                <w:sz w:val="20"/>
              </w:rPr>
              <w:t>分。③未提交分析报告，对资产变动情况未作分析说明，扣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09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内控制度管理（</w:t>
            </w:r>
            <w:r>
              <w:rPr>
                <w:rFonts w:eastAsia="仿宋_GB2312"/>
                <w:kern w:val="0"/>
                <w:sz w:val="20"/>
              </w:rPr>
              <w:t>4</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内部控制度健全完整（</w:t>
            </w:r>
            <w:r>
              <w:rPr>
                <w:rFonts w:eastAsia="仿宋_GB2312"/>
                <w:kern w:val="0"/>
                <w:sz w:val="20"/>
              </w:rPr>
              <w:t>4</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考核部门内部控制制度的设置和执行情况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内部控制制度健全完整并执行良好的得分，否则不得分。在本年度内因内控制度不健全或执行不到位，造成单位出现廉政风险或发生重大责任事故的不得分。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1616"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信息公开　　（</w:t>
            </w:r>
            <w:r>
              <w:rPr>
                <w:rFonts w:eastAsia="仿宋_GB2312"/>
                <w:kern w:val="0"/>
                <w:sz w:val="20"/>
              </w:rPr>
              <w:t>6</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预算公开（</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除涉密信息外，各部门要在财政部门批复后二十日内向社会公开本部门预算（含所有财政资金安排的</w:t>
            </w:r>
            <w:r>
              <w:rPr>
                <w:rFonts w:eastAsia="仿宋_GB2312"/>
                <w:kern w:val="0"/>
                <w:sz w:val="20"/>
              </w:rPr>
              <w:t>“</w:t>
            </w:r>
            <w:r>
              <w:rPr>
                <w:rFonts w:ascii="仿宋_GB2312" w:hAnsi="宋体" w:eastAsia="仿宋_GB2312" w:cs="宋体"/>
                <w:kern w:val="0"/>
                <w:sz w:val="20"/>
              </w:rPr>
              <w:t>三公</w:t>
            </w:r>
            <w:r>
              <w:rPr>
                <w:rFonts w:eastAsia="仿宋_GB2312"/>
                <w:kern w:val="0"/>
                <w:sz w:val="20"/>
              </w:rPr>
              <w:t>”</w:t>
            </w:r>
            <w:r>
              <w:rPr>
                <w:rFonts w:ascii="仿宋_GB2312" w:hAnsi="宋体" w:eastAsia="仿宋_GB2312" w:cs="宋体"/>
                <w:kern w:val="0"/>
                <w:sz w:val="20"/>
              </w:rPr>
              <w:t>经费、机关运行经费的安排、使用情况等）</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按规定公开预算，未按要求公开的，发现一处扣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65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决算公开（</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除涉密信息外，各部门要在财政部门批复二十日内向社会公开本部门决算（含所有财政资金安排的</w:t>
            </w:r>
            <w:r>
              <w:rPr>
                <w:rFonts w:eastAsia="仿宋_GB2312"/>
                <w:kern w:val="0"/>
                <w:sz w:val="20"/>
              </w:rPr>
              <w:t>“</w:t>
            </w:r>
            <w:r>
              <w:rPr>
                <w:rFonts w:ascii="仿宋_GB2312" w:hAnsi="宋体" w:eastAsia="仿宋_GB2312" w:cs="宋体"/>
                <w:kern w:val="0"/>
                <w:sz w:val="20"/>
              </w:rPr>
              <w:t>三公</w:t>
            </w:r>
            <w:r>
              <w:rPr>
                <w:rFonts w:eastAsia="仿宋_GB2312"/>
                <w:kern w:val="0"/>
                <w:sz w:val="20"/>
              </w:rPr>
              <w:t>”</w:t>
            </w:r>
            <w:r>
              <w:rPr>
                <w:rFonts w:ascii="仿宋_GB2312" w:hAnsi="宋体" w:eastAsia="仿宋_GB2312" w:cs="宋体"/>
                <w:kern w:val="0"/>
                <w:sz w:val="20"/>
              </w:rPr>
              <w:t>经费、机关运行经费的安排、使用情况等）</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73"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绩效信息公开　　（</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按要求公开部门整体支出绩效自评报告及其他按要求应公开的绩效信息</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20" w:hRule="atLeast"/>
        </w:trPr>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综合管理（</w:t>
            </w:r>
            <w:r>
              <w:rPr>
                <w:kern w:val="0"/>
                <w:sz w:val="20"/>
              </w:rPr>
              <w:t>40</w:t>
            </w:r>
            <w:r>
              <w:rPr>
                <w:rFonts w:ascii="宋体" w:hAnsi="宋体" w:cs="宋体"/>
                <w:kern w:val="0"/>
                <w:sz w:val="20"/>
              </w:rPr>
              <w:t>分）</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　　（</w:t>
            </w:r>
            <w:r>
              <w:rPr>
                <w:rFonts w:eastAsia="仿宋_GB2312"/>
                <w:kern w:val="0"/>
                <w:sz w:val="20"/>
              </w:rPr>
              <w:t>8</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评价项目覆盖率（</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部门实施绩效评价项目数量占部门管理专项预算项目数量的比重，部门申报绩效目标项目数量的比重，用以反映和考核部门实施绩效评价项目资金覆盖情况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评价覆盖率</w:t>
            </w:r>
            <w:r>
              <w:rPr>
                <w:rFonts w:eastAsia="仿宋_GB2312"/>
                <w:kern w:val="0"/>
                <w:sz w:val="20"/>
              </w:rPr>
              <w:t>=</w:t>
            </w:r>
            <w:r>
              <w:rPr>
                <w:rFonts w:ascii="仿宋_GB2312" w:hAnsi="宋体" w:eastAsia="仿宋_GB2312" w:cs="宋体"/>
                <w:kern w:val="0"/>
                <w:sz w:val="20"/>
              </w:rPr>
              <w:t>实施绩效评价项目数量</w:t>
            </w:r>
            <w:r>
              <w:rPr>
                <w:rFonts w:eastAsia="仿宋_GB2312"/>
                <w:kern w:val="0"/>
                <w:sz w:val="20"/>
              </w:rPr>
              <w:t>/</w:t>
            </w:r>
            <w:r>
              <w:rPr>
                <w:rFonts w:ascii="仿宋_GB2312" w:hAnsi="宋体" w:eastAsia="仿宋_GB2312" w:cs="宋体"/>
                <w:kern w:val="0"/>
                <w:sz w:val="20"/>
              </w:rPr>
              <w:t>部门管理专项预算项目数量</w:t>
            </w:r>
            <w:r>
              <w:rPr>
                <w:rFonts w:eastAsia="仿宋_GB2312"/>
                <w:kern w:val="0"/>
                <w:sz w:val="20"/>
              </w:rPr>
              <w:t>×100%</w:t>
            </w:r>
            <w:r>
              <w:rPr>
                <w:rFonts w:ascii="仿宋_GB2312" w:hAnsi="宋体" w:eastAsia="仿宋_GB2312" w:cs="宋体"/>
                <w:kern w:val="0"/>
                <w:sz w:val="20"/>
              </w:rPr>
              <w:t>，大于</w:t>
            </w:r>
            <w:r>
              <w:rPr>
                <w:rFonts w:eastAsia="仿宋_GB2312"/>
                <w:kern w:val="0"/>
                <w:sz w:val="20"/>
              </w:rPr>
              <w:t>50%</w:t>
            </w:r>
            <w:r>
              <w:rPr>
                <w:rFonts w:ascii="仿宋_GB2312" w:hAnsi="宋体" w:eastAsia="仿宋_GB2312" w:cs="宋体"/>
                <w:kern w:val="0"/>
                <w:sz w:val="20"/>
              </w:rPr>
              <w:t>，得满分。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评价层次（</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部门（单位）是否对下级预算单位开展整体绩效评价</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实施评价下级预算单位的得分，否则不得分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评价结果利用率（</w:t>
            </w:r>
            <w:r>
              <w:rPr>
                <w:rFonts w:eastAsia="仿宋_GB2312"/>
                <w:kern w:val="0"/>
                <w:sz w:val="20"/>
              </w:rPr>
              <w:t>4</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部门是否根据绩效评价发现问题制定整改措施，并整改落实到位</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利用率</w:t>
            </w:r>
            <w:r>
              <w:rPr>
                <w:rFonts w:eastAsia="仿宋_GB2312"/>
                <w:kern w:val="0"/>
                <w:sz w:val="20"/>
              </w:rPr>
              <w:t>=</w:t>
            </w:r>
            <w:r>
              <w:rPr>
                <w:rFonts w:ascii="仿宋_GB2312" w:hAnsi="宋体" w:eastAsia="仿宋_GB2312" w:cs="宋体"/>
                <w:kern w:val="0"/>
                <w:sz w:val="20"/>
              </w:rPr>
              <w:t>部门实际制定整改措施项目数量</w:t>
            </w:r>
            <w:r>
              <w:rPr>
                <w:rFonts w:eastAsia="仿宋_GB2312"/>
                <w:kern w:val="0"/>
                <w:sz w:val="20"/>
              </w:rPr>
              <w:t>/</w:t>
            </w:r>
            <w:r>
              <w:rPr>
                <w:rFonts w:ascii="仿宋_GB2312" w:hAnsi="宋体" w:eastAsia="仿宋_GB2312" w:cs="宋体"/>
                <w:kern w:val="0"/>
                <w:sz w:val="20"/>
              </w:rPr>
              <w:t>应制定整改措施的项目数量</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1578"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财政监督　　（</w:t>
            </w:r>
            <w:r>
              <w:rPr>
                <w:rFonts w:eastAsia="仿宋_GB2312"/>
                <w:kern w:val="0"/>
                <w:sz w:val="20"/>
              </w:rPr>
              <w:t>6</w:t>
            </w:r>
            <w:r>
              <w:rPr>
                <w:rFonts w:ascii="仿宋_GB2312" w:hAnsi="宋体" w:eastAsia="仿宋_GB2312" w:cs="宋体"/>
                <w:kern w:val="0"/>
                <w:sz w:val="20"/>
              </w:rPr>
              <w:t>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是否按要求开展自查自纠（</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根据相关自查自纠报告、报表报送时效和质量进行考核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未在规定时间内报送自查自纠相关材料（包括：纸质和电子版）的，扣</w:t>
            </w:r>
            <w:r>
              <w:rPr>
                <w:rFonts w:eastAsia="仿宋_GB2312"/>
                <w:kern w:val="0"/>
                <w:sz w:val="20"/>
              </w:rPr>
              <w:t>0.5</w:t>
            </w:r>
            <w:r>
              <w:rPr>
                <w:rFonts w:ascii="仿宋_GB2312" w:hAnsi="宋体" w:eastAsia="仿宋_GB2312" w:cs="宋体"/>
                <w:kern w:val="0"/>
                <w:sz w:val="20"/>
              </w:rPr>
              <w:t>分；报告内容不完整，扣</w:t>
            </w:r>
            <w:r>
              <w:rPr>
                <w:rFonts w:eastAsia="仿宋_GB2312"/>
                <w:kern w:val="0"/>
                <w:sz w:val="20"/>
              </w:rPr>
              <w:t>1</w:t>
            </w:r>
            <w:r>
              <w:rPr>
                <w:rFonts w:ascii="仿宋_GB2312" w:hAnsi="宋体" w:eastAsia="仿宋_GB2312" w:cs="宋体"/>
                <w:kern w:val="0"/>
                <w:sz w:val="20"/>
              </w:rPr>
              <w:t>分；报表质量差（如：数据、逻辑、勾稽关系错误）等扣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29"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重点检查发现违规违纪问题　　　（</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根据检查组提供的工作底稿、检查报告等资料进行考核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专项检查发现的违纪违规问题，每个问题扣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432"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存在问题整改是否到位（</w:t>
            </w:r>
            <w:r>
              <w:rPr>
                <w:rFonts w:eastAsia="仿宋_GB2312"/>
                <w:kern w:val="0"/>
                <w:sz w:val="20"/>
              </w:rPr>
              <w:t>2</w:t>
            </w:r>
            <w:r>
              <w:rPr>
                <w:rFonts w:ascii="仿宋_GB2312" w:hAnsi="宋体" w:eastAsia="仿宋_GB2312" w:cs="宋体"/>
                <w:kern w:val="0"/>
                <w:sz w:val="20"/>
              </w:rPr>
              <w:t>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根据相关整改报告、凭证依据等相关证明材料进行考核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未在规定时间内完成整改，并提供相关证明材料的，每个问题</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整体效益（</w:t>
            </w:r>
            <w:r>
              <w:rPr>
                <w:rFonts w:eastAsia="仿宋_GB2312"/>
                <w:kern w:val="0"/>
                <w:sz w:val="20"/>
              </w:rPr>
              <w:t>20</w:t>
            </w:r>
            <w:r>
              <w:rPr>
                <w:rFonts w:ascii="仿宋_GB2312" w:hAnsi="宋体" w:eastAsia="仿宋_GB2312" w:cs="宋体"/>
                <w:kern w:val="0"/>
                <w:sz w:val="20"/>
              </w:rPr>
              <w:t>分）</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部门整体成效（</w:t>
            </w:r>
            <w:r>
              <w:rPr>
                <w:rFonts w:eastAsia="仿宋_GB2312"/>
                <w:kern w:val="0"/>
                <w:sz w:val="20"/>
              </w:rPr>
              <w:t>20</w:t>
            </w:r>
            <w:r>
              <w:rPr>
                <w:rFonts w:ascii="仿宋_GB2312" w:hAnsi="宋体" w:eastAsia="仿宋_GB2312" w:cs="宋体"/>
                <w:kern w:val="0"/>
                <w:sz w:val="20"/>
              </w:rPr>
              <w:t>分）</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根据部门单位特点针对性设置</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主要考核该部门履职尽责、工作先进性、促进发展、服务对象及社会公众满意度。</w:t>
            </w:r>
          </w:p>
        </w:tc>
        <w:tc>
          <w:tcPr>
            <w:tcW w:w="6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特性指标设置不得低于</w:t>
            </w:r>
            <w:r>
              <w:rPr>
                <w:rFonts w:eastAsia="仿宋_GB2312"/>
                <w:kern w:val="0"/>
                <w:sz w:val="20"/>
              </w:rPr>
              <w:t>3</w:t>
            </w:r>
            <w:r>
              <w:rPr>
                <w:rFonts w:ascii="仿宋_GB2312" w:hAnsi="宋体" w:eastAsia="仿宋_GB2312" w:cs="宋体"/>
                <w:kern w:val="0"/>
                <w:sz w:val="20"/>
              </w:rPr>
              <w:t>个。若该部门出现重大安全责任事故、财经违法乱纪现象、群体事件、重大不良社会影响等状况时，此项考核不得分。</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05" w:hRule="atLeast"/>
        </w:trPr>
        <w:tc>
          <w:tcPr>
            <w:tcW w:w="708" w:type="dxa"/>
            <w:tcBorders>
              <w:top w:val="nil"/>
              <w:left w:val="nil"/>
              <w:bottom w:val="nil"/>
              <w:right w:val="nil"/>
            </w:tcBorders>
            <w:shd w:val="clear" w:color="auto" w:fill="auto"/>
            <w:vAlign w:val="center"/>
          </w:tcPr>
          <w:p>
            <w:pPr>
              <w:widowControl/>
              <w:jc w:val="center"/>
              <w:rPr>
                <w:kern w:val="0"/>
                <w:sz w:val="20"/>
                <w:szCs w:val="20"/>
              </w:rPr>
            </w:pPr>
          </w:p>
        </w:tc>
        <w:tc>
          <w:tcPr>
            <w:tcW w:w="671" w:type="dxa"/>
            <w:tcBorders>
              <w:top w:val="nil"/>
              <w:left w:val="nil"/>
              <w:bottom w:val="nil"/>
              <w:right w:val="nil"/>
            </w:tcBorders>
            <w:shd w:val="clear" w:color="auto" w:fill="auto"/>
            <w:vAlign w:val="center"/>
          </w:tcPr>
          <w:p>
            <w:pPr>
              <w:widowControl/>
              <w:jc w:val="center"/>
              <w:rPr>
                <w:kern w:val="0"/>
                <w:sz w:val="20"/>
                <w:szCs w:val="20"/>
              </w:rPr>
            </w:pPr>
          </w:p>
        </w:tc>
        <w:tc>
          <w:tcPr>
            <w:tcW w:w="1881" w:type="dxa"/>
            <w:tcBorders>
              <w:top w:val="nil"/>
              <w:left w:val="nil"/>
              <w:bottom w:val="nil"/>
              <w:right w:val="nil"/>
            </w:tcBorders>
            <w:shd w:val="clear" w:color="auto" w:fill="auto"/>
            <w:vAlign w:val="center"/>
          </w:tcPr>
          <w:p>
            <w:pPr>
              <w:widowControl/>
              <w:jc w:val="center"/>
              <w:rPr>
                <w:kern w:val="0"/>
                <w:sz w:val="20"/>
                <w:szCs w:val="20"/>
              </w:rPr>
            </w:pPr>
          </w:p>
        </w:tc>
        <w:tc>
          <w:tcPr>
            <w:tcW w:w="2835" w:type="dxa"/>
            <w:tcBorders>
              <w:top w:val="nil"/>
              <w:left w:val="nil"/>
              <w:bottom w:val="nil"/>
              <w:right w:val="nil"/>
            </w:tcBorders>
            <w:shd w:val="clear" w:color="auto" w:fill="auto"/>
            <w:vAlign w:val="center"/>
          </w:tcPr>
          <w:p>
            <w:pPr>
              <w:widowControl/>
              <w:jc w:val="center"/>
              <w:rPr>
                <w:kern w:val="0"/>
                <w:sz w:val="20"/>
                <w:szCs w:val="20"/>
              </w:rPr>
            </w:pPr>
          </w:p>
        </w:tc>
        <w:tc>
          <w:tcPr>
            <w:tcW w:w="6566" w:type="dxa"/>
            <w:tcBorders>
              <w:top w:val="nil"/>
              <w:left w:val="nil"/>
              <w:bottom w:val="nil"/>
              <w:right w:val="nil"/>
            </w:tcBorders>
            <w:shd w:val="clear" w:color="auto" w:fill="auto"/>
            <w:vAlign w:val="center"/>
          </w:tcPr>
          <w:p>
            <w:pPr>
              <w:widowControl/>
              <w:jc w:val="left"/>
              <w:rPr>
                <w:kern w:val="0"/>
                <w:sz w:val="20"/>
                <w:szCs w:val="20"/>
              </w:rPr>
            </w:pP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937" w:hRule="atLeast"/>
        </w:trPr>
        <w:tc>
          <w:tcPr>
            <w:tcW w:w="12661" w:type="dxa"/>
            <w:gridSpan w:val="5"/>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注：若某部门不存在某项评价内容或评价指标，则该评价内容或评价指标不计入该部门考核评价范围，即该部门评价总分＝不含该评价内容或指标的评价总分/（100-该评价内容或指标所占分值）*100。</w:t>
            </w: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r>
    </w:tbl>
    <w:p>
      <w:pPr>
        <w:widowControl/>
        <w:jc w:val="left"/>
        <w:rPr>
          <w:rStyle w:val="25"/>
          <w:rFonts w:ascii="仿宋" w:hAnsi="仿宋" w:eastAsia="仿宋" w:cstheme="majorBidi"/>
          <w:b w:val="0"/>
          <w:bCs w:val="0"/>
          <w:sz w:val="32"/>
          <w:szCs w:val="32"/>
        </w:rPr>
      </w:pPr>
      <w:r>
        <w:rPr>
          <w:rStyle w:val="25"/>
          <w:rFonts w:ascii="仿宋" w:hAnsi="仿宋" w:eastAsia="仿宋"/>
          <w:sz w:val="32"/>
          <w:szCs w:val="32"/>
        </w:rPr>
        <w:br w:type="page"/>
      </w:r>
    </w:p>
    <w:p>
      <w:pPr>
        <w:pStyle w:val="3"/>
        <w:rPr>
          <w:rStyle w:val="25"/>
          <w:rFonts w:ascii="仿宋" w:hAnsi="仿宋" w:eastAsia="仿宋"/>
          <w:b/>
          <w:bCs/>
          <w:sz w:val="32"/>
          <w:szCs w:val="32"/>
        </w:rPr>
        <w:sectPr>
          <w:pgSz w:w="16838" w:h="11906" w:orient="landscape"/>
          <w:pgMar w:top="1800" w:right="1440" w:bottom="1800" w:left="1440" w:header="851" w:footer="992" w:gutter="0"/>
          <w:cols w:space="425" w:num="1"/>
          <w:titlePg/>
          <w:docGrid w:type="lines" w:linePitch="312" w:charSpace="0"/>
        </w:sectPr>
      </w:pPr>
    </w:p>
    <w:p>
      <w:pPr>
        <w:pStyle w:val="3"/>
        <w:rPr>
          <w:rStyle w:val="25"/>
          <w:rFonts w:ascii="仿宋" w:hAnsi="仿宋" w:eastAsia="仿宋"/>
          <w:b w:val="0"/>
          <w:bCs w:val="0"/>
          <w:sz w:val="32"/>
          <w:szCs w:val="32"/>
        </w:rPr>
      </w:pPr>
      <w:bookmarkStart w:id="67" w:name="_Toc82683223"/>
      <w:r>
        <w:rPr>
          <w:rStyle w:val="25"/>
          <w:rFonts w:hint="eastAsia" w:ascii="仿宋" w:hAnsi="仿宋" w:eastAsia="仿宋"/>
          <w:b w:val="0"/>
          <w:bCs w:val="0"/>
          <w:sz w:val="32"/>
          <w:szCs w:val="32"/>
        </w:rPr>
        <w:t>附件3</w:t>
      </w:r>
      <w:bookmarkEnd w:id="67"/>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达川区麻柳镇檀木初级中学</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民生资金项目支出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w:t>
      </w:r>
      <w:r>
        <w:rPr>
          <w:rFonts w:ascii="黑体" w:hAnsi="黑体" w:eastAsia="黑体" w:cs="仿宋_GB2312"/>
          <w:sz w:val="32"/>
          <w:szCs w:val="32"/>
        </w:rPr>
        <w:t>、评价工作开展及项目情况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、评价结论及绩效分析</w:t>
      </w:r>
    </w:p>
    <w:p>
      <w:pPr>
        <w:spacing w:line="58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项目绩效评价总体结论良好。</w:t>
      </w:r>
    </w:p>
    <w:p>
      <w:pPr>
        <w:spacing w:line="58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学校经费中的助学金是民生资金项目经费，其涉及学生的住校生生活补助和免作业本费等惠及广大人民群众的资金。因此学校把这项费用纳入项目支出绩效评价。绩效目标设置为是否及时足额发放惠民资金。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资金分配情况分配</w:t>
      </w:r>
      <w:r>
        <w:rPr>
          <w:rFonts w:hint="eastAsia" w:ascii="仿宋_GB2312" w:hAnsi="仿宋" w:eastAsia="仿宋_GB2312"/>
          <w:sz w:val="32"/>
          <w:szCs w:val="32"/>
        </w:rPr>
        <w:t>75.01</w:t>
      </w:r>
      <w:r>
        <w:rPr>
          <w:rFonts w:hint="eastAsia" w:ascii="仿宋_GB2312" w:hAnsi="仿宋" w:eastAsia="仿宋_GB2312" w:cs="仿宋_GB2312"/>
          <w:sz w:val="32"/>
          <w:szCs w:val="32"/>
        </w:rPr>
        <w:t>万元，足额用于发放资助学生的各种助学金。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项目目标完成情况数量指标做到应享尽享，质量指标做到足额及时补助，时效指标做到全部及时补助，成本指标做到财政拨款及时到位，经济效益为应受益人员全部及时得到补助，受益群体满意度为满意。</w:t>
      </w:r>
    </w:p>
    <w:p>
      <w:pPr>
        <w:pStyle w:val="24"/>
        <w:numPr>
          <w:ilvl w:val="0"/>
          <w:numId w:val="1"/>
        </w:numPr>
        <w:spacing w:line="580" w:lineRule="exact"/>
        <w:ind w:firstLineChars="0"/>
        <w:rPr>
          <w:rFonts w:ascii="黑体" w:hAnsi="黑体" w:eastAsia="黑体" w:cs="仿宋_GB2312"/>
          <w:sz w:val="32"/>
          <w:szCs w:val="32"/>
        </w:rPr>
      </w:pPr>
      <w:r>
        <w:rPr>
          <w:rFonts w:ascii="黑体" w:hAnsi="黑体" w:eastAsia="黑体" w:cs="仿宋_GB2312"/>
          <w:sz w:val="32"/>
          <w:szCs w:val="32"/>
        </w:rPr>
        <w:t>存在主要问题</w:t>
      </w:r>
    </w:p>
    <w:p>
      <w:pPr>
        <w:spacing w:line="580" w:lineRule="exact"/>
        <w:ind w:firstLine="707" w:firstLineChars="221"/>
        <w:rPr>
          <w:rFonts w:ascii="仿宋" w:hAnsi="仿宋" w:eastAsia="仿宋" w:cs="仿宋_GB2312"/>
          <w:sz w:val="32"/>
          <w:szCs w:val="32"/>
        </w:rPr>
      </w:pPr>
      <w:r>
        <w:rPr>
          <w:rFonts w:hint="eastAsia" w:ascii="仿宋_GB2312" w:hAnsi="仿宋_GB2312" w:eastAsia="仿宋_GB2312" w:cs="仿宋_GB2312"/>
          <w:sz w:val="32"/>
          <w:szCs w:val="32"/>
        </w:rPr>
        <w:t>学生在享受资助上卡时，提供卡号信息有误，导致不能及时得到资助。</w:t>
      </w:r>
    </w:p>
    <w:p>
      <w:pPr>
        <w:pStyle w:val="24"/>
        <w:numPr>
          <w:ilvl w:val="0"/>
          <w:numId w:val="1"/>
        </w:numPr>
        <w:spacing w:line="580" w:lineRule="exact"/>
        <w:ind w:firstLineChars="0"/>
        <w:rPr>
          <w:rFonts w:ascii="黑体" w:hAnsi="黑体" w:eastAsia="黑体" w:cs="仿宋_GB2312"/>
          <w:sz w:val="32"/>
          <w:szCs w:val="32"/>
        </w:rPr>
      </w:pPr>
      <w:r>
        <w:rPr>
          <w:rFonts w:ascii="黑体" w:hAnsi="黑体" w:eastAsia="黑体" w:cs="仿宋_GB2312"/>
          <w:sz w:val="32"/>
          <w:szCs w:val="32"/>
        </w:rPr>
        <w:t>相关措施建议</w:t>
      </w:r>
    </w:p>
    <w:p>
      <w:pPr>
        <w:spacing w:line="580" w:lineRule="exact"/>
        <w:ind w:left="640"/>
        <w:rPr>
          <w:rStyle w:val="25"/>
          <w:rFonts w:ascii="仿宋" w:hAnsi="仿宋" w:eastAsia="仿宋" w:cs="仿宋_GB2312"/>
          <w:b w:val="0"/>
          <w:bCs w:val="0"/>
          <w:kern w:val="2"/>
          <w:sz w:val="32"/>
          <w:szCs w:val="32"/>
        </w:rPr>
      </w:pPr>
      <w:r>
        <w:rPr>
          <w:rFonts w:hint="eastAsia" w:ascii="仿宋_GB2312" w:hAnsi="仿宋_GB2312" w:eastAsia="仿宋_GB2312" w:cs="仿宋_GB2312"/>
          <w:sz w:val="32"/>
          <w:szCs w:val="32"/>
        </w:rPr>
        <w:t>打卡前充分核对卡号，确保准确无误。</w:t>
      </w: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sectPr>
          <w:pgSz w:w="11906" w:h="16838"/>
          <w:pgMar w:top="1440" w:right="1800" w:bottom="1440" w:left="1800" w:header="851" w:footer="992" w:gutter="0"/>
          <w:cols w:space="425" w:num="1"/>
          <w:titlePg/>
          <w:docGrid w:type="lines" w:linePitch="312" w:charSpace="0"/>
        </w:sectPr>
      </w:pPr>
    </w:p>
    <w:p>
      <w:pPr>
        <w:pStyle w:val="3"/>
        <w:rPr>
          <w:rStyle w:val="25"/>
          <w:rFonts w:ascii="仿宋" w:hAnsi="仿宋" w:eastAsia="仿宋"/>
          <w:b w:val="0"/>
          <w:bCs w:val="0"/>
          <w:sz w:val="32"/>
          <w:szCs w:val="32"/>
        </w:rPr>
      </w:pPr>
      <w:bookmarkStart w:id="68" w:name="_Toc82683224"/>
      <w:r>
        <w:rPr>
          <w:rStyle w:val="25"/>
          <w:rFonts w:hint="eastAsia" w:ascii="仿宋" w:hAnsi="仿宋" w:eastAsia="仿宋"/>
          <w:b w:val="0"/>
          <w:bCs w:val="0"/>
          <w:sz w:val="32"/>
          <w:szCs w:val="32"/>
        </w:rPr>
        <w:t>附件4</w:t>
      </w:r>
      <w:bookmarkEnd w:id="68"/>
    </w:p>
    <w:p>
      <w:pPr>
        <w:widowControl/>
        <w:jc w:val="left"/>
        <w:rPr>
          <w:rFonts w:ascii="楷体_GB2312" w:hAnsi="宋体" w:eastAsia="楷体_GB2312" w:cs="宋体"/>
          <w:kern w:val="0"/>
          <w:sz w:val="24"/>
        </w:rPr>
      </w:pPr>
    </w:p>
    <w:tbl>
      <w:tblPr>
        <w:tblStyle w:val="12"/>
        <w:tblW w:w="14277" w:type="dxa"/>
        <w:tblInd w:w="0" w:type="dxa"/>
        <w:tblLayout w:type="autofit"/>
        <w:tblCellMar>
          <w:top w:w="0" w:type="dxa"/>
          <w:left w:w="108" w:type="dxa"/>
          <w:bottom w:w="0" w:type="dxa"/>
          <w:right w:w="108" w:type="dxa"/>
        </w:tblCellMar>
      </w:tblPr>
      <w:tblGrid>
        <w:gridCol w:w="878"/>
        <w:gridCol w:w="888"/>
        <w:gridCol w:w="1076"/>
        <w:gridCol w:w="2906"/>
        <w:gridCol w:w="5728"/>
        <w:gridCol w:w="1714"/>
        <w:gridCol w:w="1087"/>
      </w:tblGrid>
      <w:tr>
        <w:tblPrEx>
          <w:tblCellMar>
            <w:top w:w="0" w:type="dxa"/>
            <w:left w:w="108" w:type="dxa"/>
            <w:bottom w:w="0" w:type="dxa"/>
            <w:right w:w="108" w:type="dxa"/>
          </w:tblCellMar>
        </w:tblPrEx>
        <w:tc>
          <w:tcPr>
            <w:tcW w:w="13190" w:type="dxa"/>
            <w:gridSpan w:val="6"/>
            <w:tcBorders>
              <w:top w:val="nil"/>
              <w:left w:val="nil"/>
              <w:bottom w:val="single" w:color="000000" w:sz="4" w:space="0"/>
              <w:right w:val="nil"/>
            </w:tcBorders>
            <w:shd w:val="clear" w:color="auto" w:fill="FFFFFF"/>
            <w:noWrap/>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达川区麻柳镇檀木初级中学民生资金项目支出绩效评价得分表</w:t>
            </w:r>
          </w:p>
        </w:tc>
        <w:tc>
          <w:tcPr>
            <w:tcW w:w="1087"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一级指标</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二级指标</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指标解释</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考核要点</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计分标准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自评得分</w:t>
            </w:r>
          </w:p>
        </w:tc>
      </w:tr>
      <w:tr>
        <w:tblPrEx>
          <w:tblCellMar>
            <w:top w:w="0" w:type="dxa"/>
            <w:left w:w="108" w:type="dxa"/>
            <w:bottom w:w="0" w:type="dxa"/>
            <w:right w:w="108" w:type="dxa"/>
          </w:tblCellMar>
        </w:tblPrEx>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   入（20分）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立项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项目立项规范性（3分）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项目的申请、设立过程是否符合相关要求，用以反映和考核项目立项的规范情况。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①项目是否按照规定的程序申请设立；</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②所提交的文件、材料是否符合相关要求；</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③事前是否已经过必要的可行性研究、专家论证、风险评估、集体决策等。</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目标设置合理性（4分）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项目所设定的预期目标是否依据充分，是否符合客观实际，用以反映和考核项目目标与实施项目的相符情况。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①是否符合国家相关法律法规、国民经济发展规划和党委政府决策；</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②是否与项目实施单位或委托单位职责密切相关；</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③项目是否为促进事业发展所必需；</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④项目预期产出效益和效果是否符合正常的业绩水平。</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绩效指标明确性（3分）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依据绩效目标设定的绩效指标是否清晰、细化、可衡量等，用以反映和考核项目绩效目标的明细化情况。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①是否将项目绩效目标细化分解为具体的绩效指标；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②是否通过清晰、可衡量的指标值予以体现；</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③是否与项目年度任务数或计划数相对应；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④是否与预算确定的项目投资额或资金量相匹配。</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落实</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项目来源明确资金与计划投入资金的比率，用以反映和考核资金来源情况对项目实施的总体保障程度。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资金保障率=（已确定资金/计划投入资金）×100%。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已明确资金：指项目实施前已有明确资金来源的，包括提前下达的资金。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计划投入资金：一定时期（本年度或项目期）内计划投入到该项目的资金。</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大于80%，得满分；50%-80%，得3分；低于50%，不得分。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在规定时点内，实际到位资金与计划投入的资金的比率，用以反映和考核资金落实情况对项目实施的总体保障程度。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资金到位率=（实际到位资金/计划投入资金）×100%。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实际到位资金：一定时期（本年度或项目期）内实际落实到具体项目的资金。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计划投入资金：一定时期（本年度或项目期）内计划投入到具体项目的资金。</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快于工程进度的，得满分；低于工程进度在30%以内的，得3分；低于工程进度30%以上的，不得分。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管理制度健全性（4分）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项目实施单位的项目管理制度是否健全，用以反映和考核项目管理制度对项目顺利实施的保障情况。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①是否已制定或具有相应的项目管理制度；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②项目管理制度是否合法、合规、完整。</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制度执行有效性（6分）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项目实施是否符合相关项目管理规定，用以反映和考核项目管理制度的有效执行情况。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①是否遵守相关法律法规和业务管理规定；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②项目调整及支出调整手续是否完备；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③项目合同书、验收报告、技术鉴定等资料是否齐全并及时归档；</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④项目实施的人员条件、场地设备、信息支撑等是否落实到位。</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出现1处不按规定执行的，扣1分，直至扣完为止。</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888"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项目质量可控性（5分）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项目实施单位是否为达到项目质量要求而采取了必需的措施,用以反映和考核项目实施单位对项目质量的控制情况。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①是否已制定或具有相应的项目质量要求或标准；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②项目实施主体是否具体相应执行能力。</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③是否采取了相应的项目质量检查、验收等必需的控制措施或手段。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财务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控制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财务制度健全性（3分）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项目实施单位的财务制度是否健全，用以反映和考核财务管理制度对资金规范、安全运行的保障情况。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①是否已制定或具有相应的项目资金管理办法；</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②项目资金管理办法是否符合相关财务会计制度的规定。</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资金使用合规性（10）</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项目资金使用是否符合相关的财务管理制度规定，用以反映和考核项目资金的规范运行情况。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①是否符合国家财经法规和财务管理制度以及有关专项资金管理办法的规定；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②资金的拨付是否有完整的审批程序和手续；</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③项目的重大开支是否经过评估认证；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④是否符合项目预算批复或合同规定的用途；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⑤是否存在截留、挤占、挪用、虚列支出等情况。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出现1处资金使用管理违规现象，扣1分，直至扣完为止。</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财务监控有效性（2分）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项目实施单位是否为保障资金的安全、规范运行而采取了必要的监控措施，用以反映和考核项目实施单位对资金运行的控制情况。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①是否已制定或具有相应的监控机制；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②是否采取了相应的财务检查等必要的监控措施或手段。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出现制度缺失或财务违规现象，不得分。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项目实施的实际产出数与计划产出数的比率，用以反映和考核项目产出数量目标的实现程度。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目标差异率=（实际产出数-计划产出数）/计划产出数×100%。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实际产出数：一定时期（本年度或项目期）内项目实际产出的产品或提供的服务数量。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计划产出数：项目绩效目标确定的在一定时期（本年度或项目期）内计划产出的产品或提供的服务数量。</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若：-10%&lt;差异率&lt;15%，得满分;15%&lt;差异率&lt;30%，得3分;差异率&lt;-10%,差异率&gt;30%,不得分。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项目实际完成时间与计划完成时间的比率，用以反映和考核项目产出时效目标的实现程度。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项目进度率=实际完成时间/计划完成时间×100%。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实际完成时间：项目实施单位完成该项目实际所耗用的时间。</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计划完成时间：按照项目实施计划或相关规定完成该项目所需的时间。</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不超过100%，得满分；不超过120%,得3分；超过120%，不得分。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项目完成的质量达标产出数与实际产出数的比率，用以反映和考核项目产出质量目标的实现程度。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质量达标率=（质量达标产出数/实际产出数）×100%。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质量达标产出数：一定时期（本年度或项目期）内实际达到既定质量标准的产品或服务数量。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既定质量标准是指项目实施单位设立绩效目标时依据计划标准、行业标准、历史标准或其他标准而设定的绩效指标值。</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超过90%，得满分，超过70%，得3分；低于70%，不得分。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c>
          <w:tcPr>
            <w:tcW w:w="878" w:type="dxa"/>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888"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完成项目计划工作目标的实际节约成本与计划成本的比率，用以反映和考核项目的成本节约程度。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成本节约率=[（实际成本-计划成本）/计划成本]×100%。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实际成本：项目实施单位如期、保质、保量完成既定工作目标实际所耗费的支出。</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计划成本：项目实施单位为完成工作目标计划安排的支出，一般以项目预算为参考。</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低于0，得满分；不超过10%，得3分；超过10%，不得分。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   果（30分）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效益</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经济效益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项目实施对经济发展所带来的直接或间接影响情况。</w:t>
            </w:r>
          </w:p>
        </w:tc>
        <w:tc>
          <w:tcPr>
            <w:tcW w:w="5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此类指标为设置项目支出绩效评价指标时考虑的特性要素，可根据项目实际并结合绩效目标设立情况有选择的进行设置，并将其细化为相应的个性化指标，但特性指标设置不得低于3个。</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根据具体指标特性设置得分标准。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项目实施对社会发展所带来的直接或间接影响情况。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生态效益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项目实施对生态环境所带来的直接或间接影响情况。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可持续影响</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项目后续运行及成效发挥的可持续影响情况。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社会公众或服务对象满意度（5分）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社会公众或服务对象对项目实施效果的满意程度。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社会公众或服务对象是指因该项目实施而受到影响的部门（单位）、群体或个人；一般采取社会调查的方式；调查份数不低于10份。</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满意度&gt;90%，才得分，低于不得分。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bl>
    <w:p>
      <w:pPr>
        <w:spacing w:line="580" w:lineRule="exact"/>
        <w:ind w:left="640"/>
        <w:rPr>
          <w:rStyle w:val="25"/>
          <w:rFonts w:ascii="仿宋" w:hAnsi="仿宋" w:eastAsia="仿宋" w:cs="仿宋_GB2312"/>
          <w:b w:val="0"/>
          <w:bCs w:val="0"/>
          <w:kern w:val="2"/>
          <w:sz w:val="32"/>
          <w:szCs w:val="32"/>
        </w:rPr>
      </w:pPr>
    </w:p>
    <w:p>
      <w:pPr>
        <w:spacing w:line="600" w:lineRule="exact"/>
        <w:jc w:val="center"/>
        <w:outlineLvl w:val="0"/>
        <w:rPr>
          <w:rFonts w:ascii="黑体" w:hAnsi="黑体" w:eastAsia="黑体"/>
          <w:sz w:val="44"/>
          <w:szCs w:val="44"/>
        </w:rPr>
        <w:sectPr>
          <w:pgSz w:w="16838" w:h="11906" w:orient="landscape"/>
          <w:pgMar w:top="1800" w:right="1440" w:bottom="1800" w:left="1440" w:header="851" w:footer="992" w:gutter="0"/>
          <w:cols w:space="425" w:num="1"/>
          <w:titlePg/>
          <w:docGrid w:type="lines" w:linePitch="312" w:charSpace="0"/>
        </w:sectPr>
      </w:pPr>
    </w:p>
    <w:p>
      <w:pPr>
        <w:spacing w:line="600" w:lineRule="exact"/>
        <w:jc w:val="center"/>
        <w:outlineLvl w:val="0"/>
        <w:rPr>
          <w:rStyle w:val="25"/>
          <w:rFonts w:ascii="黑体" w:hAnsi="黑体" w:eastAsia="黑体"/>
          <w:b w:val="0"/>
        </w:rPr>
      </w:pPr>
      <w:bookmarkStart w:id="69" w:name="_Toc82683225"/>
      <w:r>
        <w:rPr>
          <w:rFonts w:hint="eastAsia" w:ascii="黑体" w:hAnsi="黑体" w:eastAsia="黑体"/>
          <w:sz w:val="44"/>
          <w:szCs w:val="44"/>
        </w:rPr>
        <w:t>第</w:t>
      </w:r>
      <w:r>
        <w:rPr>
          <w:rStyle w:val="25"/>
          <w:rFonts w:hint="eastAsia" w:ascii="黑体" w:hAnsi="黑体" w:eastAsia="黑体"/>
          <w:b w:val="0"/>
        </w:rPr>
        <w:t>五部分 附表</w:t>
      </w:r>
      <w:bookmarkEnd w:id="61"/>
      <w:bookmarkEnd w:id="69"/>
    </w:p>
    <w:p>
      <w:pPr>
        <w:spacing w:line="600" w:lineRule="exact"/>
        <w:jc w:val="center"/>
        <w:outlineLvl w:val="0"/>
        <w:rPr>
          <w:rFonts w:ascii="仿宋" w:hAnsi="仿宋" w:eastAsia="仿宋"/>
          <w:b/>
          <w:sz w:val="44"/>
          <w:szCs w:val="44"/>
        </w:rPr>
      </w:pPr>
    </w:p>
    <w:p>
      <w:pPr>
        <w:pStyle w:val="3"/>
        <w:rPr>
          <w:rFonts w:ascii="仿宋_GB2312" w:hAnsi="仿宋" w:eastAsia="仿宋_GB2312"/>
        </w:rPr>
      </w:pPr>
      <w:bookmarkStart w:id="70" w:name="_Toc82683226"/>
      <w:r>
        <w:rPr>
          <w:rFonts w:hint="eastAsia" w:ascii="仿宋_GB2312" w:hAnsi="仿宋" w:eastAsia="仿宋_GB2312"/>
          <w:b w:val="0"/>
        </w:rPr>
        <w:t>一、收</w:t>
      </w:r>
      <w:r>
        <w:rPr>
          <w:rStyle w:val="26"/>
          <w:rFonts w:hint="eastAsia" w:ascii="仿宋_GB2312" w:hAnsi="仿宋" w:eastAsia="仿宋_GB2312"/>
          <w:b w:val="0"/>
          <w:bCs w:val="0"/>
        </w:rPr>
        <w:t>入支出决算总表</w:t>
      </w:r>
      <w:bookmarkEnd w:id="70"/>
    </w:p>
    <w:p>
      <w:pPr>
        <w:pStyle w:val="3"/>
        <w:rPr>
          <w:rFonts w:ascii="仿宋_GB2312" w:hAnsi="仿宋" w:eastAsia="仿宋_GB2312"/>
        </w:rPr>
      </w:pPr>
      <w:bookmarkStart w:id="71" w:name="_Toc82683227"/>
      <w:r>
        <w:rPr>
          <w:rFonts w:hint="eastAsia" w:ascii="仿宋_GB2312" w:hAnsi="仿宋" w:eastAsia="仿宋_GB2312"/>
          <w:b w:val="0"/>
        </w:rPr>
        <w:t>二、收</w:t>
      </w:r>
      <w:r>
        <w:rPr>
          <w:rStyle w:val="26"/>
          <w:rFonts w:hint="eastAsia" w:ascii="仿宋_GB2312" w:hAnsi="仿宋" w:eastAsia="仿宋_GB2312"/>
          <w:b w:val="0"/>
          <w:bCs w:val="0"/>
        </w:rPr>
        <w:t>入总表</w:t>
      </w:r>
      <w:bookmarkEnd w:id="71"/>
    </w:p>
    <w:p>
      <w:pPr>
        <w:pStyle w:val="3"/>
        <w:rPr>
          <w:rFonts w:ascii="仿宋_GB2312" w:hAnsi="仿宋" w:eastAsia="仿宋_GB2312"/>
        </w:rPr>
      </w:pPr>
      <w:bookmarkStart w:id="72" w:name="_Toc82683228"/>
      <w:r>
        <w:rPr>
          <w:rStyle w:val="26"/>
          <w:rFonts w:hint="eastAsia" w:ascii="仿宋_GB2312" w:hAnsi="仿宋" w:eastAsia="仿宋_GB2312"/>
          <w:b w:val="0"/>
          <w:bCs w:val="0"/>
        </w:rPr>
        <w:t>三、</w:t>
      </w:r>
      <w:r>
        <w:rPr>
          <w:rFonts w:hint="eastAsia" w:ascii="仿宋_GB2312" w:hAnsi="仿宋" w:eastAsia="仿宋_GB2312"/>
          <w:b w:val="0"/>
        </w:rPr>
        <w:t>支</w:t>
      </w:r>
      <w:r>
        <w:rPr>
          <w:rStyle w:val="26"/>
          <w:rFonts w:hint="eastAsia" w:ascii="仿宋_GB2312" w:hAnsi="仿宋" w:eastAsia="仿宋_GB2312"/>
          <w:b w:val="0"/>
          <w:bCs w:val="0"/>
        </w:rPr>
        <w:t>出总表</w:t>
      </w:r>
      <w:bookmarkEnd w:id="72"/>
    </w:p>
    <w:p>
      <w:pPr>
        <w:pStyle w:val="3"/>
        <w:rPr>
          <w:rFonts w:ascii="仿宋_GB2312" w:hAnsi="仿宋" w:eastAsia="仿宋_GB2312"/>
          <w:b w:val="0"/>
        </w:rPr>
      </w:pPr>
      <w:bookmarkStart w:id="73" w:name="_Toc82683229"/>
      <w:r>
        <w:rPr>
          <w:rStyle w:val="26"/>
          <w:rFonts w:hint="eastAsia" w:ascii="仿宋_GB2312" w:hAnsi="仿宋" w:eastAsia="仿宋_GB2312"/>
          <w:b w:val="0"/>
          <w:bCs w:val="0"/>
        </w:rPr>
        <w:t>四、</w:t>
      </w:r>
      <w:r>
        <w:rPr>
          <w:rFonts w:hint="eastAsia" w:ascii="仿宋_GB2312" w:hAnsi="仿宋" w:eastAsia="仿宋_GB2312"/>
          <w:b w:val="0"/>
        </w:rPr>
        <w:t>财</w:t>
      </w:r>
      <w:r>
        <w:rPr>
          <w:rStyle w:val="26"/>
          <w:rFonts w:hint="eastAsia" w:ascii="仿宋_GB2312" w:hAnsi="仿宋" w:eastAsia="仿宋_GB2312"/>
          <w:b w:val="0"/>
          <w:bCs w:val="0"/>
        </w:rPr>
        <w:t>政拨款收入支出决算总表</w:t>
      </w:r>
      <w:bookmarkEnd w:id="73"/>
    </w:p>
    <w:p>
      <w:pPr>
        <w:pStyle w:val="3"/>
        <w:rPr>
          <w:rFonts w:ascii="仿宋_GB2312" w:hAnsi="仿宋" w:eastAsia="仿宋_GB2312"/>
        </w:rPr>
      </w:pPr>
      <w:bookmarkStart w:id="74" w:name="_Toc82683230"/>
      <w:r>
        <w:rPr>
          <w:rStyle w:val="26"/>
          <w:rFonts w:hint="eastAsia" w:ascii="仿宋_GB2312" w:hAnsi="仿宋" w:eastAsia="仿宋_GB2312"/>
          <w:b w:val="0"/>
          <w:bCs w:val="0"/>
        </w:rPr>
        <w:t>五、</w:t>
      </w:r>
      <w:r>
        <w:rPr>
          <w:rFonts w:hint="eastAsia" w:ascii="仿宋_GB2312" w:hAnsi="仿宋" w:eastAsia="仿宋_GB2312"/>
          <w:b w:val="0"/>
        </w:rPr>
        <w:t>财</w:t>
      </w:r>
      <w:r>
        <w:rPr>
          <w:rStyle w:val="26"/>
          <w:rFonts w:hint="eastAsia" w:ascii="仿宋_GB2312" w:hAnsi="仿宋" w:eastAsia="仿宋_GB2312"/>
          <w:b w:val="0"/>
          <w:bCs w:val="0"/>
        </w:rPr>
        <w:t>政拨款支出决算明细表（政府经济分类科目）</w:t>
      </w:r>
      <w:bookmarkEnd w:id="74"/>
    </w:p>
    <w:p>
      <w:pPr>
        <w:pStyle w:val="3"/>
        <w:rPr>
          <w:rFonts w:ascii="仿宋_GB2312" w:hAnsi="仿宋" w:eastAsia="仿宋_GB2312"/>
        </w:rPr>
      </w:pPr>
      <w:bookmarkStart w:id="75" w:name="_Toc82683231"/>
      <w:r>
        <w:rPr>
          <w:rStyle w:val="26"/>
          <w:rFonts w:hint="eastAsia" w:ascii="仿宋_GB2312" w:hAnsi="仿宋" w:eastAsia="仿宋_GB2312"/>
          <w:b w:val="0"/>
          <w:bCs w:val="0"/>
        </w:rPr>
        <w:t>六、</w:t>
      </w:r>
      <w:r>
        <w:rPr>
          <w:rFonts w:hint="eastAsia" w:ascii="仿宋_GB2312" w:hAnsi="仿宋" w:eastAsia="仿宋_GB2312"/>
          <w:b w:val="0"/>
        </w:rPr>
        <w:t>一</w:t>
      </w:r>
      <w:r>
        <w:rPr>
          <w:rStyle w:val="26"/>
          <w:rFonts w:hint="eastAsia" w:ascii="仿宋_GB2312" w:hAnsi="仿宋" w:eastAsia="仿宋_GB2312"/>
          <w:b w:val="0"/>
          <w:bCs w:val="0"/>
        </w:rPr>
        <w:t>般公共预算财政拨款支出决算表</w:t>
      </w:r>
      <w:bookmarkEnd w:id="75"/>
    </w:p>
    <w:p>
      <w:pPr>
        <w:pStyle w:val="3"/>
        <w:rPr>
          <w:rFonts w:ascii="仿宋_GB2312" w:hAnsi="仿宋" w:eastAsia="仿宋_GB2312"/>
        </w:rPr>
      </w:pPr>
      <w:bookmarkStart w:id="76" w:name="_Toc82683232"/>
      <w:r>
        <w:rPr>
          <w:rStyle w:val="26"/>
          <w:rFonts w:hint="eastAsia" w:ascii="仿宋_GB2312" w:hAnsi="仿宋" w:eastAsia="仿宋_GB2312"/>
          <w:b w:val="0"/>
          <w:bCs w:val="0"/>
        </w:rPr>
        <w:t>七、</w:t>
      </w:r>
      <w:r>
        <w:rPr>
          <w:rFonts w:hint="eastAsia" w:ascii="仿宋_GB2312" w:hAnsi="仿宋" w:eastAsia="仿宋_GB2312"/>
          <w:b w:val="0"/>
        </w:rPr>
        <w:t>一</w:t>
      </w:r>
      <w:r>
        <w:rPr>
          <w:rStyle w:val="26"/>
          <w:rFonts w:hint="eastAsia" w:ascii="仿宋_GB2312" w:hAnsi="仿宋" w:eastAsia="仿宋_GB2312"/>
          <w:b w:val="0"/>
          <w:bCs w:val="0"/>
        </w:rPr>
        <w:t>般公共预算财政拨款支出决算明细表</w:t>
      </w:r>
      <w:bookmarkEnd w:id="76"/>
    </w:p>
    <w:p>
      <w:pPr>
        <w:pStyle w:val="3"/>
        <w:rPr>
          <w:rFonts w:ascii="仿宋_GB2312" w:hAnsi="仿宋" w:eastAsia="仿宋_GB2312"/>
        </w:rPr>
      </w:pPr>
      <w:bookmarkStart w:id="77" w:name="_Toc82683233"/>
      <w:r>
        <w:rPr>
          <w:rStyle w:val="26"/>
          <w:rFonts w:hint="eastAsia" w:ascii="仿宋_GB2312" w:hAnsi="仿宋" w:eastAsia="仿宋_GB2312"/>
          <w:b w:val="0"/>
          <w:bCs w:val="0"/>
        </w:rPr>
        <w:t>八、</w:t>
      </w:r>
      <w:r>
        <w:rPr>
          <w:rFonts w:hint="eastAsia" w:ascii="仿宋_GB2312" w:hAnsi="仿宋" w:eastAsia="仿宋_GB2312"/>
          <w:b w:val="0"/>
        </w:rPr>
        <w:t>一</w:t>
      </w:r>
      <w:r>
        <w:rPr>
          <w:rStyle w:val="26"/>
          <w:rFonts w:hint="eastAsia" w:ascii="仿宋_GB2312" w:hAnsi="仿宋" w:eastAsia="仿宋_GB2312"/>
          <w:b w:val="0"/>
          <w:bCs w:val="0"/>
        </w:rPr>
        <w:t>般公共预算财政拨款基本支出决算表</w:t>
      </w:r>
      <w:bookmarkEnd w:id="77"/>
    </w:p>
    <w:p>
      <w:pPr>
        <w:pStyle w:val="3"/>
        <w:rPr>
          <w:rFonts w:ascii="仿宋_GB2312" w:hAnsi="仿宋" w:eastAsia="仿宋_GB2312"/>
        </w:rPr>
      </w:pPr>
      <w:bookmarkStart w:id="78" w:name="_Toc82683234"/>
      <w:r>
        <w:rPr>
          <w:rStyle w:val="26"/>
          <w:rFonts w:hint="eastAsia" w:ascii="仿宋_GB2312" w:hAnsi="仿宋" w:eastAsia="仿宋_GB2312"/>
          <w:b w:val="0"/>
          <w:bCs w:val="0"/>
        </w:rPr>
        <w:t>九、</w:t>
      </w:r>
      <w:r>
        <w:rPr>
          <w:rFonts w:hint="eastAsia" w:ascii="仿宋_GB2312" w:hAnsi="仿宋" w:eastAsia="仿宋_GB2312"/>
          <w:b w:val="0"/>
        </w:rPr>
        <w:t>一</w:t>
      </w:r>
      <w:r>
        <w:rPr>
          <w:rStyle w:val="26"/>
          <w:rFonts w:hint="eastAsia" w:ascii="仿宋_GB2312" w:hAnsi="仿宋" w:eastAsia="仿宋_GB2312"/>
          <w:b w:val="0"/>
          <w:bCs w:val="0"/>
        </w:rPr>
        <w:t>般公共预算财政拨款项目支出决算表</w:t>
      </w:r>
      <w:bookmarkEnd w:id="78"/>
    </w:p>
    <w:p>
      <w:pPr>
        <w:pStyle w:val="3"/>
        <w:rPr>
          <w:rFonts w:ascii="仿宋_GB2312" w:hAnsi="仿宋" w:eastAsia="仿宋_GB2312"/>
        </w:rPr>
      </w:pPr>
      <w:bookmarkStart w:id="79" w:name="_Toc82683235"/>
      <w:r>
        <w:rPr>
          <w:rStyle w:val="26"/>
          <w:rFonts w:hint="eastAsia" w:ascii="仿宋_GB2312" w:hAnsi="仿宋" w:eastAsia="仿宋_GB2312"/>
          <w:b w:val="0"/>
          <w:bCs w:val="0"/>
        </w:rPr>
        <w:t>十、</w:t>
      </w:r>
      <w:r>
        <w:rPr>
          <w:rFonts w:hint="eastAsia" w:ascii="仿宋_GB2312" w:hAnsi="仿宋" w:eastAsia="仿宋_GB2312"/>
          <w:b w:val="0"/>
        </w:rPr>
        <w:t>一</w:t>
      </w:r>
      <w:r>
        <w:rPr>
          <w:rStyle w:val="26"/>
          <w:rFonts w:hint="eastAsia" w:ascii="仿宋_GB2312" w:hAnsi="仿宋" w:eastAsia="仿宋_GB2312"/>
          <w:b w:val="0"/>
          <w:bCs w:val="0"/>
        </w:rPr>
        <w:t>般公共预算财政拨款“三公”经费支出决算表</w:t>
      </w:r>
      <w:bookmarkEnd w:id="79"/>
    </w:p>
    <w:p>
      <w:pPr>
        <w:pStyle w:val="3"/>
        <w:rPr>
          <w:rFonts w:ascii="仿宋_GB2312" w:hAnsi="仿宋" w:eastAsia="仿宋_GB2312"/>
        </w:rPr>
      </w:pPr>
      <w:bookmarkStart w:id="80" w:name="_Toc82683236"/>
      <w:r>
        <w:rPr>
          <w:rStyle w:val="26"/>
          <w:rFonts w:hint="eastAsia" w:ascii="仿宋_GB2312" w:hAnsi="仿宋" w:eastAsia="仿宋_GB2312"/>
          <w:b w:val="0"/>
          <w:bCs w:val="0"/>
        </w:rPr>
        <w:t>十一、</w:t>
      </w:r>
      <w:r>
        <w:rPr>
          <w:rFonts w:hint="eastAsia" w:ascii="仿宋_GB2312" w:hAnsi="仿宋" w:eastAsia="仿宋_GB2312"/>
          <w:b w:val="0"/>
        </w:rPr>
        <w:t>政</w:t>
      </w:r>
      <w:r>
        <w:rPr>
          <w:rStyle w:val="26"/>
          <w:rFonts w:hint="eastAsia" w:ascii="仿宋_GB2312" w:hAnsi="仿宋" w:eastAsia="仿宋_GB2312"/>
          <w:b w:val="0"/>
          <w:bCs w:val="0"/>
        </w:rPr>
        <w:t>府性基金预算财政拨款收入支出决算表</w:t>
      </w:r>
      <w:bookmarkEnd w:id="80"/>
    </w:p>
    <w:p>
      <w:pPr>
        <w:pStyle w:val="3"/>
        <w:rPr>
          <w:rFonts w:ascii="仿宋_GB2312" w:hAnsi="仿宋" w:eastAsia="仿宋_GB2312"/>
        </w:rPr>
      </w:pPr>
      <w:bookmarkStart w:id="81" w:name="_Toc82683237"/>
      <w:r>
        <w:rPr>
          <w:rStyle w:val="26"/>
          <w:rFonts w:hint="eastAsia" w:ascii="仿宋_GB2312" w:hAnsi="仿宋" w:eastAsia="仿宋_GB2312"/>
          <w:b w:val="0"/>
          <w:bCs w:val="0"/>
        </w:rPr>
        <w:t>十二、</w:t>
      </w:r>
      <w:r>
        <w:rPr>
          <w:rFonts w:hint="eastAsia" w:ascii="仿宋_GB2312" w:hAnsi="仿宋" w:eastAsia="仿宋_GB2312"/>
          <w:b w:val="0"/>
        </w:rPr>
        <w:t>政</w:t>
      </w:r>
      <w:r>
        <w:rPr>
          <w:rStyle w:val="26"/>
          <w:rFonts w:hint="eastAsia" w:ascii="仿宋_GB2312" w:hAnsi="仿宋" w:eastAsia="仿宋_GB2312"/>
          <w:b w:val="0"/>
          <w:bCs w:val="0"/>
        </w:rPr>
        <w:t>府性基金预算财政拨款“三公”经费支出决算表</w:t>
      </w:r>
      <w:bookmarkEnd w:id="81"/>
    </w:p>
    <w:p>
      <w:pPr>
        <w:pStyle w:val="3"/>
        <w:rPr>
          <w:rStyle w:val="26"/>
          <w:rFonts w:ascii="仿宋_GB2312" w:hAnsi="仿宋" w:eastAsia="仿宋_GB2312"/>
          <w:b w:val="0"/>
          <w:bCs w:val="0"/>
        </w:rPr>
      </w:pPr>
      <w:bookmarkStart w:id="82" w:name="_Toc82683238"/>
      <w:r>
        <w:rPr>
          <w:rStyle w:val="26"/>
          <w:rFonts w:hint="eastAsia" w:ascii="仿宋_GB2312" w:hAnsi="仿宋" w:eastAsia="仿宋_GB2312"/>
          <w:b w:val="0"/>
          <w:bCs w:val="0"/>
        </w:rPr>
        <w:t>十三、国有资本经营预算财政拨款收入支出决算表</w:t>
      </w:r>
      <w:bookmarkEnd w:id="82"/>
    </w:p>
    <w:p>
      <w:pPr>
        <w:pStyle w:val="3"/>
        <w:rPr>
          <w:rFonts w:ascii="仿宋_GB2312" w:hAnsi="仿宋" w:eastAsia="仿宋_GB2312"/>
        </w:rPr>
      </w:pPr>
      <w:bookmarkStart w:id="83" w:name="_Toc82683239"/>
      <w:r>
        <w:rPr>
          <w:rStyle w:val="26"/>
          <w:rFonts w:hint="eastAsia" w:ascii="仿宋_GB2312" w:hAnsi="仿宋" w:eastAsia="仿宋_GB2312"/>
          <w:b w:val="0"/>
          <w:bCs w:val="0"/>
        </w:rPr>
        <w:t>十四、国有资本经营预算财政拨款支出决算表</w:t>
      </w:r>
      <w:bookmarkEnd w:id="83"/>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992970"/>
      <w:docPartObj>
        <w:docPartGallery w:val="AutoText"/>
      </w:docPartObj>
    </w:sdtPr>
    <w:sdtContent>
      <w:p>
        <w:pPr>
          <w:pStyle w:val="8"/>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992971"/>
      <w:docPartObj>
        <w:docPartGallery w:val="AutoText"/>
      </w:docPartObj>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jJlMDAxZWM3ODlhMjQ3MTc0NWE5ODU2MDA2MzQifQ=="/>
  </w:docVars>
  <w:rsids>
    <w:rsidRoot w:val="00F1361C"/>
    <w:rsid w:val="000050EE"/>
    <w:rsid w:val="000129ED"/>
    <w:rsid w:val="000222C6"/>
    <w:rsid w:val="000236CD"/>
    <w:rsid w:val="0002549F"/>
    <w:rsid w:val="000317A9"/>
    <w:rsid w:val="00034B62"/>
    <w:rsid w:val="000433AD"/>
    <w:rsid w:val="0006487A"/>
    <w:rsid w:val="00065F8F"/>
    <w:rsid w:val="00066AF6"/>
    <w:rsid w:val="000768F2"/>
    <w:rsid w:val="00084476"/>
    <w:rsid w:val="00087BCE"/>
    <w:rsid w:val="0009184B"/>
    <w:rsid w:val="0009593C"/>
    <w:rsid w:val="000A76B5"/>
    <w:rsid w:val="000B047F"/>
    <w:rsid w:val="000B259E"/>
    <w:rsid w:val="000B5923"/>
    <w:rsid w:val="000B5A48"/>
    <w:rsid w:val="000B6910"/>
    <w:rsid w:val="000B6FF3"/>
    <w:rsid w:val="000C209B"/>
    <w:rsid w:val="000C3467"/>
    <w:rsid w:val="000C3CA6"/>
    <w:rsid w:val="000C621C"/>
    <w:rsid w:val="000C72B3"/>
    <w:rsid w:val="000D1267"/>
    <w:rsid w:val="000D1BE9"/>
    <w:rsid w:val="000D1D50"/>
    <w:rsid w:val="000D293F"/>
    <w:rsid w:val="000D552F"/>
    <w:rsid w:val="000D5782"/>
    <w:rsid w:val="000D724A"/>
    <w:rsid w:val="000E6613"/>
    <w:rsid w:val="000E7119"/>
    <w:rsid w:val="000E7AF6"/>
    <w:rsid w:val="000F29FC"/>
    <w:rsid w:val="00114E9B"/>
    <w:rsid w:val="00140514"/>
    <w:rsid w:val="00140A23"/>
    <w:rsid w:val="00144601"/>
    <w:rsid w:val="00144650"/>
    <w:rsid w:val="0014729F"/>
    <w:rsid w:val="00157BAB"/>
    <w:rsid w:val="001654D1"/>
    <w:rsid w:val="00180AC2"/>
    <w:rsid w:val="0018106D"/>
    <w:rsid w:val="00185F81"/>
    <w:rsid w:val="001877A7"/>
    <w:rsid w:val="0019150A"/>
    <w:rsid w:val="00191536"/>
    <w:rsid w:val="00196687"/>
    <w:rsid w:val="001970B4"/>
    <w:rsid w:val="001A712A"/>
    <w:rsid w:val="001C05D7"/>
    <w:rsid w:val="001C0962"/>
    <w:rsid w:val="001C1DF1"/>
    <w:rsid w:val="001D7531"/>
    <w:rsid w:val="001E737D"/>
    <w:rsid w:val="001F0592"/>
    <w:rsid w:val="001F6DFC"/>
    <w:rsid w:val="001F7506"/>
    <w:rsid w:val="001F7B9D"/>
    <w:rsid w:val="002006CD"/>
    <w:rsid w:val="00202B36"/>
    <w:rsid w:val="00204B7A"/>
    <w:rsid w:val="0021101A"/>
    <w:rsid w:val="00215187"/>
    <w:rsid w:val="00216C21"/>
    <w:rsid w:val="00220536"/>
    <w:rsid w:val="00235629"/>
    <w:rsid w:val="0024287B"/>
    <w:rsid w:val="00244457"/>
    <w:rsid w:val="002520F0"/>
    <w:rsid w:val="00254518"/>
    <w:rsid w:val="00255A0C"/>
    <w:rsid w:val="00257E70"/>
    <w:rsid w:val="00260C38"/>
    <w:rsid w:val="002616C0"/>
    <w:rsid w:val="002617DA"/>
    <w:rsid w:val="002662AA"/>
    <w:rsid w:val="0027365B"/>
    <w:rsid w:val="00275891"/>
    <w:rsid w:val="002800D1"/>
    <w:rsid w:val="00280496"/>
    <w:rsid w:val="00295495"/>
    <w:rsid w:val="002956A6"/>
    <w:rsid w:val="002A09B6"/>
    <w:rsid w:val="002A391B"/>
    <w:rsid w:val="002B009B"/>
    <w:rsid w:val="002B2613"/>
    <w:rsid w:val="002B72EE"/>
    <w:rsid w:val="002C2306"/>
    <w:rsid w:val="002D0309"/>
    <w:rsid w:val="002D76EF"/>
    <w:rsid w:val="002E0795"/>
    <w:rsid w:val="002F1818"/>
    <w:rsid w:val="002F567B"/>
    <w:rsid w:val="002F6F6E"/>
    <w:rsid w:val="0031524A"/>
    <w:rsid w:val="00315E55"/>
    <w:rsid w:val="003216A9"/>
    <w:rsid w:val="00326C11"/>
    <w:rsid w:val="00335AEF"/>
    <w:rsid w:val="00362618"/>
    <w:rsid w:val="00366360"/>
    <w:rsid w:val="0037013F"/>
    <w:rsid w:val="00380C92"/>
    <w:rsid w:val="0038245D"/>
    <w:rsid w:val="0038593C"/>
    <w:rsid w:val="003A484F"/>
    <w:rsid w:val="003B06F3"/>
    <w:rsid w:val="003B0BE0"/>
    <w:rsid w:val="003B0C1B"/>
    <w:rsid w:val="003B0C3C"/>
    <w:rsid w:val="003B2C39"/>
    <w:rsid w:val="003B3D42"/>
    <w:rsid w:val="003B6698"/>
    <w:rsid w:val="003B688C"/>
    <w:rsid w:val="003C0291"/>
    <w:rsid w:val="003C39AE"/>
    <w:rsid w:val="003C7B60"/>
    <w:rsid w:val="003D1C72"/>
    <w:rsid w:val="003D1CEF"/>
    <w:rsid w:val="003D1FB2"/>
    <w:rsid w:val="003D66DA"/>
    <w:rsid w:val="003E0A00"/>
    <w:rsid w:val="003E1310"/>
    <w:rsid w:val="003E6F55"/>
    <w:rsid w:val="003F68F7"/>
    <w:rsid w:val="00406254"/>
    <w:rsid w:val="00410A16"/>
    <w:rsid w:val="00420B32"/>
    <w:rsid w:val="004223DE"/>
    <w:rsid w:val="00423AE8"/>
    <w:rsid w:val="00433339"/>
    <w:rsid w:val="00434489"/>
    <w:rsid w:val="00435B25"/>
    <w:rsid w:val="00437085"/>
    <w:rsid w:val="00441119"/>
    <w:rsid w:val="00443880"/>
    <w:rsid w:val="00443F70"/>
    <w:rsid w:val="0044445D"/>
    <w:rsid w:val="004464F4"/>
    <w:rsid w:val="00461766"/>
    <w:rsid w:val="00461BB5"/>
    <w:rsid w:val="00471401"/>
    <w:rsid w:val="004720A1"/>
    <w:rsid w:val="00473F31"/>
    <w:rsid w:val="0048263A"/>
    <w:rsid w:val="00485BE4"/>
    <w:rsid w:val="00487E5D"/>
    <w:rsid w:val="004942E8"/>
    <w:rsid w:val="004A61A5"/>
    <w:rsid w:val="004A711F"/>
    <w:rsid w:val="004B199D"/>
    <w:rsid w:val="004B4690"/>
    <w:rsid w:val="004C0C39"/>
    <w:rsid w:val="004D184B"/>
    <w:rsid w:val="004E0A2D"/>
    <w:rsid w:val="004E206B"/>
    <w:rsid w:val="004E6DF7"/>
    <w:rsid w:val="004F0FBD"/>
    <w:rsid w:val="004F1C74"/>
    <w:rsid w:val="004F6AF8"/>
    <w:rsid w:val="00505A47"/>
    <w:rsid w:val="00506EA7"/>
    <w:rsid w:val="005071A0"/>
    <w:rsid w:val="00512FDA"/>
    <w:rsid w:val="0052008F"/>
    <w:rsid w:val="00520DA0"/>
    <w:rsid w:val="0054057E"/>
    <w:rsid w:val="00541E1C"/>
    <w:rsid w:val="00551B24"/>
    <w:rsid w:val="005664BB"/>
    <w:rsid w:val="0057481D"/>
    <w:rsid w:val="0057680D"/>
    <w:rsid w:val="0058486E"/>
    <w:rsid w:val="00595FB0"/>
    <w:rsid w:val="005A570F"/>
    <w:rsid w:val="005D0150"/>
    <w:rsid w:val="005D1C8B"/>
    <w:rsid w:val="005D5CED"/>
    <w:rsid w:val="005D7934"/>
    <w:rsid w:val="005F1A4C"/>
    <w:rsid w:val="005F27DC"/>
    <w:rsid w:val="005F3F95"/>
    <w:rsid w:val="005F6EF8"/>
    <w:rsid w:val="00600691"/>
    <w:rsid w:val="0060123F"/>
    <w:rsid w:val="00605688"/>
    <w:rsid w:val="006070AF"/>
    <w:rsid w:val="00607E6C"/>
    <w:rsid w:val="006101B1"/>
    <w:rsid w:val="00614E44"/>
    <w:rsid w:val="00622830"/>
    <w:rsid w:val="00630AEF"/>
    <w:rsid w:val="006325F8"/>
    <w:rsid w:val="00634C9A"/>
    <w:rsid w:val="00643146"/>
    <w:rsid w:val="006440E4"/>
    <w:rsid w:val="00646E94"/>
    <w:rsid w:val="00652217"/>
    <w:rsid w:val="006531C3"/>
    <w:rsid w:val="00657D81"/>
    <w:rsid w:val="0066343B"/>
    <w:rsid w:val="00664777"/>
    <w:rsid w:val="00670089"/>
    <w:rsid w:val="0067065A"/>
    <w:rsid w:val="00673868"/>
    <w:rsid w:val="006746B6"/>
    <w:rsid w:val="006748A4"/>
    <w:rsid w:val="00680881"/>
    <w:rsid w:val="00683E73"/>
    <w:rsid w:val="00686BC8"/>
    <w:rsid w:val="00691DDE"/>
    <w:rsid w:val="006932FC"/>
    <w:rsid w:val="006A3141"/>
    <w:rsid w:val="006A5E34"/>
    <w:rsid w:val="006B2422"/>
    <w:rsid w:val="006B2B9A"/>
    <w:rsid w:val="006B707A"/>
    <w:rsid w:val="006C1937"/>
    <w:rsid w:val="006D3EE4"/>
    <w:rsid w:val="006E2588"/>
    <w:rsid w:val="006F020C"/>
    <w:rsid w:val="006F3612"/>
    <w:rsid w:val="00705901"/>
    <w:rsid w:val="0070722C"/>
    <w:rsid w:val="007127B7"/>
    <w:rsid w:val="007152BB"/>
    <w:rsid w:val="00715DC7"/>
    <w:rsid w:val="00716D18"/>
    <w:rsid w:val="0072209D"/>
    <w:rsid w:val="00732457"/>
    <w:rsid w:val="0073434F"/>
    <w:rsid w:val="00734AE8"/>
    <w:rsid w:val="00735393"/>
    <w:rsid w:val="00740C28"/>
    <w:rsid w:val="007416B6"/>
    <w:rsid w:val="007428E3"/>
    <w:rsid w:val="00746F48"/>
    <w:rsid w:val="0075404D"/>
    <w:rsid w:val="00760236"/>
    <w:rsid w:val="0076182A"/>
    <w:rsid w:val="0076191E"/>
    <w:rsid w:val="007639E2"/>
    <w:rsid w:val="007677BF"/>
    <w:rsid w:val="00767B7E"/>
    <w:rsid w:val="00772045"/>
    <w:rsid w:val="007770C3"/>
    <w:rsid w:val="00784D24"/>
    <w:rsid w:val="00785FBA"/>
    <w:rsid w:val="007868B6"/>
    <w:rsid w:val="00786E4A"/>
    <w:rsid w:val="007875EB"/>
    <w:rsid w:val="00790A05"/>
    <w:rsid w:val="0079426B"/>
    <w:rsid w:val="007B0E55"/>
    <w:rsid w:val="007B3C57"/>
    <w:rsid w:val="007C1CAF"/>
    <w:rsid w:val="007C465A"/>
    <w:rsid w:val="007C786D"/>
    <w:rsid w:val="007D312A"/>
    <w:rsid w:val="007D3385"/>
    <w:rsid w:val="007D3F19"/>
    <w:rsid w:val="007D674E"/>
    <w:rsid w:val="007E23B0"/>
    <w:rsid w:val="007E7583"/>
    <w:rsid w:val="007F1991"/>
    <w:rsid w:val="007F2C2F"/>
    <w:rsid w:val="007F448A"/>
    <w:rsid w:val="007F55FC"/>
    <w:rsid w:val="007F5665"/>
    <w:rsid w:val="00800112"/>
    <w:rsid w:val="00807BA9"/>
    <w:rsid w:val="008253BB"/>
    <w:rsid w:val="00833C26"/>
    <w:rsid w:val="0083706E"/>
    <w:rsid w:val="008423A5"/>
    <w:rsid w:val="00844DE7"/>
    <w:rsid w:val="00847B7A"/>
    <w:rsid w:val="00850625"/>
    <w:rsid w:val="00853718"/>
    <w:rsid w:val="00855221"/>
    <w:rsid w:val="00860645"/>
    <w:rsid w:val="00860992"/>
    <w:rsid w:val="00871F71"/>
    <w:rsid w:val="008778B6"/>
    <w:rsid w:val="008819A2"/>
    <w:rsid w:val="00881A04"/>
    <w:rsid w:val="00885AF4"/>
    <w:rsid w:val="00885EB2"/>
    <w:rsid w:val="00892067"/>
    <w:rsid w:val="008939CD"/>
    <w:rsid w:val="008956F9"/>
    <w:rsid w:val="008B31D5"/>
    <w:rsid w:val="008B666D"/>
    <w:rsid w:val="008B768C"/>
    <w:rsid w:val="008C4DB1"/>
    <w:rsid w:val="008C4EAF"/>
    <w:rsid w:val="008C5176"/>
    <w:rsid w:val="008C7FD0"/>
    <w:rsid w:val="008D4484"/>
    <w:rsid w:val="008E1DE7"/>
    <w:rsid w:val="008E707C"/>
    <w:rsid w:val="008F2472"/>
    <w:rsid w:val="008F2D37"/>
    <w:rsid w:val="008F4482"/>
    <w:rsid w:val="008F627A"/>
    <w:rsid w:val="00900B08"/>
    <w:rsid w:val="00901EBB"/>
    <w:rsid w:val="00902155"/>
    <w:rsid w:val="00902FA3"/>
    <w:rsid w:val="0091525E"/>
    <w:rsid w:val="00922F90"/>
    <w:rsid w:val="00923564"/>
    <w:rsid w:val="0092392E"/>
    <w:rsid w:val="00931537"/>
    <w:rsid w:val="009315F9"/>
    <w:rsid w:val="0094470B"/>
    <w:rsid w:val="00946945"/>
    <w:rsid w:val="0095037A"/>
    <w:rsid w:val="00951248"/>
    <w:rsid w:val="0095152F"/>
    <w:rsid w:val="00954C49"/>
    <w:rsid w:val="00957DFB"/>
    <w:rsid w:val="00961B6F"/>
    <w:rsid w:val="00961E76"/>
    <w:rsid w:val="0096407E"/>
    <w:rsid w:val="00967304"/>
    <w:rsid w:val="0097099F"/>
    <w:rsid w:val="00971997"/>
    <w:rsid w:val="00971FFC"/>
    <w:rsid w:val="009811A8"/>
    <w:rsid w:val="00985935"/>
    <w:rsid w:val="0098660A"/>
    <w:rsid w:val="009874B2"/>
    <w:rsid w:val="00990EB1"/>
    <w:rsid w:val="00992659"/>
    <w:rsid w:val="009931C3"/>
    <w:rsid w:val="009A0751"/>
    <w:rsid w:val="009A6527"/>
    <w:rsid w:val="009B2C43"/>
    <w:rsid w:val="009B4EAE"/>
    <w:rsid w:val="009B7573"/>
    <w:rsid w:val="009C22F4"/>
    <w:rsid w:val="009C2E98"/>
    <w:rsid w:val="009C5425"/>
    <w:rsid w:val="009D3447"/>
    <w:rsid w:val="009D402B"/>
    <w:rsid w:val="009D4711"/>
    <w:rsid w:val="009E554C"/>
    <w:rsid w:val="009F1185"/>
    <w:rsid w:val="009F18CD"/>
    <w:rsid w:val="009F2A13"/>
    <w:rsid w:val="009F2D2D"/>
    <w:rsid w:val="009F4C53"/>
    <w:rsid w:val="00A04EB0"/>
    <w:rsid w:val="00A13CC1"/>
    <w:rsid w:val="00A16847"/>
    <w:rsid w:val="00A21E26"/>
    <w:rsid w:val="00A229E6"/>
    <w:rsid w:val="00A237D8"/>
    <w:rsid w:val="00A25C56"/>
    <w:rsid w:val="00A268C4"/>
    <w:rsid w:val="00A307CD"/>
    <w:rsid w:val="00A312C7"/>
    <w:rsid w:val="00A40A00"/>
    <w:rsid w:val="00A40D53"/>
    <w:rsid w:val="00A4142F"/>
    <w:rsid w:val="00A41A9E"/>
    <w:rsid w:val="00A5230D"/>
    <w:rsid w:val="00A52F66"/>
    <w:rsid w:val="00A5685B"/>
    <w:rsid w:val="00A56DF2"/>
    <w:rsid w:val="00A62104"/>
    <w:rsid w:val="00A67AB5"/>
    <w:rsid w:val="00A7628F"/>
    <w:rsid w:val="00A91760"/>
    <w:rsid w:val="00A93B00"/>
    <w:rsid w:val="00A93C21"/>
    <w:rsid w:val="00AA3346"/>
    <w:rsid w:val="00AC3C6A"/>
    <w:rsid w:val="00AC420A"/>
    <w:rsid w:val="00AD5620"/>
    <w:rsid w:val="00AD7C1B"/>
    <w:rsid w:val="00AE16BA"/>
    <w:rsid w:val="00AE1EBE"/>
    <w:rsid w:val="00AE1EC4"/>
    <w:rsid w:val="00AF38AB"/>
    <w:rsid w:val="00AF4F30"/>
    <w:rsid w:val="00AF5C2C"/>
    <w:rsid w:val="00AF7433"/>
    <w:rsid w:val="00AF7AC0"/>
    <w:rsid w:val="00B03C9D"/>
    <w:rsid w:val="00B060AE"/>
    <w:rsid w:val="00B10517"/>
    <w:rsid w:val="00B14E76"/>
    <w:rsid w:val="00B161B8"/>
    <w:rsid w:val="00B177F2"/>
    <w:rsid w:val="00B2048C"/>
    <w:rsid w:val="00B21679"/>
    <w:rsid w:val="00B2267D"/>
    <w:rsid w:val="00B26450"/>
    <w:rsid w:val="00B310B9"/>
    <w:rsid w:val="00B33D33"/>
    <w:rsid w:val="00B35F3F"/>
    <w:rsid w:val="00B36CBB"/>
    <w:rsid w:val="00B425E0"/>
    <w:rsid w:val="00B42FB5"/>
    <w:rsid w:val="00B440AA"/>
    <w:rsid w:val="00B44B70"/>
    <w:rsid w:val="00B47DAA"/>
    <w:rsid w:val="00B5205B"/>
    <w:rsid w:val="00B53C56"/>
    <w:rsid w:val="00B575DB"/>
    <w:rsid w:val="00B62FA9"/>
    <w:rsid w:val="00B77EA6"/>
    <w:rsid w:val="00B80C8A"/>
    <w:rsid w:val="00B81598"/>
    <w:rsid w:val="00B841F1"/>
    <w:rsid w:val="00B944D6"/>
    <w:rsid w:val="00B975CC"/>
    <w:rsid w:val="00BA7CB5"/>
    <w:rsid w:val="00BB4DF0"/>
    <w:rsid w:val="00BC289F"/>
    <w:rsid w:val="00BC5361"/>
    <w:rsid w:val="00BC5460"/>
    <w:rsid w:val="00BC6B50"/>
    <w:rsid w:val="00BD0E25"/>
    <w:rsid w:val="00BD4DA9"/>
    <w:rsid w:val="00BF5BD6"/>
    <w:rsid w:val="00BF6B0B"/>
    <w:rsid w:val="00C03E31"/>
    <w:rsid w:val="00C0410F"/>
    <w:rsid w:val="00C107FF"/>
    <w:rsid w:val="00C33E72"/>
    <w:rsid w:val="00C354B2"/>
    <w:rsid w:val="00C35554"/>
    <w:rsid w:val="00C42709"/>
    <w:rsid w:val="00C5166D"/>
    <w:rsid w:val="00C533CC"/>
    <w:rsid w:val="00C54E85"/>
    <w:rsid w:val="00C559E3"/>
    <w:rsid w:val="00C5751C"/>
    <w:rsid w:val="00C61BFC"/>
    <w:rsid w:val="00C62B85"/>
    <w:rsid w:val="00C65438"/>
    <w:rsid w:val="00C6631C"/>
    <w:rsid w:val="00C74AD1"/>
    <w:rsid w:val="00C84A36"/>
    <w:rsid w:val="00C850D0"/>
    <w:rsid w:val="00C91CBB"/>
    <w:rsid w:val="00C94785"/>
    <w:rsid w:val="00CA5987"/>
    <w:rsid w:val="00CB7F8D"/>
    <w:rsid w:val="00CC09B6"/>
    <w:rsid w:val="00CC3189"/>
    <w:rsid w:val="00CC666F"/>
    <w:rsid w:val="00CD1E3F"/>
    <w:rsid w:val="00CE44F6"/>
    <w:rsid w:val="00CE49DA"/>
    <w:rsid w:val="00CE6F6B"/>
    <w:rsid w:val="00CE7B61"/>
    <w:rsid w:val="00CF46D6"/>
    <w:rsid w:val="00D00095"/>
    <w:rsid w:val="00D14591"/>
    <w:rsid w:val="00D14C26"/>
    <w:rsid w:val="00D16676"/>
    <w:rsid w:val="00D20620"/>
    <w:rsid w:val="00D26091"/>
    <w:rsid w:val="00D34E7C"/>
    <w:rsid w:val="00D35489"/>
    <w:rsid w:val="00D4346B"/>
    <w:rsid w:val="00D43811"/>
    <w:rsid w:val="00D51276"/>
    <w:rsid w:val="00D57FB6"/>
    <w:rsid w:val="00D66CC7"/>
    <w:rsid w:val="00D7035F"/>
    <w:rsid w:val="00D71A44"/>
    <w:rsid w:val="00D8054D"/>
    <w:rsid w:val="00D928F7"/>
    <w:rsid w:val="00DA0754"/>
    <w:rsid w:val="00DA121B"/>
    <w:rsid w:val="00DA5D4F"/>
    <w:rsid w:val="00DA65AC"/>
    <w:rsid w:val="00DB0E56"/>
    <w:rsid w:val="00DB1913"/>
    <w:rsid w:val="00DC3112"/>
    <w:rsid w:val="00DC410D"/>
    <w:rsid w:val="00DC610C"/>
    <w:rsid w:val="00DC68CA"/>
    <w:rsid w:val="00DC6FCA"/>
    <w:rsid w:val="00DC7CBA"/>
    <w:rsid w:val="00DD20D3"/>
    <w:rsid w:val="00DD421E"/>
    <w:rsid w:val="00DD73B7"/>
    <w:rsid w:val="00DF28BC"/>
    <w:rsid w:val="00DF34B9"/>
    <w:rsid w:val="00E0079C"/>
    <w:rsid w:val="00E01053"/>
    <w:rsid w:val="00E06DA8"/>
    <w:rsid w:val="00E0746A"/>
    <w:rsid w:val="00E07ACF"/>
    <w:rsid w:val="00E11FBF"/>
    <w:rsid w:val="00E125C6"/>
    <w:rsid w:val="00E12C6D"/>
    <w:rsid w:val="00E22629"/>
    <w:rsid w:val="00E3025B"/>
    <w:rsid w:val="00E31EFE"/>
    <w:rsid w:val="00E331A1"/>
    <w:rsid w:val="00E33202"/>
    <w:rsid w:val="00E336A9"/>
    <w:rsid w:val="00E42882"/>
    <w:rsid w:val="00E50624"/>
    <w:rsid w:val="00E537A8"/>
    <w:rsid w:val="00E54B8C"/>
    <w:rsid w:val="00E54DF5"/>
    <w:rsid w:val="00E568DF"/>
    <w:rsid w:val="00E64269"/>
    <w:rsid w:val="00E64D62"/>
    <w:rsid w:val="00E67BE3"/>
    <w:rsid w:val="00E71D79"/>
    <w:rsid w:val="00E7479E"/>
    <w:rsid w:val="00E82267"/>
    <w:rsid w:val="00E82DA7"/>
    <w:rsid w:val="00E86BEB"/>
    <w:rsid w:val="00E91C37"/>
    <w:rsid w:val="00EA010F"/>
    <w:rsid w:val="00EB065D"/>
    <w:rsid w:val="00ED1B63"/>
    <w:rsid w:val="00ED3C1F"/>
    <w:rsid w:val="00ED4085"/>
    <w:rsid w:val="00ED420E"/>
    <w:rsid w:val="00ED6A88"/>
    <w:rsid w:val="00EE01BB"/>
    <w:rsid w:val="00EE02B4"/>
    <w:rsid w:val="00EE2F57"/>
    <w:rsid w:val="00EE7BB1"/>
    <w:rsid w:val="00EF4C34"/>
    <w:rsid w:val="00EF77C6"/>
    <w:rsid w:val="00F05438"/>
    <w:rsid w:val="00F1361C"/>
    <w:rsid w:val="00F141AF"/>
    <w:rsid w:val="00F160C7"/>
    <w:rsid w:val="00F21F82"/>
    <w:rsid w:val="00F36D8F"/>
    <w:rsid w:val="00F417B1"/>
    <w:rsid w:val="00F420B8"/>
    <w:rsid w:val="00F602DF"/>
    <w:rsid w:val="00F627CB"/>
    <w:rsid w:val="00F817FC"/>
    <w:rsid w:val="00F81FD9"/>
    <w:rsid w:val="00F841AA"/>
    <w:rsid w:val="00F91D25"/>
    <w:rsid w:val="00F9402F"/>
    <w:rsid w:val="00F9713D"/>
    <w:rsid w:val="00FA23E8"/>
    <w:rsid w:val="00FB05E0"/>
    <w:rsid w:val="00FC116E"/>
    <w:rsid w:val="00FD3CC1"/>
    <w:rsid w:val="00FE2B82"/>
    <w:rsid w:val="00FF1E02"/>
    <w:rsid w:val="00FF30B4"/>
    <w:rsid w:val="10C055FF"/>
    <w:rsid w:val="16BB723D"/>
    <w:rsid w:val="219D08AB"/>
    <w:rsid w:val="240371BF"/>
    <w:rsid w:val="29FD04D3"/>
    <w:rsid w:val="319F7F4E"/>
    <w:rsid w:val="73560FF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uiPriority w:val="99"/>
    <w:rPr>
      <w:sz w:val="18"/>
      <w:szCs w:val="18"/>
    </w:rPr>
  </w:style>
  <w:style w:type="paragraph" w:styleId="8">
    <w:name w:val="footer"/>
    <w:basedOn w:val="1"/>
    <w:link w:val="20"/>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_GB2312" w:hAnsi="仿宋" w:eastAsia="仿宋_GB2312"/>
      <w:sz w:val="32"/>
      <w:szCs w:val="32"/>
    </w:rPr>
  </w:style>
  <w:style w:type="table" w:styleId="13">
    <w:name w:val="Table Grid"/>
    <w:basedOn w:val="1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Hyperlink"/>
    <w:basedOn w:val="14"/>
    <w:unhideWhenUsed/>
    <w:uiPriority w:val="99"/>
    <w:rPr>
      <w:color w:val="0000FF" w:themeColor="hyperlink"/>
      <w:u w:val="single"/>
    </w:rPr>
  </w:style>
  <w:style w:type="character" w:customStyle="1" w:styleId="17">
    <w:name w:val="Header Char"/>
    <w:basedOn w:val="14"/>
    <w:semiHidden/>
    <w:uiPriority w:val="99"/>
    <w:rPr>
      <w:rFonts w:ascii="Times New Roman" w:hAnsi="Times New Roman"/>
      <w:sz w:val="18"/>
      <w:szCs w:val="18"/>
    </w:rPr>
  </w:style>
  <w:style w:type="character" w:customStyle="1" w:styleId="18">
    <w:name w:val="页眉 Char"/>
    <w:link w:val="9"/>
    <w:semiHidden/>
    <w:locked/>
    <w:uiPriority w:val="99"/>
    <w:rPr>
      <w:sz w:val="18"/>
    </w:rPr>
  </w:style>
  <w:style w:type="character" w:customStyle="1" w:styleId="19">
    <w:name w:val="Footer Char"/>
    <w:basedOn w:val="14"/>
    <w:semiHidden/>
    <w:uiPriority w:val="99"/>
    <w:rPr>
      <w:rFonts w:ascii="Times New Roman" w:hAnsi="Times New Roman"/>
      <w:sz w:val="18"/>
      <w:szCs w:val="18"/>
    </w:rPr>
  </w:style>
  <w:style w:type="character" w:customStyle="1" w:styleId="20">
    <w:name w:val="页脚 Char"/>
    <w:link w:val="8"/>
    <w:locked/>
    <w:uiPriority w:val="99"/>
    <w:rPr>
      <w:sz w:val="18"/>
    </w:rPr>
  </w:style>
  <w:style w:type="character" w:customStyle="1" w:styleId="21">
    <w:name w:val="Body Text Char"/>
    <w:basedOn w:val="14"/>
    <w:semiHidden/>
    <w:uiPriority w:val="99"/>
    <w:rPr>
      <w:rFonts w:ascii="Times New Roman" w:hAnsi="Times New Roman"/>
      <w:szCs w:val="24"/>
    </w:rPr>
  </w:style>
  <w:style w:type="character" w:customStyle="1" w:styleId="22">
    <w:name w:val="正文文本 Char"/>
    <w:link w:val="5"/>
    <w:locked/>
    <w:uiPriority w:val="99"/>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uiPriority w:val="9"/>
    <w:rPr>
      <w:rFonts w:ascii="Times New Roman" w:hAnsi="Times New Roman"/>
      <w:b/>
      <w:bCs/>
      <w:kern w:val="44"/>
      <w:sz w:val="44"/>
      <w:szCs w:val="44"/>
    </w:rPr>
  </w:style>
  <w:style w:type="character" w:customStyle="1" w:styleId="26">
    <w:name w:val="标题 2 Char"/>
    <w:basedOn w:val="14"/>
    <w:link w:val="3"/>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uiPriority w:val="99"/>
    <w:rPr>
      <w:rFonts w:ascii="Times New Roman" w:hAnsi="Times New Roman"/>
      <w:kern w:val="2"/>
      <w:sz w:val="18"/>
      <w:szCs w:val="18"/>
    </w:rPr>
  </w:style>
  <w:style w:type="character" w:customStyle="1" w:styleId="29">
    <w:name w:val="标题 3 Char"/>
    <w:basedOn w:val="14"/>
    <w:link w:val="4"/>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E38BF-CAF0-4F06-8F71-CE3529C6D918}">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11405</Words>
  <Characters>12010</Characters>
  <Lines>30</Lines>
  <Paragraphs>30</Paragraphs>
  <TotalTime>543</TotalTime>
  <ScaleCrop>false</ScaleCrop>
  <LinksUpToDate>false</LinksUpToDate>
  <CharactersWithSpaces>12124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匿名</cp:lastModifiedBy>
  <cp:lastPrinted>2019-08-01T00:48:00Z</cp:lastPrinted>
  <dcterms:modified xsi:type="dcterms:W3CDTF">2023-07-17T07:35:59Z</dcterms:modified>
  <dc:title>四川省***</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7A32D32207A6429C81B9DBAD007A175B_13</vt:lpwstr>
  </property>
</Properties>
</file>